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4C75"/>
          <w:sz w:val="18"/>
          <w:szCs w:val="18"/>
        </w:rPr>
        <w:t xml:space="preserve">VELORA OS  ·  V0 INTENT LOGIC  ·  ZYDUS PILOT</w:t>
      </w:r>
    </w:p>
    <w:p>
      <w:pPr>
        <w:spacing w:after="40" w:before="60"/>
      </w:pPr>
      <w:r>
        <w:rPr>
          <w:rFonts w:ascii="Arial" w:cs="Arial" w:eastAsia="Arial" w:hAnsi="Arial"/>
          <w:b/>
          <w:bCs/>
          <w:color w:val="0F172A"/>
          <w:sz w:val="44"/>
          <w:szCs w:val="44"/>
        </w:rPr>
        <w:t xml:space="preserve">Intent Logic &amp; Validation Spec</w:t>
      </w:r>
    </w:p>
    <w:p>
      <w:pPr>
        <w:spacing w:after="60" w:before="0"/>
      </w:pPr>
      <w:r>
        <w:rPr>
          <w:rFonts w:ascii="Arial" w:cs="Arial" w:eastAsia="Arial" w:hAnsi="Arial"/>
          <w:i/>
          <w:iCs/>
          <w:color w:val="0F4C75"/>
          <w:sz w:val="24"/>
          <w:szCs w:val="24"/>
        </w:rPr>
        <w:t xml:space="preserve">How Velora decides what to suggest, what to answer, and how to prove every claim.</w:t>
      </w:r>
    </w:p>
    <w:p>
      <w:pPr>
        <w:pBdr>
          <w:bottom w:val="single" w:color="0F4C75" w:sz="6" w:space="1"/>
        </w:pBdr>
        <w:spacing w:after="80" w:before="80"/>
      </w:pPr>
      <w:r>
        <w:t xml:space="preserve"/>
      </w:r>
    </w:p>
    <w:p>
      <w:pPr>
        <w:spacing w:after="120" w:before="0" w:line="300"/>
      </w:pPr>
      <w:r>
        <w:rPr>
          <w:rFonts w:ascii="Arial" w:cs="Arial" w:eastAsia="Arial" w:hAnsi="Arial"/>
          <w:color w:val="0F172A"/>
          <w:sz w:val="22"/>
          <w:szCs w:val="22"/>
        </w:rPr>
        <w:t xml:space="preserve">Authored by </w:t>
      </w:r>
      <w:r>
        <w:rPr>
          <w:rFonts w:ascii="Arial" w:cs="Arial" w:eastAsia="Arial" w:hAnsi="Arial"/>
          <w:b/>
          <w:bCs/>
          <w:color w:val="0F172A"/>
          <w:sz w:val="22"/>
          <w:szCs w:val="22"/>
        </w:rPr>
        <w:t xml:space="preserve">Zyvelor Labs</w:t>
      </w:r>
      <w:r>
        <w:rPr>
          <w:rFonts w:ascii="Arial" w:cs="Arial" w:eastAsia="Arial" w:hAnsi="Arial"/>
          <w:color w:val="0F172A"/>
          <w:sz w:val="22"/>
          <w:szCs w:val="22"/>
        </w:rPr>
        <w:t xml:space="preserve">  ·  Last updated 2026-05-08  ·  Sibling to </w:t>
      </w:r>
      <w:r>
        <w:rPr>
          <w:rFonts w:ascii="Arial" w:cs="Arial" w:eastAsia="Arial" w:hAnsi="Arial"/>
          <w:i/>
          <w:iCs/>
          <w:color w:val="0F172A"/>
          <w:sz w:val="22"/>
          <w:szCs w:val="22"/>
        </w:rPr>
        <w:t xml:space="preserve">Velora_V0_Spec.docx</w:t>
      </w:r>
      <w:r>
        <w:rPr>
          <w:rFonts w:ascii="Arial" w:cs="Arial" w:eastAsia="Arial" w:hAnsi="Arial"/>
          <w:color w:val="0F172A"/>
          <w:sz w:val="22"/>
          <w:szCs w:val="22"/>
        </w:rPr>
        <w:t xml:space="preserve"> (build spec). This doc owns the intent layer.</w:t>
      </w:r>
    </w:p>
    <w:p>
      <w:pPr>
        <w:pStyle w:val="Heading1"/>
        <w:spacing w:after="180" w:before="360"/>
      </w:pPr>
      <w:r>
        <w:rPr>
          <w:rFonts w:ascii="Arial" w:cs="Arial" w:eastAsia="Arial" w:hAnsi="Arial"/>
          <w:b/>
          <w:bCs/>
          <w:color w:val="0F4C75"/>
          <w:sz w:val="32"/>
          <w:szCs w:val="32"/>
        </w:rPr>
        <w:t xml:space="preserve">1. Why this document exists</w:t>
      </w:r>
    </w:p>
    <w:p>
      <w:pPr>
        <w:spacing w:after="120" w:before="0" w:line="300"/>
      </w:pPr>
      <w:r>
        <w:rPr>
          <w:rFonts w:ascii="Arial" w:cs="Arial" w:eastAsia="Arial" w:hAnsi="Arial"/>
          <w:color w:val="0F172A"/>
          <w:sz w:val="22"/>
          <w:szCs w:val="22"/>
        </w:rPr>
        <w:t xml:space="preserve">Velora is positioned as a clinical intelligence layer. The word that does the most work in that phrase is 'intelligence' — and the word that immediately threatens it is 'hallucination'. A clinician who catches Velora wrong even once, on something they could verify, will treat the whole product as untrustworthy from that day forward. The fastest way to lose a pilot is not to ship slowly; it is to ship something that looks confident and isn't.</w:t>
      </w:r>
    </w:p>
    <w:p>
      <w:pPr>
        <w:spacing w:after="120" w:before="0" w:line="300"/>
      </w:pPr>
      <w:r>
        <w:rPr>
          <w:rFonts w:ascii="Arial" w:cs="Arial" w:eastAsia="Arial" w:hAnsi="Arial"/>
          <w:color w:val="0F172A"/>
          <w:sz w:val="22"/>
          <w:szCs w:val="22"/>
        </w:rPr>
        <w:t xml:space="preserve">This document defines, intent by intent, exactly when Velora is allowed to suggest something, what data it must have to answer, and what it must show the doctor as proof. It also pins down the failure modes — when Velora must say nothing, or say less, or say 'I don't know'. That last sentence is the most important one in V0.</w:t>
      </w:r>
    </w:p>
    <w:p>
      <w:pPr>
        <w:spacing w:after="120" w:before="0" w:line="300"/>
      </w:pPr>
      <w:r>
        <w:rPr>
          <w:rFonts w:ascii="Arial" w:cs="Arial" w:eastAsia="Arial" w:hAnsi="Arial"/>
          <w:i/>
          <w:iCs/>
          <w:color w:val="0F4C75"/>
          <w:sz w:val="22"/>
          <w:szCs w:val="22"/>
        </w:rPr>
        <w:t xml:space="preserve">The audience is the founding product, design, and clinical-advisor team. The companion artefact is the chat UI mockup at /Zyvelor/velora-chat-ui.html, which renders the surface this logic produces.</w:t>
      </w:r>
    </w:p>
    <w:p>
      <w:pPr>
        <w:pStyle w:val="Heading1"/>
        <w:spacing w:after="180" w:before="360"/>
      </w:pPr>
      <w:r>
        <w:rPr>
          <w:rFonts w:ascii="Arial" w:cs="Arial" w:eastAsia="Arial" w:hAnsi="Arial"/>
          <w:b/>
          <w:bCs/>
          <w:color w:val="0F4C75"/>
          <w:sz w:val="32"/>
          <w:szCs w:val="32"/>
        </w:rPr>
        <w:t xml:space="preserve">2. The validation contract</w:t>
      </w:r>
    </w:p>
    <w:p>
      <w:pPr>
        <w:spacing w:after="120" w:before="0" w:line="300"/>
      </w:pPr>
      <w:r>
        <w:rPr>
          <w:rFonts w:ascii="Arial" w:cs="Arial" w:eastAsia="Arial" w:hAnsi="Arial"/>
          <w:color w:val="0F172A"/>
          <w:sz w:val="22"/>
          <w:szCs w:val="22"/>
        </w:rPr>
        <w:t xml:space="preserve">Every Velora answer — whether triggered by a CTA card, a follow-up pill, or a free-text question — must satisfy five validation artifacts. These are universal. If any of them is missing, the answer does not render; an explicit empty or error state renders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Artifact</w:t>
            </w:r>
          </w:p>
        </w:tc>
        <w:tc>
          <w:tcPr>
            <w:tcW w:type="dxa" w:w="696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What it means in V0</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1. Source attribution</w:t>
            </w:r>
          </w:p>
        </w:tc>
        <w:tc>
          <w:tcPr>
            <w:tcW w:type="dxa" w:w="69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Every fact stated in an answer points to a structured EMR record (visit ID, prescription ID, lab result ID, order ID, admission event) — visible in the source-rows panel of the answer card. No fact may rest on an LLM-generated narrative alone.</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2. Guideline citation</w:t>
            </w:r>
          </w:p>
        </w:tc>
        <w:tc>
          <w:tcPr>
            <w:tcW w:type="dxa" w:w="69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Any clinical claim (a threshold, a contraindication, a recommended action) carries the guideline body and section that supports it (e.g., 'ADA 2024, §6.4'). For V0, Velora avoids prescriptive claims; when it surfaces a threshold, the threshold's source is shown.</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3. Executed query (Cypher / SQL)</w:t>
            </w:r>
          </w:p>
        </w:tc>
        <w:tc>
          <w:tcPr>
            <w:tcW w:type="dxa" w:w="69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Every answer carries the executed query, viewable via 'Show Cypher' in the audit footer. The query is the auditor's only source of truth for what actually ran.</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4. Data freshness timestamp</w:t>
            </w:r>
          </w:p>
        </w:tc>
        <w:tc>
          <w:tcPr>
            <w:tcW w:type="dxa" w:w="69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The answer carries the time the underlying graph was last synced from Postgres ('Graph last synced 12 min ago'). If the sync is older than the configured threshold, the answer is rendered with a freshness warning.</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5. Exclusion log</w:t>
            </w:r>
          </w:p>
        </w:tc>
        <w:tc>
          <w:tcPr>
            <w:tcW w:type="dxa" w:w="69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When special-population exclusions or cohort filters are applied, the count and reason are shown ('3 patients excluded: 1 paediatric, 1 palliative, 1 discharged &lt;7d'). Hidden exclusions are forbidden.</w:t>
            </w:r>
          </w:p>
        </w:tc>
      </w:tr>
    </w:tbl>
    <w:p>
      <w:pPr>
        <w:spacing w:after="120" w:before="80" w:line="300"/>
      </w:pPr>
      <w:r>
        <w:rPr>
          <w:rFonts w:ascii="Arial" w:cs="Arial" w:eastAsia="Arial" w:hAnsi="Arial"/>
          <w:b/>
          <w:bCs/>
          <w:color w:val="0F172A"/>
          <w:sz w:val="22"/>
          <w:szCs w:val="22"/>
        </w:rPr>
        <w:t xml:space="preserve">The one-sentence rule: </w:t>
      </w:r>
      <w:r>
        <w:rPr>
          <w:rFonts w:ascii="Arial" w:cs="Arial" w:eastAsia="Arial" w:hAnsi="Arial"/>
          <w:color w:val="0F172A"/>
          <w:sz w:val="22"/>
          <w:szCs w:val="22"/>
        </w:rPr>
        <w:t xml:space="preserve">Velora may not state a fact it cannot point to.</w:t>
      </w:r>
    </w:p>
    <w:p>
      <w:pPr>
        <w:pStyle w:val="Heading1"/>
        <w:spacing w:after="180" w:before="360"/>
      </w:pPr>
      <w:r>
        <w:rPr>
          <w:rFonts w:ascii="Arial" w:cs="Arial" w:eastAsia="Arial" w:hAnsi="Arial"/>
          <w:b/>
          <w:bCs/>
          <w:color w:val="0F4C75"/>
          <w:sz w:val="32"/>
          <w:szCs w:val="32"/>
        </w:rPr>
        <w:t xml:space="preserve">3. The five V0 intents</w:t>
      </w:r>
    </w:p>
    <w:p>
      <w:pPr>
        <w:spacing w:after="120" w:before="0" w:line="300"/>
      </w:pPr>
      <w:r>
        <w:rPr>
          <w:rFonts w:ascii="Arial" w:cs="Arial" w:eastAsia="Arial" w:hAnsi="Arial"/>
          <w:color w:val="0F172A"/>
          <w:sz w:val="22"/>
          <w:szCs w:val="22"/>
        </w:rPr>
        <w:t xml:space="preserve">These five intents form the entire intent space of V0. New intents must be proposed and signed off; the LLM is not allowed to invent a sixth at runtime. (Out-of-intent free-text questions either route to the closest of the five or render an explicit 'I'm not sure how to help with that' state.)</w:t>
      </w:r>
    </w:p>
    <w:p>
      <w:pPr>
        <w:spacing w:after="120" w:before="60" w:line="300"/>
      </w:pPr>
      <w:r>
        <w:rPr>
          <w:rFonts w:ascii="Arial" w:cs="Arial" w:eastAsia="Arial" w:hAnsi="Arial"/>
          <w:color w:val="0F172A"/>
          <w:sz w:val="22"/>
          <w:szCs w:val="22"/>
        </w:rPr>
        <w:t xml:space="preserve">Each intent is documented with: scenario (when), patient applicability (internal taxonomy — Type 1 / 2 / 3 — never shown to the doctor), pre-conditions, data sources, guideline anchors, suggestion logic tree, response logic tree, validation rule, and empty state.</w:t>
      </w:r>
    </w:p>
    <w:p>
      <w:pPr>
        <w:pStyle w:val="Heading2"/>
        <w:spacing w:after="120" w:before="280"/>
      </w:pPr>
      <w:r>
        <w:rPr>
          <w:rFonts w:ascii="Arial" w:cs="Arial" w:eastAsia="Arial" w:hAnsi="Arial"/>
          <w:b/>
          <w:bCs/>
          <w:color w:val="0F172A"/>
          <w:sz w:val="26"/>
          <w:szCs w:val="26"/>
        </w:rPr>
        <w:t xml:space="preserve">Intent 1 — Hospital history ("What we know about this patient")</w:t>
      </w:r>
    </w:p>
    <w:p>
      <w:pPr>
        <w:pStyle w:val="Heading3"/>
        <w:spacing w:after="80" w:before="200"/>
      </w:pPr>
      <w:r>
        <w:rPr>
          <w:rFonts w:ascii="Arial" w:cs="Arial" w:eastAsia="Arial" w:hAnsi="Arial"/>
          <w:b/>
          <w:bCs/>
          <w:color w:val="0F172A"/>
          <w:sz w:val="22"/>
          <w:szCs w:val="22"/>
        </w:rPr>
        <w:t xml:space="preserve">Scenario (when this CTA surfaces on the welcome screen)</w:t>
      </w:r>
    </w:p>
    <w:p>
      <w:pPr>
        <w:pStyle w:val="ListParagraph"/>
        <w:numPr>
          <w:ilvl w:val="0"/>
          <w:numId w:val="2"/>
        </w:numPr>
        <w:spacing w:after="60" w:before="0" w:line="280"/>
      </w:pPr>
      <w:r>
        <w:rPr>
          <w:rFonts w:ascii="Arial" w:cs="Arial" w:eastAsia="Arial" w:hAnsi="Arial"/>
          <w:color w:val="0F172A"/>
          <w:sz w:val="22"/>
          <w:szCs w:val="22"/>
        </w:rPr>
        <w:t xml:space="preserve">Doctor opens any patient who has at least 1 prior visit at this hospital.</w:t>
      </w:r>
    </w:p>
    <w:p>
      <w:pPr>
        <w:pStyle w:val="ListParagraph"/>
        <w:numPr>
          <w:ilvl w:val="0"/>
          <w:numId w:val="2"/>
        </w:numPr>
        <w:spacing w:after="60" w:before="0" w:line="280"/>
      </w:pPr>
      <w:r>
        <w:rPr>
          <w:rFonts w:ascii="Arial" w:cs="Arial" w:eastAsia="Arial" w:hAnsi="Arial"/>
          <w:color w:val="0F172A"/>
          <w:sz w:val="22"/>
          <w:szCs w:val="22"/>
        </w:rPr>
        <w:t xml:space="preserve">Suggestion ranks higher when prior visits span multiple departments — i.e., the data is most likely fragmented in the EMR.</w:t>
      </w:r>
    </w:p>
    <w:p>
      <w:pPr>
        <w:pStyle w:val="Heading3"/>
        <w:spacing w:after="80" w:before="200"/>
      </w:pPr>
      <w:r>
        <w:rPr>
          <w:rFonts w:ascii="Arial" w:cs="Arial" w:eastAsia="Arial" w:hAnsi="Arial"/>
          <w:b/>
          <w:bCs/>
          <w:color w:val="0F172A"/>
          <w:sz w:val="22"/>
          <w:szCs w:val="22"/>
        </w:rPr>
        <w:t xml:space="preserve">Patient applicability (internal taxonomy, not shown to doctor)</w:t>
      </w:r>
    </w:p>
    <w:p>
      <w:pPr>
        <w:pStyle w:val="ListParagraph"/>
        <w:numPr>
          <w:ilvl w:val="0"/>
          <w:numId w:val="2"/>
        </w:numPr>
        <w:spacing w:after="60" w:before="0" w:line="280"/>
      </w:pPr>
      <w:r>
        <w:rPr>
          <w:rFonts w:ascii="Arial" w:cs="Arial" w:eastAsia="Arial" w:hAnsi="Arial"/>
          <w:color w:val="0F172A"/>
          <w:sz w:val="22"/>
          <w:szCs w:val="22"/>
        </w:rPr>
        <w:t xml:space="preserve">Type 1 (returning to this doctor) — surfaces, but ranked second to Open loops.</w:t>
      </w:r>
    </w:p>
    <w:p>
      <w:pPr>
        <w:pStyle w:val="ListParagraph"/>
        <w:numPr>
          <w:ilvl w:val="0"/>
          <w:numId w:val="2"/>
        </w:numPr>
        <w:spacing w:after="60" w:before="0" w:line="280"/>
      </w:pPr>
      <w:r>
        <w:rPr>
          <w:rFonts w:ascii="Arial" w:cs="Arial" w:eastAsia="Arial" w:hAnsi="Arial"/>
          <w:color w:val="0F172A"/>
          <w:sz w:val="22"/>
          <w:szCs w:val="22"/>
        </w:rPr>
        <w:t xml:space="preserve">Type 2 (known to hospital, new to this doctor) — surfaces, ranked first. This is the highest-leverage case.</w:t>
      </w:r>
    </w:p>
    <w:p>
      <w:pPr>
        <w:pStyle w:val="ListParagraph"/>
        <w:numPr>
          <w:ilvl w:val="0"/>
          <w:numId w:val="2"/>
        </w:numPr>
        <w:spacing w:after="60" w:before="0" w:line="280"/>
      </w:pPr>
      <w:r>
        <w:rPr>
          <w:rFonts w:ascii="Arial" w:cs="Arial" w:eastAsia="Arial" w:hAnsi="Arial"/>
          <w:color w:val="0F172A"/>
          <w:sz w:val="22"/>
          <w:szCs w:val="22"/>
        </w:rPr>
        <w:t xml:space="preserve">Type 3 (new to hospital) — does NOT surface; an honest 'No prior records' empty state renders instead.</w:t>
      </w:r>
    </w:p>
    <w:p>
      <w:pPr>
        <w:pStyle w:val="Heading3"/>
        <w:spacing w:after="80" w:before="200"/>
      </w:pPr>
      <w:r>
        <w:rPr>
          <w:rFonts w:ascii="Arial" w:cs="Arial" w:eastAsia="Arial" w:hAnsi="Arial"/>
          <w:b/>
          <w:bCs/>
          <w:color w:val="0F172A"/>
          <w:sz w:val="22"/>
          <w:szCs w:val="22"/>
        </w:rPr>
        <w:t xml:space="preserve">Pre-conditions</w:t>
      </w:r>
    </w:p>
    <w:p>
      <w:pPr>
        <w:pStyle w:val="ListParagraph"/>
        <w:numPr>
          <w:ilvl w:val="0"/>
          <w:numId w:val="2"/>
        </w:numPr>
        <w:spacing w:after="60" w:before="0" w:line="280"/>
      </w:pPr>
      <w:r>
        <w:rPr>
          <w:rFonts w:ascii="Arial" w:cs="Arial" w:eastAsia="Arial" w:hAnsi="Arial"/>
          <w:color w:val="0F172A"/>
          <w:sz w:val="22"/>
          <w:szCs w:val="22"/>
        </w:rPr>
        <w:t xml:space="preserve">≥1 visit_occurrence row for this patient_id at this hospital_id.</w:t>
      </w:r>
    </w:p>
    <w:p>
      <w:pPr>
        <w:pStyle w:val="ListParagraph"/>
        <w:numPr>
          <w:ilvl w:val="0"/>
          <w:numId w:val="2"/>
        </w:numPr>
        <w:spacing w:after="60" w:before="0" w:line="280"/>
      </w:pPr>
      <w:r>
        <w:rPr>
          <w:rFonts w:ascii="Arial" w:cs="Arial" w:eastAsia="Arial" w:hAnsi="Arial"/>
          <w:color w:val="0F172A"/>
          <w:sz w:val="22"/>
          <w:szCs w:val="22"/>
        </w:rPr>
        <w:t xml:space="preserve">Doctor's specialty pack is loaded (V0 = General Medicine).</w:t>
      </w:r>
    </w:p>
    <w:p>
      <w:pPr>
        <w:pStyle w:val="Heading3"/>
        <w:spacing w:after="80" w:before="200"/>
      </w:pPr>
      <w:r>
        <w:rPr>
          <w:rFonts w:ascii="Arial" w:cs="Arial" w:eastAsia="Arial" w:hAnsi="Arial"/>
          <w:b/>
          <w:bCs/>
          <w:color w:val="0F172A"/>
          <w:sz w:val="22"/>
          <w:szCs w:val="22"/>
        </w:rPr>
        <w:t xml:space="preserve">Data sources &amp; guideline anchors</w:t>
      </w:r>
    </w:p>
    <w:p>
      <w:pPr>
        <w:pStyle w:val="ListParagraph"/>
        <w:numPr>
          <w:ilvl w:val="0"/>
          <w:numId w:val="2"/>
        </w:numPr>
        <w:spacing w:after="60" w:before="0" w:line="280"/>
      </w:pPr>
      <w:r>
        <w:rPr>
          <w:rFonts w:ascii="Arial" w:cs="Arial" w:eastAsia="Arial" w:hAnsi="Arial"/>
          <w:color w:val="0F172A"/>
          <w:sz w:val="22"/>
          <w:szCs w:val="22"/>
        </w:rPr>
        <w:t xml:space="preserve">Sources: Patient · Visit · Provider · Diagnosis · Drug Exposure · Measurement (lab) · Procedure · Note (header only) — all from the OMOP ETL.</w:t>
      </w:r>
    </w:p>
    <w:p>
      <w:pPr>
        <w:pStyle w:val="ListParagraph"/>
        <w:numPr>
          <w:ilvl w:val="0"/>
          <w:numId w:val="2"/>
        </w:numPr>
        <w:spacing w:after="60" w:before="0" w:line="280"/>
      </w:pPr>
      <w:r>
        <w:rPr>
          <w:rFonts w:ascii="Arial" w:cs="Arial" w:eastAsia="Arial" w:hAnsi="Arial"/>
          <w:color w:val="0F172A"/>
          <w:sz w:val="22"/>
          <w:szCs w:val="22"/>
        </w:rPr>
        <w:t xml:space="preserve">Guideline anchors: none (this is a data-stitch, not a clinical recommendation).</w:t>
      </w:r>
    </w:p>
    <w:p>
      <w:pPr>
        <w:pStyle w:val="Heading3"/>
        <w:spacing w:after="80" w:before="200"/>
      </w:pPr>
      <w:r>
        <w:rPr>
          <w:rFonts w:ascii="Arial" w:cs="Arial" w:eastAsia="Arial" w:hAnsi="Arial"/>
          <w:b/>
          <w:bCs/>
          <w:color w:val="0F172A"/>
          <w:sz w:val="22"/>
          <w:szCs w:val="22"/>
        </w:rPr>
        <w:t xml:space="preserve">Suggestion logic tree</w:t>
      </w:r>
    </w:p>
    <w:p>
      <w:pPr>
        <w:pStyle w:val="ListParagraph"/>
        <w:numPr>
          <w:ilvl w:val="0"/>
          <w:numId w:val="2"/>
        </w:numPr>
        <w:spacing w:after="60" w:before="0" w:line="280"/>
      </w:pPr>
      <w:r>
        <w:rPr>
          <w:rFonts w:ascii="Arial" w:cs="Arial" w:eastAsia="Arial" w:hAnsi="Arial"/>
          <w:color w:val="0F172A"/>
          <w:sz w:val="22"/>
          <w:szCs w:val="22"/>
        </w:rPr>
        <w:t xml:space="preserve">IF visit_count == 0 → do not surface. Render 'No prior records — this is your first encounter' empty state.</w:t>
      </w:r>
    </w:p>
    <w:p>
      <w:pPr>
        <w:pStyle w:val="ListParagraph"/>
        <w:numPr>
          <w:ilvl w:val="0"/>
          <w:numId w:val="2"/>
        </w:numPr>
        <w:spacing w:after="60" w:before="0" w:line="280"/>
      </w:pPr>
      <w:r>
        <w:rPr>
          <w:rFonts w:ascii="Arial" w:cs="Arial" w:eastAsia="Arial" w:hAnsi="Arial"/>
          <w:color w:val="0F172A"/>
          <w:sz w:val="22"/>
          <w:szCs w:val="22"/>
        </w:rPr>
        <w:t xml:space="preserve">IF visit_count &gt; 0 AND distinct_departments_seen ≥ 2 → surface as TOP CTA. Peek text: '&lt;N&gt; visits across &lt;dept_list&gt; over &lt;span_months&gt; months'.</w:t>
      </w:r>
    </w:p>
    <w:p>
      <w:pPr>
        <w:pStyle w:val="ListParagraph"/>
        <w:numPr>
          <w:ilvl w:val="0"/>
          <w:numId w:val="2"/>
        </w:numPr>
        <w:spacing w:after="60" w:before="0" w:line="280"/>
      </w:pPr>
      <w:r>
        <w:rPr>
          <w:rFonts w:ascii="Arial" w:cs="Arial" w:eastAsia="Arial" w:hAnsi="Arial"/>
          <w:color w:val="0F172A"/>
          <w:sz w:val="22"/>
          <w:szCs w:val="22"/>
        </w:rPr>
        <w:t xml:space="preserve">IF visit_count &gt; 0 AND distinct_departments_seen == 1 → surface as second CTA. Peek text emphasises 'last visit on &lt;date&gt;'.</w:t>
      </w:r>
    </w:p>
    <w:p>
      <w:pPr>
        <w:pStyle w:val="Heading3"/>
        <w:spacing w:after="80" w:before="200"/>
      </w:pPr>
      <w:r>
        <w:rPr>
          <w:rFonts w:ascii="Arial" w:cs="Arial" w:eastAsia="Arial" w:hAnsi="Arial"/>
          <w:b/>
          <w:bCs/>
          <w:color w:val="0F172A"/>
          <w:sz w:val="22"/>
          <w:szCs w:val="22"/>
        </w:rPr>
        <w:t xml:space="preserve">Response logic tree</w:t>
      </w:r>
    </w:p>
    <w:p>
      <w:pPr>
        <w:pStyle w:val="ListParagraph"/>
        <w:numPr>
          <w:ilvl w:val="0"/>
          <w:numId w:val="2"/>
        </w:numPr>
        <w:spacing w:after="60" w:before="0" w:line="280"/>
      </w:pPr>
      <w:r>
        <w:rPr>
          <w:rFonts w:ascii="Arial" w:cs="Arial" w:eastAsia="Arial" w:hAnsi="Arial"/>
          <w:color w:val="0F172A"/>
          <w:sz w:val="22"/>
          <w:szCs w:val="22"/>
        </w:rPr>
        <w:t xml:space="preserve">Pull all visits, group by department; produce a chronological timeline.</w:t>
      </w:r>
    </w:p>
    <w:p>
      <w:pPr>
        <w:pStyle w:val="ListParagraph"/>
        <w:numPr>
          <w:ilvl w:val="0"/>
          <w:numId w:val="2"/>
        </w:numPr>
        <w:spacing w:after="60" w:before="0" w:line="280"/>
      </w:pPr>
      <w:r>
        <w:rPr>
          <w:rFonts w:ascii="Arial" w:cs="Arial" w:eastAsia="Arial" w:hAnsi="Arial"/>
          <w:color w:val="0F172A"/>
          <w:sz w:val="22"/>
          <w:szCs w:val="22"/>
        </w:rPr>
        <w:t xml:space="preserve">Pull active medications (active = on the chart, not stopped, last refilled within 90 days). Group by prescriber's specialty.</w:t>
      </w:r>
    </w:p>
    <w:p>
      <w:pPr>
        <w:pStyle w:val="ListParagraph"/>
        <w:numPr>
          <w:ilvl w:val="0"/>
          <w:numId w:val="2"/>
        </w:numPr>
        <w:spacing w:after="60" w:before="0" w:line="280"/>
      </w:pPr>
      <w:r>
        <w:rPr>
          <w:rFonts w:ascii="Arial" w:cs="Arial" w:eastAsia="Arial" w:hAnsi="Arial"/>
          <w:color w:val="0F172A"/>
          <w:sz w:val="22"/>
          <w:szCs w:val="22"/>
        </w:rPr>
        <w:t xml:space="preserve">Pull last admission summary header (no note text — just admission_id, dates, department, attending).</w:t>
      </w:r>
    </w:p>
    <w:p>
      <w:pPr>
        <w:pStyle w:val="ListParagraph"/>
        <w:numPr>
          <w:ilvl w:val="0"/>
          <w:numId w:val="2"/>
        </w:numPr>
        <w:spacing w:after="60" w:before="0" w:line="280"/>
      </w:pPr>
      <w:r>
        <w:rPr>
          <w:rFonts w:ascii="Arial" w:cs="Arial" w:eastAsia="Arial" w:hAnsi="Arial"/>
          <w:color w:val="0F172A"/>
          <w:sz w:val="22"/>
          <w:szCs w:val="22"/>
        </w:rPr>
        <w:t xml:space="preserve">Pull most recent labs (last 90 days) by category — flagged values highlighted but not interpreted.</w:t>
      </w:r>
    </w:p>
    <w:p>
      <w:pPr>
        <w:pStyle w:val="ListParagraph"/>
        <w:numPr>
          <w:ilvl w:val="0"/>
          <w:numId w:val="2"/>
        </w:numPr>
        <w:spacing w:after="60" w:before="0" w:line="280"/>
      </w:pPr>
      <w:r>
        <w:rPr>
          <w:rFonts w:ascii="Arial" w:cs="Arial" w:eastAsia="Arial" w:hAnsi="Arial"/>
          <w:color w:val="0F172A"/>
          <w:sz w:val="22"/>
          <w:szCs w:val="22"/>
        </w:rPr>
        <w:t xml:space="preserve">Render as a digest envelope. Every bullet carries (visit_id, date, department) tags. Source-rows panel shows the underlying records.</w:t>
      </w:r>
    </w:p>
    <w:p>
      <w:pPr>
        <w:pStyle w:val="Heading3"/>
        <w:spacing w:after="80" w:before="200"/>
      </w:pPr>
      <w:r>
        <w:rPr>
          <w:rFonts w:ascii="Arial" w:cs="Arial" w:eastAsia="Arial" w:hAnsi="Arial"/>
          <w:b/>
          <w:bCs/>
          <w:color w:val="0F172A"/>
          <w:sz w:val="22"/>
          <w:szCs w:val="22"/>
        </w:rPr>
        <w:t xml:space="preserve">Validation rule (per-claim)</w:t>
      </w:r>
    </w:p>
    <w:p>
      <w:pPr>
        <w:pStyle w:val="ListParagraph"/>
        <w:numPr>
          <w:ilvl w:val="0"/>
          <w:numId w:val="2"/>
        </w:numPr>
        <w:spacing w:after="60" w:before="0" w:line="280"/>
      </w:pPr>
      <w:r>
        <w:rPr>
          <w:rFonts w:ascii="Arial" w:cs="Arial" w:eastAsia="Arial" w:hAnsi="Arial"/>
          <w:color w:val="0F172A"/>
          <w:sz w:val="22"/>
          <w:szCs w:val="22"/>
        </w:rPr>
        <w:t xml:space="preserve">Any visit count must equal COUNT(DISTINCT visit_id) on the executed query.</w:t>
      </w:r>
    </w:p>
    <w:p>
      <w:pPr>
        <w:pStyle w:val="ListParagraph"/>
        <w:numPr>
          <w:ilvl w:val="0"/>
          <w:numId w:val="2"/>
        </w:numPr>
        <w:spacing w:after="60" w:before="0" w:line="280"/>
      </w:pPr>
      <w:r>
        <w:rPr>
          <w:rFonts w:ascii="Arial" w:cs="Arial" w:eastAsia="Arial" w:hAnsi="Arial"/>
          <w:color w:val="0F172A"/>
          <w:sz w:val="22"/>
          <w:szCs w:val="22"/>
        </w:rPr>
        <w:t xml:space="preserve">Any 'X visits across Y departments' phrase must derive from a GROUP BY department query that ran.</w:t>
      </w:r>
    </w:p>
    <w:p>
      <w:pPr>
        <w:pStyle w:val="ListParagraph"/>
        <w:numPr>
          <w:ilvl w:val="0"/>
          <w:numId w:val="2"/>
        </w:numPr>
        <w:spacing w:after="60" w:before="0" w:line="280"/>
      </w:pPr>
      <w:r>
        <w:rPr>
          <w:rFonts w:ascii="Arial" w:cs="Arial" w:eastAsia="Arial" w:hAnsi="Arial"/>
          <w:color w:val="0F172A"/>
          <w:sz w:val="22"/>
          <w:szCs w:val="22"/>
        </w:rPr>
        <w:t xml:space="preserve">Active medication list resolves to drug_exposure rows where stop_date IS NULL OR stop_date &gt; today() AND last_dispense_date &gt; today() − 90.</w:t>
      </w:r>
    </w:p>
    <w:p>
      <w:pPr>
        <w:pStyle w:val="Heading3"/>
        <w:spacing w:after="80" w:before="200"/>
      </w:pPr>
      <w:r>
        <w:rPr>
          <w:rFonts w:ascii="Arial" w:cs="Arial" w:eastAsia="Arial" w:hAnsi="Arial"/>
          <w:b/>
          <w:bCs/>
          <w:color w:val="0F172A"/>
          <w:sz w:val="22"/>
          <w:szCs w:val="22"/>
        </w:rPr>
        <w:t xml:space="preserve">Empty state</w:t>
      </w:r>
    </w:p>
    <w:p>
      <w:pPr>
        <w:pStyle w:val="ListParagraph"/>
        <w:numPr>
          <w:ilvl w:val="0"/>
          <w:numId w:val="2"/>
        </w:numPr>
        <w:spacing w:after="60" w:before="0" w:line="280"/>
      </w:pPr>
      <w:r>
        <w:rPr>
          <w:rFonts w:ascii="Arial" w:cs="Arial" w:eastAsia="Arial" w:hAnsi="Arial"/>
          <w:color w:val="0F172A"/>
          <w:sz w:val="22"/>
          <w:szCs w:val="22"/>
        </w:rPr>
        <w:t xml:space="preserve">'No prior records at this hospital. Begin a fresh history-taking conversation.' No CTA renders.</w:t>
      </w:r>
    </w:p>
    <w:p>
      <w:pPr>
        <w:pStyle w:val="Heading2"/>
        <w:spacing w:after="120" w:before="280"/>
      </w:pPr>
      <w:r>
        <w:rPr>
          <w:rFonts w:ascii="Arial" w:cs="Arial" w:eastAsia="Arial" w:hAnsi="Arial"/>
          <w:b/>
          <w:bCs/>
          <w:color w:val="0F172A"/>
          <w:sz w:val="26"/>
          <w:szCs w:val="26"/>
        </w:rPr>
        <w:t xml:space="preserve">Intent 2 — Open loops ("What's pending or unresolved")</w:t>
      </w:r>
    </w:p>
    <w:p>
      <w:pPr>
        <w:pStyle w:val="Heading3"/>
        <w:spacing w:after="80" w:before="200"/>
      </w:pPr>
      <w:r>
        <w:rPr>
          <w:rFonts w:ascii="Arial" w:cs="Arial" w:eastAsia="Arial" w:hAnsi="Arial"/>
          <w:b/>
          <w:bCs/>
          <w:color w:val="0F172A"/>
          <w:sz w:val="22"/>
          <w:szCs w:val="22"/>
        </w:rPr>
        <w:t xml:space="preserve">Scenario</w:t>
      </w:r>
    </w:p>
    <w:p>
      <w:pPr>
        <w:pStyle w:val="ListParagraph"/>
        <w:numPr>
          <w:ilvl w:val="0"/>
          <w:numId w:val="2"/>
        </w:numPr>
        <w:spacing w:after="60" w:before="0" w:line="280"/>
      </w:pPr>
      <w:r>
        <w:rPr>
          <w:rFonts w:ascii="Arial" w:cs="Arial" w:eastAsia="Arial" w:hAnsi="Arial"/>
          <w:color w:val="0F172A"/>
          <w:sz w:val="22"/>
          <w:szCs w:val="22"/>
        </w:rPr>
        <w:t xml:space="preserve">Doctor opens a patient who has any unresolved order, referral, follow-up, or prescription cycle.</w:t>
      </w:r>
    </w:p>
    <w:p>
      <w:pPr>
        <w:pStyle w:val="ListParagraph"/>
        <w:numPr>
          <w:ilvl w:val="0"/>
          <w:numId w:val="2"/>
        </w:numPr>
        <w:spacing w:after="60" w:before="0" w:line="280"/>
      </w:pPr>
      <w:r>
        <w:rPr>
          <w:rFonts w:ascii="Arial" w:cs="Arial" w:eastAsia="Arial" w:hAnsi="Arial"/>
          <w:color w:val="0F172A"/>
          <w:sz w:val="22"/>
          <w:szCs w:val="22"/>
        </w:rPr>
        <w:t xml:space="preserve">Continuously available; ranks high when patient has a recent admission or chronic-care follow-up cycle.</w:t>
      </w:r>
    </w:p>
    <w:p>
      <w:pPr>
        <w:pStyle w:val="Heading3"/>
        <w:spacing w:after="80" w:before="200"/>
      </w:pPr>
      <w:r>
        <w:rPr>
          <w:rFonts w:ascii="Arial" w:cs="Arial" w:eastAsia="Arial" w:hAnsi="Arial"/>
          <w:b/>
          <w:bCs/>
          <w:color w:val="0F172A"/>
          <w:sz w:val="22"/>
          <w:szCs w:val="22"/>
        </w:rPr>
        <w:t xml:space="preserve">Patient applicability</w:t>
      </w:r>
    </w:p>
    <w:p>
      <w:pPr>
        <w:pStyle w:val="ListParagraph"/>
        <w:numPr>
          <w:ilvl w:val="0"/>
          <w:numId w:val="2"/>
        </w:numPr>
        <w:spacing w:after="60" w:before="0" w:line="280"/>
      </w:pPr>
      <w:r>
        <w:rPr>
          <w:rFonts w:ascii="Arial" w:cs="Arial" w:eastAsia="Arial" w:hAnsi="Arial"/>
          <w:color w:val="0F172A"/>
          <w:sz w:val="22"/>
          <w:szCs w:val="22"/>
        </w:rPr>
        <w:t xml:space="preserve">Type 1 — surfaces if the doctor's own prior orders are open.</w:t>
      </w:r>
    </w:p>
    <w:p>
      <w:pPr>
        <w:pStyle w:val="ListParagraph"/>
        <w:numPr>
          <w:ilvl w:val="0"/>
          <w:numId w:val="2"/>
        </w:numPr>
        <w:spacing w:after="60" w:before="0" w:line="280"/>
      </w:pPr>
      <w:r>
        <w:rPr>
          <w:rFonts w:ascii="Arial" w:cs="Arial" w:eastAsia="Arial" w:hAnsi="Arial"/>
          <w:color w:val="0F172A"/>
          <w:sz w:val="22"/>
          <w:szCs w:val="22"/>
        </w:rPr>
        <w:t xml:space="preserve">Type 2 — surfaces with cross-team open loops (e.g., another specialist's referral never completed). Highest value here.</w:t>
      </w:r>
    </w:p>
    <w:p>
      <w:pPr>
        <w:pStyle w:val="ListParagraph"/>
        <w:numPr>
          <w:ilvl w:val="0"/>
          <w:numId w:val="2"/>
        </w:numPr>
        <w:spacing w:after="60" w:before="0" w:line="280"/>
      </w:pPr>
      <w:r>
        <w:rPr>
          <w:rFonts w:ascii="Arial" w:cs="Arial" w:eastAsia="Arial" w:hAnsi="Arial"/>
          <w:color w:val="0F172A"/>
          <w:sz w:val="22"/>
          <w:szCs w:val="22"/>
        </w:rPr>
        <w:t xml:space="preserve">Type 3 — does not surface.</w:t>
      </w:r>
    </w:p>
    <w:p>
      <w:pPr>
        <w:pStyle w:val="Heading3"/>
        <w:spacing w:after="80" w:before="200"/>
      </w:pPr>
      <w:r>
        <w:rPr>
          <w:rFonts w:ascii="Arial" w:cs="Arial" w:eastAsia="Arial" w:hAnsi="Arial"/>
          <w:b/>
          <w:bCs/>
          <w:color w:val="0F172A"/>
          <w:sz w:val="22"/>
          <w:szCs w:val="22"/>
        </w:rPr>
        <w:t xml:space="preserve">Pre-conditions</w:t>
      </w:r>
    </w:p>
    <w:p>
      <w:pPr>
        <w:pStyle w:val="ListParagraph"/>
        <w:numPr>
          <w:ilvl w:val="0"/>
          <w:numId w:val="2"/>
        </w:numPr>
        <w:spacing w:after="60" w:before="0" w:line="280"/>
      </w:pPr>
      <w:r>
        <w:rPr>
          <w:rFonts w:ascii="Arial" w:cs="Arial" w:eastAsia="Arial" w:hAnsi="Arial"/>
          <w:color w:val="0F172A"/>
          <w:sz w:val="22"/>
          <w:szCs w:val="22"/>
        </w:rPr>
        <w:t xml:space="preserve">'Open loop' definitions are deterministic and signed off by clinical lead pre-pilot. See §4.</w:t>
      </w:r>
    </w:p>
    <w:p>
      <w:pPr>
        <w:pStyle w:val="ListParagraph"/>
        <w:numPr>
          <w:ilvl w:val="0"/>
          <w:numId w:val="2"/>
        </w:numPr>
        <w:spacing w:after="60" w:before="0" w:line="280"/>
      </w:pPr>
      <w:r>
        <w:rPr>
          <w:rFonts w:ascii="Arial" w:cs="Arial" w:eastAsia="Arial" w:hAnsi="Arial"/>
          <w:color w:val="0F172A"/>
          <w:sz w:val="22"/>
          <w:szCs w:val="22"/>
        </w:rPr>
        <w:t xml:space="preserve">Open-loop window thresholds (e.g., 'lab unresolved &gt;7 days') are clinical config, not engineering config.</w:t>
      </w:r>
    </w:p>
    <w:p>
      <w:pPr>
        <w:pStyle w:val="Heading3"/>
        <w:spacing w:after="80" w:before="200"/>
      </w:pPr>
      <w:r>
        <w:rPr>
          <w:rFonts w:ascii="Arial" w:cs="Arial" w:eastAsia="Arial" w:hAnsi="Arial"/>
          <w:b/>
          <w:bCs/>
          <w:color w:val="0F172A"/>
          <w:sz w:val="22"/>
          <w:szCs w:val="22"/>
        </w:rPr>
        <w:t xml:space="preserve">Data sources &amp; guideline anchors</w:t>
      </w:r>
    </w:p>
    <w:p>
      <w:pPr>
        <w:pStyle w:val="ListParagraph"/>
        <w:numPr>
          <w:ilvl w:val="0"/>
          <w:numId w:val="2"/>
        </w:numPr>
        <w:spacing w:after="60" w:before="0" w:line="280"/>
      </w:pPr>
      <w:r>
        <w:rPr>
          <w:rFonts w:ascii="Arial" w:cs="Arial" w:eastAsia="Arial" w:hAnsi="Arial"/>
          <w:color w:val="0F172A"/>
          <w:sz w:val="22"/>
          <w:szCs w:val="22"/>
        </w:rPr>
        <w:t xml:space="preserve">Sources: Order log + Result log + Visit log + Pharmacy dispense log + Referral log.</w:t>
      </w:r>
    </w:p>
    <w:p>
      <w:pPr>
        <w:pStyle w:val="ListParagraph"/>
        <w:numPr>
          <w:ilvl w:val="0"/>
          <w:numId w:val="2"/>
        </w:numPr>
        <w:spacing w:after="60" w:before="0" w:line="280"/>
      </w:pPr>
      <w:r>
        <w:rPr>
          <w:rFonts w:ascii="Arial" w:cs="Arial" w:eastAsia="Arial" w:hAnsi="Arial"/>
          <w:color w:val="0F172A"/>
          <w:sz w:val="22"/>
          <w:szCs w:val="22"/>
        </w:rPr>
        <w:t xml:space="preserve">Guideline anchors: none. The 'should be closed by N days' rule is a hospital operational definition, signed off by the GenMed lead. Not a clinical guideline.</w:t>
      </w:r>
    </w:p>
    <w:p>
      <w:pPr>
        <w:pStyle w:val="Heading3"/>
        <w:spacing w:after="80" w:before="200"/>
      </w:pPr>
      <w:r>
        <w:rPr>
          <w:rFonts w:ascii="Arial" w:cs="Arial" w:eastAsia="Arial" w:hAnsi="Arial"/>
          <w:b/>
          <w:bCs/>
          <w:color w:val="0F172A"/>
          <w:sz w:val="22"/>
          <w:szCs w:val="22"/>
        </w:rPr>
        <w:t xml:space="preserve">Suggestion logic tree</w:t>
      </w:r>
    </w:p>
    <w:p>
      <w:pPr>
        <w:pStyle w:val="ListParagraph"/>
        <w:numPr>
          <w:ilvl w:val="0"/>
          <w:numId w:val="2"/>
        </w:numPr>
        <w:spacing w:after="60" w:before="0" w:line="280"/>
      </w:pPr>
      <w:r>
        <w:rPr>
          <w:rFonts w:ascii="Arial" w:cs="Arial" w:eastAsia="Arial" w:hAnsi="Arial"/>
          <w:color w:val="0F172A"/>
          <w:sz w:val="22"/>
          <w:szCs w:val="22"/>
        </w:rPr>
        <w:t xml:space="preserve">Open-loop detector runs four checks per patient:</w:t>
      </w:r>
    </w:p>
    <w:p>
      <w:pPr>
        <w:pStyle w:val="ListParagraph"/>
        <w:numPr>
          <w:ilvl w:val="1"/>
          <w:numId w:val="2"/>
        </w:numPr>
        <w:spacing w:after="60" w:before="0" w:line="280"/>
      </w:pPr>
      <w:r>
        <w:rPr>
          <w:rFonts w:ascii="Arial" w:cs="Arial" w:eastAsia="Arial" w:hAnsi="Arial"/>
          <w:color w:val="0F172A"/>
          <w:sz w:val="22"/>
          <w:szCs w:val="22"/>
        </w:rPr>
        <w:t xml:space="preserve">(a) Lab order placed &gt;7 days ago without matching result → 'Unresolved lab'.</w:t>
      </w:r>
    </w:p>
    <w:p>
      <w:pPr>
        <w:pStyle w:val="ListParagraph"/>
        <w:numPr>
          <w:ilvl w:val="1"/>
          <w:numId w:val="2"/>
        </w:numPr>
        <w:spacing w:after="60" w:before="0" w:line="280"/>
      </w:pPr>
      <w:r>
        <w:rPr>
          <w:rFonts w:ascii="Arial" w:cs="Arial" w:eastAsia="Arial" w:hAnsi="Arial"/>
          <w:color w:val="0F172A"/>
          <w:sz w:val="22"/>
          <w:szCs w:val="22"/>
        </w:rPr>
        <w:t xml:space="preserve">(b) Internal referral placed &gt;30 days ago with no related visit in the destination department → 'Unfinished referral'.</w:t>
      </w:r>
    </w:p>
    <w:p>
      <w:pPr>
        <w:pStyle w:val="ListParagraph"/>
        <w:numPr>
          <w:ilvl w:val="1"/>
          <w:numId w:val="2"/>
        </w:numPr>
        <w:spacing w:after="60" w:before="0" w:line="280"/>
      </w:pPr>
      <w:r>
        <w:rPr>
          <w:rFonts w:ascii="Arial" w:cs="Arial" w:eastAsia="Arial" w:hAnsi="Arial"/>
          <w:color w:val="0F172A"/>
          <w:sz w:val="22"/>
          <w:szCs w:val="22"/>
        </w:rPr>
        <w:t xml:space="preserve">(c) Follow-up appointment booked but visit_status = 'no-show' → 'Missed follow-up'.</w:t>
      </w:r>
    </w:p>
    <w:p>
      <w:pPr>
        <w:pStyle w:val="ListParagraph"/>
        <w:numPr>
          <w:ilvl w:val="1"/>
          <w:numId w:val="2"/>
        </w:numPr>
        <w:spacing w:after="60" w:before="0" w:line="280"/>
      </w:pPr>
      <w:r>
        <w:rPr>
          <w:rFonts w:ascii="Arial" w:cs="Arial" w:eastAsia="Arial" w:hAnsi="Arial"/>
          <w:color w:val="0F172A"/>
          <w:sz w:val="22"/>
          <w:szCs w:val="22"/>
        </w:rPr>
        <w:t xml:space="preserve">(d) Active chronic prescription with no in-hospital pharmacy dispense in last 90 days (note: signal, not adherence truth — see §6) → 'No recent fill'.</w:t>
      </w:r>
    </w:p>
    <w:p>
      <w:pPr>
        <w:pStyle w:val="ListParagraph"/>
        <w:numPr>
          <w:ilvl w:val="0"/>
          <w:numId w:val="2"/>
        </w:numPr>
        <w:spacing w:after="60" w:before="0" w:line="280"/>
      </w:pPr>
      <w:r>
        <w:rPr>
          <w:rFonts w:ascii="Arial" w:cs="Arial" w:eastAsia="Arial" w:hAnsi="Arial"/>
          <w:color w:val="0F172A"/>
          <w:sz w:val="22"/>
          <w:szCs w:val="22"/>
        </w:rPr>
        <w:t xml:space="preserve">IF total_open_loops == 0 → do not surface. Empty state: 'Nothing pending'.</w:t>
      </w:r>
    </w:p>
    <w:p>
      <w:pPr>
        <w:pStyle w:val="ListParagraph"/>
        <w:numPr>
          <w:ilvl w:val="0"/>
          <w:numId w:val="2"/>
        </w:numPr>
        <w:spacing w:after="60" w:before="0" w:line="280"/>
      </w:pPr>
      <w:r>
        <w:rPr>
          <w:rFonts w:ascii="Arial" w:cs="Arial" w:eastAsia="Arial" w:hAnsi="Arial"/>
          <w:color w:val="0F172A"/>
          <w:sz w:val="22"/>
          <w:szCs w:val="22"/>
        </w:rPr>
        <w:t xml:space="preserve">IF total_open_loops ≥ 1 → surface CTA. Peek lists up to 3 most recent loops.</w:t>
      </w:r>
    </w:p>
    <w:p>
      <w:pPr>
        <w:pStyle w:val="Heading3"/>
        <w:spacing w:after="80" w:before="200"/>
      </w:pPr>
      <w:r>
        <w:rPr>
          <w:rFonts w:ascii="Arial" w:cs="Arial" w:eastAsia="Arial" w:hAnsi="Arial"/>
          <w:b/>
          <w:bCs/>
          <w:color w:val="0F172A"/>
          <w:sz w:val="22"/>
          <w:szCs w:val="22"/>
        </w:rPr>
        <w:t xml:space="preserve">Response logic tree</w:t>
      </w:r>
    </w:p>
    <w:p>
      <w:pPr>
        <w:pStyle w:val="ListParagraph"/>
        <w:numPr>
          <w:ilvl w:val="0"/>
          <w:numId w:val="2"/>
        </w:numPr>
        <w:spacing w:after="60" w:before="0" w:line="280"/>
      </w:pPr>
      <w:r>
        <w:rPr>
          <w:rFonts w:ascii="Arial" w:cs="Arial" w:eastAsia="Arial" w:hAnsi="Arial"/>
          <w:color w:val="0F172A"/>
          <w:sz w:val="22"/>
          <w:szCs w:val="22"/>
        </w:rPr>
        <w:t xml:space="preserve">Sort all open loops by age in days, descending.</w:t>
      </w:r>
    </w:p>
    <w:p>
      <w:pPr>
        <w:pStyle w:val="ListParagraph"/>
        <w:numPr>
          <w:ilvl w:val="0"/>
          <w:numId w:val="2"/>
        </w:numPr>
        <w:spacing w:after="60" w:before="0" w:line="280"/>
      </w:pPr>
      <w:r>
        <w:rPr>
          <w:rFonts w:ascii="Arial" w:cs="Arial" w:eastAsia="Arial" w:hAnsi="Arial"/>
          <w:color w:val="0F172A"/>
          <w:sz w:val="22"/>
          <w:szCs w:val="22"/>
        </w:rPr>
        <w:t xml:space="preserve">Group by type (lab / referral / follow-up / prescription).</w:t>
      </w:r>
    </w:p>
    <w:p>
      <w:pPr>
        <w:pStyle w:val="ListParagraph"/>
        <w:numPr>
          <w:ilvl w:val="0"/>
          <w:numId w:val="2"/>
        </w:numPr>
        <w:spacing w:after="60" w:before="0" w:line="280"/>
      </w:pPr>
      <w:r>
        <w:rPr>
          <w:rFonts w:ascii="Arial" w:cs="Arial" w:eastAsia="Arial" w:hAnsi="Arial"/>
          <w:color w:val="0F172A"/>
          <w:sz w:val="22"/>
          <w:szCs w:val="22"/>
        </w:rPr>
        <w:t xml:space="preserve">Render as table envelope: type · what · originator · date originated · age in days · destination.</w:t>
      </w:r>
    </w:p>
    <w:p>
      <w:pPr>
        <w:pStyle w:val="ListParagraph"/>
        <w:numPr>
          <w:ilvl w:val="0"/>
          <w:numId w:val="2"/>
        </w:numPr>
        <w:spacing w:after="60" w:before="0" w:line="280"/>
      </w:pPr>
      <w:r>
        <w:rPr>
          <w:rFonts w:ascii="Arial" w:cs="Arial" w:eastAsia="Arial" w:hAnsi="Arial"/>
          <w:color w:val="0F172A"/>
          <w:sz w:val="22"/>
          <w:szCs w:val="22"/>
        </w:rPr>
        <w:t xml:space="preserve">Each row carries the source record id (order_id / referral_id / appointment_id) and is clickable to a source-row panel.</w:t>
      </w:r>
    </w:p>
    <w:p>
      <w:pPr>
        <w:pStyle w:val="Heading3"/>
        <w:spacing w:after="80" w:before="200"/>
      </w:pPr>
      <w:r>
        <w:rPr>
          <w:rFonts w:ascii="Arial" w:cs="Arial" w:eastAsia="Arial" w:hAnsi="Arial"/>
          <w:b/>
          <w:bCs/>
          <w:color w:val="0F172A"/>
          <w:sz w:val="22"/>
          <w:szCs w:val="22"/>
        </w:rPr>
        <w:t xml:space="preserve">Validation rule</w:t>
      </w:r>
    </w:p>
    <w:p>
      <w:pPr>
        <w:pStyle w:val="ListParagraph"/>
        <w:numPr>
          <w:ilvl w:val="0"/>
          <w:numId w:val="2"/>
        </w:numPr>
        <w:spacing w:after="60" w:before="0" w:line="280"/>
      </w:pPr>
      <w:r>
        <w:rPr>
          <w:rFonts w:ascii="Arial" w:cs="Arial" w:eastAsia="Arial" w:hAnsi="Arial"/>
          <w:color w:val="0F172A"/>
          <w:sz w:val="22"/>
          <w:szCs w:val="22"/>
        </w:rPr>
        <w:t xml:space="preserve">Each open-loop count must derive from a deterministic Cypher query whose definition matches the signed-off rule. Two doctors viewing the same patient must see the same loops.</w:t>
      </w:r>
    </w:p>
    <w:p>
      <w:pPr>
        <w:pStyle w:val="ListParagraph"/>
        <w:numPr>
          <w:ilvl w:val="0"/>
          <w:numId w:val="2"/>
        </w:numPr>
        <w:spacing w:after="60" w:before="0" w:line="280"/>
      </w:pPr>
      <w:r>
        <w:rPr>
          <w:rFonts w:ascii="Arial" w:cs="Arial" w:eastAsia="Arial" w:hAnsi="Arial"/>
          <w:color w:val="0F172A"/>
          <w:sz w:val="22"/>
          <w:szCs w:val="22"/>
        </w:rPr>
        <w:t xml:space="preserve">'No recent fill' rows must explicitly disclose the limitation: 'Pharmacy data is in-hospital only — patient may have filled outside.'</w:t>
      </w:r>
    </w:p>
    <w:p>
      <w:pPr>
        <w:pStyle w:val="Heading3"/>
        <w:spacing w:after="80" w:before="200"/>
      </w:pPr>
      <w:r>
        <w:rPr>
          <w:rFonts w:ascii="Arial" w:cs="Arial" w:eastAsia="Arial" w:hAnsi="Arial"/>
          <w:b/>
          <w:bCs/>
          <w:color w:val="0F172A"/>
          <w:sz w:val="22"/>
          <w:szCs w:val="22"/>
        </w:rPr>
        <w:t xml:space="preserve">Empty state</w:t>
      </w:r>
    </w:p>
    <w:p>
      <w:pPr>
        <w:pStyle w:val="ListParagraph"/>
        <w:numPr>
          <w:ilvl w:val="0"/>
          <w:numId w:val="2"/>
        </w:numPr>
        <w:spacing w:after="60" w:before="0" w:line="280"/>
      </w:pPr>
      <w:r>
        <w:rPr>
          <w:rFonts w:ascii="Arial" w:cs="Arial" w:eastAsia="Arial" w:hAnsi="Arial"/>
          <w:color w:val="0F172A"/>
          <w:sz w:val="22"/>
          <w:szCs w:val="22"/>
        </w:rPr>
        <w:t xml:space="preserve">'Nothing pending for this patient. Last verified &lt;timestamp&gt;.'</w:t>
      </w:r>
    </w:p>
    <w:p>
      <w:pPr>
        <w:pStyle w:val="Heading2"/>
        <w:spacing w:after="120" w:before="280"/>
      </w:pPr>
      <w:r>
        <w:rPr>
          <w:rFonts w:ascii="Arial" w:cs="Arial" w:eastAsia="Arial" w:hAnsi="Arial"/>
          <w:b/>
          <w:bCs/>
          <w:color w:val="0F172A"/>
          <w:sz w:val="26"/>
          <w:szCs w:val="26"/>
        </w:rPr>
        <w:t xml:space="preserve">Intent 3 — Pre-action safety ("Active meds, allergies, recent labs")</w:t>
      </w:r>
    </w:p>
    <w:p>
      <w:pPr>
        <w:pStyle w:val="Heading3"/>
        <w:spacing w:after="80" w:before="200"/>
      </w:pPr>
      <w:r>
        <w:rPr>
          <w:rFonts w:ascii="Arial" w:cs="Arial" w:eastAsia="Arial" w:hAnsi="Arial"/>
          <w:b/>
          <w:bCs/>
          <w:color w:val="0F172A"/>
          <w:sz w:val="22"/>
          <w:szCs w:val="22"/>
        </w:rPr>
        <w:t xml:space="preserve">Scenario</w:t>
      </w:r>
    </w:p>
    <w:p>
      <w:pPr>
        <w:pStyle w:val="ListParagraph"/>
        <w:numPr>
          <w:ilvl w:val="0"/>
          <w:numId w:val="2"/>
        </w:numPr>
        <w:spacing w:after="60" w:before="0" w:line="280"/>
      </w:pPr>
      <w:r>
        <w:rPr>
          <w:rFonts w:ascii="Arial" w:cs="Arial" w:eastAsia="Arial" w:hAnsi="Arial"/>
          <w:color w:val="0F172A"/>
          <w:sz w:val="22"/>
          <w:szCs w:val="22"/>
        </w:rPr>
        <w:t xml:space="preserve">Always available. Most relevant immediately before the doctor prescribes, orders, or refers.</w:t>
      </w:r>
    </w:p>
    <w:p>
      <w:pPr>
        <w:pStyle w:val="ListParagraph"/>
        <w:numPr>
          <w:ilvl w:val="0"/>
          <w:numId w:val="2"/>
        </w:numPr>
        <w:spacing w:after="60" w:before="0" w:line="280"/>
      </w:pPr>
      <w:r>
        <w:rPr>
          <w:rFonts w:ascii="Arial" w:cs="Arial" w:eastAsia="Arial" w:hAnsi="Arial"/>
          <w:color w:val="0F172A"/>
          <w:sz w:val="22"/>
          <w:szCs w:val="22"/>
        </w:rPr>
        <w:t xml:space="preserve">Surfaces when the patient has at least one active medication, recorded allergy, or recent lab in the last 30 days.</w:t>
      </w:r>
    </w:p>
    <w:p>
      <w:pPr>
        <w:pStyle w:val="Heading3"/>
        <w:spacing w:after="80" w:before="200"/>
      </w:pPr>
      <w:r>
        <w:rPr>
          <w:rFonts w:ascii="Arial" w:cs="Arial" w:eastAsia="Arial" w:hAnsi="Arial"/>
          <w:b/>
          <w:bCs/>
          <w:color w:val="0F172A"/>
          <w:sz w:val="22"/>
          <w:szCs w:val="22"/>
        </w:rPr>
        <w:t xml:space="preserve">Patient applicability</w:t>
      </w:r>
    </w:p>
    <w:p>
      <w:pPr>
        <w:pStyle w:val="ListParagraph"/>
        <w:numPr>
          <w:ilvl w:val="0"/>
          <w:numId w:val="2"/>
        </w:numPr>
        <w:spacing w:after="60" w:before="0" w:line="280"/>
      </w:pPr>
      <w:r>
        <w:rPr>
          <w:rFonts w:ascii="Arial" w:cs="Arial" w:eastAsia="Arial" w:hAnsi="Arial"/>
          <w:color w:val="0F172A"/>
          <w:sz w:val="22"/>
          <w:szCs w:val="22"/>
        </w:rPr>
        <w:t xml:space="preserve">Type 1, Type 2 — surfaces.</w:t>
      </w:r>
    </w:p>
    <w:p>
      <w:pPr>
        <w:pStyle w:val="ListParagraph"/>
        <w:numPr>
          <w:ilvl w:val="0"/>
          <w:numId w:val="2"/>
        </w:numPr>
        <w:spacing w:after="60" w:before="0" w:line="280"/>
      </w:pPr>
      <w:r>
        <w:rPr>
          <w:rFonts w:ascii="Arial" w:cs="Arial" w:eastAsia="Arial" w:hAnsi="Arial"/>
          <w:color w:val="0F172A"/>
          <w:sz w:val="22"/>
          <w:szCs w:val="22"/>
        </w:rPr>
        <w:t xml:space="preserve">Type 3 — does not surface; renders 'No medication / allergy / lab history. Take a verbal history before prescribing.'</w:t>
      </w:r>
    </w:p>
    <w:p>
      <w:pPr>
        <w:pStyle w:val="Heading3"/>
        <w:spacing w:after="80" w:before="200"/>
      </w:pPr>
      <w:r>
        <w:rPr>
          <w:rFonts w:ascii="Arial" w:cs="Arial" w:eastAsia="Arial" w:hAnsi="Arial"/>
          <w:b/>
          <w:bCs/>
          <w:color w:val="0F172A"/>
          <w:sz w:val="22"/>
          <w:szCs w:val="22"/>
        </w:rPr>
        <w:t xml:space="preserve">Pre-conditions</w:t>
      </w:r>
    </w:p>
    <w:p>
      <w:pPr>
        <w:pStyle w:val="ListParagraph"/>
        <w:numPr>
          <w:ilvl w:val="0"/>
          <w:numId w:val="2"/>
        </w:numPr>
        <w:spacing w:after="60" w:before="0" w:line="280"/>
      </w:pPr>
      <w:r>
        <w:rPr>
          <w:rFonts w:ascii="Arial" w:cs="Arial" w:eastAsia="Arial" w:hAnsi="Arial"/>
          <w:color w:val="0F172A"/>
          <w:sz w:val="22"/>
          <w:szCs w:val="22"/>
        </w:rPr>
        <w:t xml:space="preserve">Drug-drug interaction (DDI) reference is loaded (see §4 — V0 Zydus reference: hospital pharmacy formulary + Lexicomp class-level rules).</w:t>
      </w:r>
    </w:p>
    <w:p>
      <w:pPr>
        <w:pStyle w:val="ListParagraph"/>
        <w:numPr>
          <w:ilvl w:val="0"/>
          <w:numId w:val="2"/>
        </w:numPr>
        <w:spacing w:after="60" w:before="0" w:line="280"/>
      </w:pPr>
      <w:r>
        <w:rPr>
          <w:rFonts w:ascii="Arial" w:cs="Arial" w:eastAsia="Arial" w:hAnsi="Arial"/>
          <w:color w:val="0F172A"/>
          <w:sz w:val="22"/>
          <w:szCs w:val="22"/>
        </w:rPr>
        <w:t xml:space="preserve">Critical-threshold table for the specialty pack is signed off.</w:t>
      </w:r>
    </w:p>
    <w:p>
      <w:pPr>
        <w:pStyle w:val="Heading3"/>
        <w:spacing w:after="80" w:before="200"/>
      </w:pPr>
      <w:r>
        <w:rPr>
          <w:rFonts w:ascii="Arial" w:cs="Arial" w:eastAsia="Arial" w:hAnsi="Arial"/>
          <w:b/>
          <w:bCs/>
          <w:color w:val="0F172A"/>
          <w:sz w:val="22"/>
          <w:szCs w:val="22"/>
        </w:rPr>
        <w:t xml:space="preserve">Data sources &amp; guideline anchors</w:t>
      </w:r>
    </w:p>
    <w:p>
      <w:pPr>
        <w:pStyle w:val="ListParagraph"/>
        <w:numPr>
          <w:ilvl w:val="0"/>
          <w:numId w:val="2"/>
        </w:numPr>
        <w:spacing w:after="60" w:before="0" w:line="280"/>
      </w:pPr>
      <w:r>
        <w:rPr>
          <w:rFonts w:ascii="Arial" w:cs="Arial" w:eastAsia="Arial" w:hAnsi="Arial"/>
          <w:color w:val="0F172A"/>
          <w:sz w:val="22"/>
          <w:szCs w:val="22"/>
        </w:rPr>
        <w:t xml:space="preserve">Sources: drug_exposure (active) + observation (allergies) + measurement (recent labs) + DDI rule-base.</w:t>
      </w:r>
    </w:p>
    <w:p>
      <w:pPr>
        <w:pStyle w:val="ListParagraph"/>
        <w:numPr>
          <w:ilvl w:val="0"/>
          <w:numId w:val="2"/>
        </w:numPr>
        <w:spacing w:after="60" w:before="0" w:line="280"/>
      </w:pPr>
      <w:r>
        <w:rPr>
          <w:rFonts w:ascii="Arial" w:cs="Arial" w:eastAsia="Arial" w:hAnsi="Arial"/>
          <w:color w:val="0F172A"/>
          <w:sz w:val="22"/>
          <w:szCs w:val="22"/>
        </w:rPr>
        <w:t xml:space="preserve">Guideline anchors: WHO Essential Medicines List (safe-prescribing baseline); plus condition-specific anchors used elsewhere in V0 — ADA 2024 (diabetes), WHO Hypertension Guidelines 2023 (HTN), NICE NG56 (polypharmacy review).</w:t>
      </w:r>
    </w:p>
    <w:p>
      <w:pPr>
        <w:pStyle w:val="Heading3"/>
        <w:spacing w:after="80" w:before="200"/>
      </w:pPr>
      <w:r>
        <w:rPr>
          <w:rFonts w:ascii="Arial" w:cs="Arial" w:eastAsia="Arial" w:hAnsi="Arial"/>
          <w:b/>
          <w:bCs/>
          <w:color w:val="0F172A"/>
          <w:sz w:val="22"/>
          <w:szCs w:val="22"/>
        </w:rPr>
        <w:t xml:space="preserve">Suggestion logic tree</w:t>
      </w:r>
    </w:p>
    <w:p>
      <w:pPr>
        <w:pStyle w:val="ListParagraph"/>
        <w:numPr>
          <w:ilvl w:val="0"/>
          <w:numId w:val="2"/>
        </w:numPr>
        <w:spacing w:after="60" w:before="0" w:line="280"/>
      </w:pPr>
      <w:r>
        <w:rPr>
          <w:rFonts w:ascii="Arial" w:cs="Arial" w:eastAsia="Arial" w:hAnsi="Arial"/>
          <w:color w:val="0F172A"/>
          <w:sz w:val="22"/>
          <w:szCs w:val="22"/>
        </w:rPr>
        <w:t xml:space="preserve">Always render this CTA in patient context. The peek is shaped by what is actually present:</w:t>
      </w:r>
    </w:p>
    <w:p>
      <w:pPr>
        <w:pStyle w:val="ListParagraph"/>
        <w:numPr>
          <w:ilvl w:val="1"/>
          <w:numId w:val="2"/>
        </w:numPr>
        <w:spacing w:after="60" w:before="0" w:line="280"/>
      </w:pPr>
      <w:r>
        <w:rPr>
          <w:rFonts w:ascii="Arial" w:cs="Arial" w:eastAsia="Arial" w:hAnsi="Arial"/>
          <w:color w:val="0F172A"/>
          <w:sz w:val="22"/>
          <w:szCs w:val="22"/>
        </w:rPr>
        <w:t xml:space="preserve">IF any active high-risk medication (anticoag / immunosuppressant / opioid / chemo) → highlight that med first.</w:t>
      </w:r>
    </w:p>
    <w:p>
      <w:pPr>
        <w:pStyle w:val="ListParagraph"/>
        <w:numPr>
          <w:ilvl w:val="1"/>
          <w:numId w:val="2"/>
        </w:numPr>
        <w:spacing w:after="60" w:before="0" w:line="280"/>
      </w:pPr>
      <w:r>
        <w:rPr>
          <w:rFonts w:ascii="Arial" w:cs="Arial" w:eastAsia="Arial" w:hAnsi="Arial"/>
          <w:color w:val="0F172A"/>
          <w:sz w:val="22"/>
          <w:szCs w:val="22"/>
        </w:rPr>
        <w:t xml:space="preserve">IF a same-class lab was done in last 30 days → flag 'don't re-order' explicitly.</w:t>
      </w:r>
    </w:p>
    <w:p>
      <w:pPr>
        <w:pStyle w:val="ListParagraph"/>
        <w:numPr>
          <w:ilvl w:val="1"/>
          <w:numId w:val="2"/>
        </w:numPr>
        <w:spacing w:after="60" w:before="0" w:line="280"/>
      </w:pPr>
      <w:r>
        <w:rPr>
          <w:rFonts w:ascii="Arial" w:cs="Arial" w:eastAsia="Arial" w:hAnsi="Arial"/>
          <w:color w:val="0F172A"/>
          <w:sz w:val="22"/>
          <w:szCs w:val="22"/>
        </w:rPr>
        <w:t xml:space="preserve">IF an allergy is on chart → list it on the peek.</w:t>
      </w:r>
    </w:p>
    <w:p>
      <w:pPr>
        <w:pStyle w:val="Heading3"/>
        <w:spacing w:after="80" w:before="200"/>
      </w:pPr>
      <w:r>
        <w:rPr>
          <w:rFonts w:ascii="Arial" w:cs="Arial" w:eastAsia="Arial" w:hAnsi="Arial"/>
          <w:b/>
          <w:bCs/>
          <w:color w:val="0F172A"/>
          <w:sz w:val="22"/>
          <w:szCs w:val="22"/>
        </w:rPr>
        <w:t xml:space="preserve">Response logic tree</w:t>
      </w:r>
    </w:p>
    <w:p>
      <w:pPr>
        <w:pStyle w:val="ListParagraph"/>
        <w:numPr>
          <w:ilvl w:val="0"/>
          <w:numId w:val="2"/>
        </w:numPr>
        <w:spacing w:after="60" w:before="0" w:line="280"/>
      </w:pPr>
      <w:r>
        <w:rPr>
          <w:rFonts w:ascii="Arial" w:cs="Arial" w:eastAsia="Arial" w:hAnsi="Arial"/>
          <w:color w:val="0F172A"/>
          <w:sz w:val="22"/>
          <w:szCs w:val="22"/>
        </w:rPr>
        <w:t xml:space="preserve">Render active medications as a table: drug · dose · prescriber · specialty · start date.</w:t>
      </w:r>
    </w:p>
    <w:p>
      <w:pPr>
        <w:pStyle w:val="ListParagraph"/>
        <w:numPr>
          <w:ilvl w:val="0"/>
          <w:numId w:val="2"/>
        </w:numPr>
        <w:spacing w:after="60" w:before="0" w:line="280"/>
      </w:pPr>
      <w:r>
        <w:rPr>
          <w:rFonts w:ascii="Arial" w:cs="Arial" w:eastAsia="Arial" w:hAnsi="Arial"/>
          <w:color w:val="0F172A"/>
          <w:sz w:val="22"/>
          <w:szCs w:val="22"/>
        </w:rPr>
        <w:t xml:space="preserve">For each med, run DDI rule-base; flag interactions at class level (e.g., 'apixaban + NSAIDs class C — bleed risk per Lexicomp').</w:t>
      </w:r>
    </w:p>
    <w:p>
      <w:pPr>
        <w:pStyle w:val="ListParagraph"/>
        <w:numPr>
          <w:ilvl w:val="0"/>
          <w:numId w:val="2"/>
        </w:numPr>
        <w:spacing w:after="60" w:before="0" w:line="280"/>
      </w:pPr>
      <w:r>
        <w:rPr>
          <w:rFonts w:ascii="Arial" w:cs="Arial" w:eastAsia="Arial" w:hAnsi="Arial"/>
          <w:color w:val="0F172A"/>
          <w:sz w:val="22"/>
          <w:szCs w:val="22"/>
        </w:rPr>
        <w:t xml:space="preserve">Render allergies block.</w:t>
      </w:r>
    </w:p>
    <w:p>
      <w:pPr>
        <w:pStyle w:val="ListParagraph"/>
        <w:numPr>
          <w:ilvl w:val="0"/>
          <w:numId w:val="2"/>
        </w:numPr>
        <w:spacing w:after="60" w:before="0" w:line="280"/>
      </w:pPr>
      <w:r>
        <w:rPr>
          <w:rFonts w:ascii="Arial" w:cs="Arial" w:eastAsia="Arial" w:hAnsi="Arial"/>
          <w:color w:val="0F172A"/>
          <w:sz w:val="22"/>
          <w:szCs w:val="22"/>
        </w:rPr>
        <w:t xml:space="preserve">Render last-30-days labs grouped by category, with date and result; values vs threshold are coloured but not interpreted.</w:t>
      </w:r>
    </w:p>
    <w:p>
      <w:pPr>
        <w:pStyle w:val="ListParagraph"/>
        <w:numPr>
          <w:ilvl w:val="0"/>
          <w:numId w:val="2"/>
        </w:numPr>
        <w:spacing w:after="60" w:before="0" w:line="280"/>
      </w:pPr>
      <w:r>
        <w:rPr>
          <w:rFonts w:ascii="Arial" w:cs="Arial" w:eastAsia="Arial" w:hAnsi="Arial"/>
          <w:color w:val="0F172A"/>
          <w:sz w:val="22"/>
          <w:szCs w:val="22"/>
        </w:rPr>
        <w:t xml:space="preserve">Recent same-test ordering in last 30 days shown explicitly: '⚠ Same test ordered 8 days ago — reuse this result?'</w:t>
      </w:r>
    </w:p>
    <w:p>
      <w:pPr>
        <w:pStyle w:val="Heading3"/>
        <w:spacing w:after="80" w:before="200"/>
      </w:pPr>
      <w:r>
        <w:rPr>
          <w:rFonts w:ascii="Arial" w:cs="Arial" w:eastAsia="Arial" w:hAnsi="Arial"/>
          <w:b/>
          <w:bCs/>
          <w:color w:val="0F172A"/>
          <w:sz w:val="22"/>
          <w:szCs w:val="22"/>
        </w:rPr>
        <w:t xml:space="preserve">Validation rule</w:t>
      </w:r>
    </w:p>
    <w:p>
      <w:pPr>
        <w:pStyle w:val="ListParagraph"/>
        <w:numPr>
          <w:ilvl w:val="0"/>
          <w:numId w:val="2"/>
        </w:numPr>
        <w:spacing w:after="60" w:before="0" w:line="280"/>
      </w:pPr>
      <w:r>
        <w:rPr>
          <w:rFonts w:ascii="Arial" w:cs="Arial" w:eastAsia="Arial" w:hAnsi="Arial"/>
          <w:color w:val="0F172A"/>
          <w:sz w:val="22"/>
          <w:szCs w:val="22"/>
        </w:rPr>
        <w:t xml:space="preserve">Every DDI claim cites the rule-base entry id (or class-level rule id).</w:t>
      </w:r>
    </w:p>
    <w:p>
      <w:pPr>
        <w:pStyle w:val="ListParagraph"/>
        <w:numPr>
          <w:ilvl w:val="0"/>
          <w:numId w:val="2"/>
        </w:numPr>
        <w:spacing w:after="60" w:before="0" w:line="280"/>
      </w:pPr>
      <w:r>
        <w:rPr>
          <w:rFonts w:ascii="Arial" w:cs="Arial" w:eastAsia="Arial" w:hAnsi="Arial"/>
          <w:color w:val="0F172A"/>
          <w:sz w:val="22"/>
          <w:szCs w:val="22"/>
        </w:rPr>
        <w:t xml:space="preserve">Threshold colouring uses the signed-off threshold table only; LLM-suggested thresholds are forbidden.</w:t>
      </w:r>
    </w:p>
    <w:p>
      <w:pPr>
        <w:pStyle w:val="ListParagraph"/>
        <w:numPr>
          <w:ilvl w:val="0"/>
          <w:numId w:val="2"/>
        </w:numPr>
        <w:spacing w:after="60" w:before="0" w:line="280"/>
      </w:pPr>
      <w:r>
        <w:rPr>
          <w:rFonts w:ascii="Arial" w:cs="Arial" w:eastAsia="Arial" w:hAnsi="Arial"/>
          <w:color w:val="0F172A"/>
          <w:sz w:val="22"/>
          <w:szCs w:val="22"/>
        </w:rPr>
        <w:t xml:space="preserve">'Don't re-order' phrasing is not a recommendation — it is a literal display of the prior order's date and result. The doctor decides.</w:t>
      </w:r>
    </w:p>
    <w:p>
      <w:pPr>
        <w:pStyle w:val="Heading3"/>
        <w:spacing w:after="80" w:before="200"/>
      </w:pPr>
      <w:r>
        <w:rPr>
          <w:rFonts w:ascii="Arial" w:cs="Arial" w:eastAsia="Arial" w:hAnsi="Arial"/>
          <w:b/>
          <w:bCs/>
          <w:color w:val="0F172A"/>
          <w:sz w:val="22"/>
          <w:szCs w:val="22"/>
        </w:rPr>
        <w:t xml:space="preserve">Empty state</w:t>
      </w:r>
    </w:p>
    <w:p>
      <w:pPr>
        <w:pStyle w:val="ListParagraph"/>
        <w:numPr>
          <w:ilvl w:val="0"/>
          <w:numId w:val="2"/>
        </w:numPr>
        <w:spacing w:after="60" w:before="0" w:line="280"/>
      </w:pPr>
      <w:r>
        <w:rPr>
          <w:rFonts w:ascii="Arial" w:cs="Arial" w:eastAsia="Arial" w:hAnsi="Arial"/>
          <w:color w:val="0F172A"/>
          <w:sz w:val="22"/>
          <w:szCs w:val="22"/>
        </w:rPr>
        <w:t xml:space="preserve">'No active medications, allergies, or recent labs on file at this hospital. Verify verbally before prescribing.'</w:t>
      </w:r>
    </w:p>
    <w:p>
      <w:pPr>
        <w:pStyle w:val="Heading2"/>
        <w:spacing w:after="120" w:before="280"/>
      </w:pPr>
      <w:r>
        <w:rPr>
          <w:rFonts w:ascii="Arial" w:cs="Arial" w:eastAsia="Arial" w:hAnsi="Arial"/>
          <w:b/>
          <w:bCs/>
          <w:color w:val="0F172A"/>
          <w:sz w:val="26"/>
          <w:szCs w:val="26"/>
        </w:rPr>
        <w:t xml:space="preserve">Intent 4 — Today's flags ("Why this patient was surfaced today")</w:t>
      </w:r>
    </w:p>
    <w:p>
      <w:pPr>
        <w:pStyle w:val="Heading3"/>
        <w:spacing w:after="80" w:before="200"/>
      </w:pPr>
      <w:r>
        <w:rPr>
          <w:rFonts w:ascii="Arial" w:cs="Arial" w:eastAsia="Arial" w:hAnsi="Arial"/>
          <w:b/>
          <w:bCs/>
          <w:color w:val="0F172A"/>
          <w:sz w:val="22"/>
          <w:szCs w:val="22"/>
        </w:rPr>
        <w:t xml:space="preserve">Scenario</w:t>
      </w:r>
    </w:p>
    <w:p>
      <w:pPr>
        <w:pStyle w:val="ListParagraph"/>
        <w:numPr>
          <w:ilvl w:val="0"/>
          <w:numId w:val="2"/>
        </w:numPr>
        <w:spacing w:after="60" w:before="0" w:line="280"/>
      </w:pPr>
      <w:r>
        <w:rPr>
          <w:rFonts w:ascii="Arial" w:cs="Arial" w:eastAsia="Arial" w:hAnsi="Arial"/>
          <w:color w:val="0F172A"/>
          <w:sz w:val="22"/>
          <w:szCs w:val="22"/>
        </w:rPr>
        <w:t xml:space="preserve">Patient is on the doctor's panel today (OPD slot or IPD ward) AND at least one trigger condition fires.</w:t>
      </w:r>
    </w:p>
    <w:p>
      <w:pPr>
        <w:pStyle w:val="ListParagraph"/>
        <w:numPr>
          <w:ilvl w:val="0"/>
          <w:numId w:val="2"/>
        </w:numPr>
        <w:spacing w:after="60" w:before="0" w:line="280"/>
      </w:pPr>
      <w:r>
        <w:rPr>
          <w:rFonts w:ascii="Arial" w:cs="Arial" w:eastAsia="Arial" w:hAnsi="Arial"/>
          <w:color w:val="0F172A"/>
          <w:sz w:val="22"/>
          <w:szCs w:val="22"/>
        </w:rPr>
        <w:t xml:space="preserve">This is the morning-scan intent. It exists at the patient level (this card) and at the panel level (separate panel-audit surface, see Intent 5).</w:t>
      </w:r>
    </w:p>
    <w:p>
      <w:pPr>
        <w:pStyle w:val="Heading3"/>
        <w:spacing w:after="80" w:before="200"/>
      </w:pPr>
      <w:r>
        <w:rPr>
          <w:rFonts w:ascii="Arial" w:cs="Arial" w:eastAsia="Arial" w:hAnsi="Arial"/>
          <w:b/>
          <w:bCs/>
          <w:color w:val="0F172A"/>
          <w:sz w:val="22"/>
          <w:szCs w:val="22"/>
        </w:rPr>
        <w:t xml:space="preserve">Patient applicability</w:t>
      </w:r>
    </w:p>
    <w:p>
      <w:pPr>
        <w:pStyle w:val="ListParagraph"/>
        <w:numPr>
          <w:ilvl w:val="0"/>
          <w:numId w:val="2"/>
        </w:numPr>
        <w:spacing w:after="60" w:before="0" w:line="280"/>
      </w:pPr>
      <w:r>
        <w:rPr>
          <w:rFonts w:ascii="Arial" w:cs="Arial" w:eastAsia="Arial" w:hAnsi="Arial"/>
          <w:color w:val="0F172A"/>
          <w:sz w:val="22"/>
          <w:szCs w:val="22"/>
        </w:rPr>
        <w:t xml:space="preserve">Type 1 — surfaces when concrete events (admission, abnormal lab, missed follow-up) have occurred since the doctor's last interaction.</w:t>
      </w:r>
    </w:p>
    <w:p>
      <w:pPr>
        <w:pStyle w:val="ListParagraph"/>
        <w:numPr>
          <w:ilvl w:val="0"/>
          <w:numId w:val="2"/>
        </w:numPr>
        <w:spacing w:after="60" w:before="0" w:line="280"/>
      </w:pPr>
      <w:r>
        <w:rPr>
          <w:rFonts w:ascii="Arial" w:cs="Arial" w:eastAsia="Arial" w:hAnsi="Arial"/>
          <w:color w:val="0F172A"/>
          <w:sz w:val="22"/>
          <w:szCs w:val="22"/>
        </w:rPr>
        <w:t xml:space="preserve">Type 2 — surfaces when concrete events exist anywhere in the patient's hospital record that haven't been clinically actioned.</w:t>
      </w:r>
    </w:p>
    <w:p>
      <w:pPr>
        <w:pStyle w:val="ListParagraph"/>
        <w:numPr>
          <w:ilvl w:val="0"/>
          <w:numId w:val="2"/>
        </w:numPr>
        <w:spacing w:after="60" w:before="0" w:line="280"/>
      </w:pPr>
      <w:r>
        <w:rPr>
          <w:rFonts w:ascii="Arial" w:cs="Arial" w:eastAsia="Arial" w:hAnsi="Arial"/>
          <w:color w:val="0F172A"/>
          <w:sz w:val="22"/>
          <w:szCs w:val="22"/>
        </w:rPr>
        <w:t xml:space="preserve">Type 3 — does not surface; the only 'flag' that may render is 'first-time hospital patient — allow extra time'.</w:t>
      </w:r>
    </w:p>
    <w:p>
      <w:pPr>
        <w:pStyle w:val="Heading3"/>
        <w:spacing w:after="80" w:before="200"/>
      </w:pPr>
      <w:r>
        <w:rPr>
          <w:rFonts w:ascii="Arial" w:cs="Arial" w:eastAsia="Arial" w:hAnsi="Arial"/>
          <w:b/>
          <w:bCs/>
          <w:color w:val="0F172A"/>
          <w:sz w:val="22"/>
          <w:szCs w:val="22"/>
        </w:rPr>
        <w:t xml:space="preserve">Pre-conditions</w:t>
      </w:r>
    </w:p>
    <w:p>
      <w:pPr>
        <w:pStyle w:val="ListParagraph"/>
        <w:numPr>
          <w:ilvl w:val="0"/>
          <w:numId w:val="2"/>
        </w:numPr>
        <w:spacing w:after="60" w:before="0" w:line="280"/>
      </w:pPr>
      <w:r>
        <w:rPr>
          <w:rFonts w:ascii="Arial" w:cs="Arial" w:eastAsia="Arial" w:hAnsi="Arial"/>
          <w:color w:val="0F172A"/>
          <w:sz w:val="22"/>
          <w:szCs w:val="22"/>
        </w:rPr>
        <w:t xml:space="preserve">Critical-threshold table signed off (per specialty).</w:t>
      </w:r>
    </w:p>
    <w:p>
      <w:pPr>
        <w:pStyle w:val="ListParagraph"/>
        <w:numPr>
          <w:ilvl w:val="0"/>
          <w:numId w:val="2"/>
        </w:numPr>
        <w:spacing w:after="60" w:before="0" w:line="280"/>
      </w:pPr>
      <w:r>
        <w:rPr>
          <w:rFonts w:ascii="Arial" w:cs="Arial" w:eastAsia="Arial" w:hAnsi="Arial"/>
          <w:color w:val="0F172A"/>
          <w:sz w:val="22"/>
          <w:szCs w:val="22"/>
        </w:rPr>
        <w:t xml:space="preserve">'Recent admission' = last 30 days (configurable).</w:t>
      </w:r>
    </w:p>
    <w:p>
      <w:pPr>
        <w:pStyle w:val="ListParagraph"/>
        <w:numPr>
          <w:ilvl w:val="0"/>
          <w:numId w:val="2"/>
        </w:numPr>
        <w:spacing w:after="60" w:before="0" w:line="280"/>
      </w:pPr>
      <w:r>
        <w:rPr>
          <w:rFonts w:ascii="Arial" w:cs="Arial" w:eastAsia="Arial" w:hAnsi="Arial"/>
          <w:color w:val="0F172A"/>
          <w:sz w:val="22"/>
          <w:szCs w:val="22"/>
        </w:rPr>
        <w:t xml:space="preserve">'Unreviewed critical lab' = critical-flagged lab with no subsequent visit_id-tied note.</w:t>
      </w:r>
    </w:p>
    <w:p>
      <w:pPr>
        <w:pStyle w:val="Heading3"/>
        <w:spacing w:after="80" w:before="200"/>
      </w:pPr>
      <w:r>
        <w:rPr>
          <w:rFonts w:ascii="Arial" w:cs="Arial" w:eastAsia="Arial" w:hAnsi="Arial"/>
          <w:b/>
          <w:bCs/>
          <w:color w:val="0F172A"/>
          <w:sz w:val="22"/>
          <w:szCs w:val="22"/>
        </w:rPr>
        <w:t xml:space="preserve">Data sources &amp; guideline anchors</w:t>
      </w:r>
    </w:p>
    <w:p>
      <w:pPr>
        <w:pStyle w:val="ListParagraph"/>
        <w:numPr>
          <w:ilvl w:val="0"/>
          <w:numId w:val="2"/>
        </w:numPr>
        <w:spacing w:after="60" w:before="0" w:line="280"/>
      </w:pPr>
      <w:r>
        <w:rPr>
          <w:rFonts w:ascii="Arial" w:cs="Arial" w:eastAsia="Arial" w:hAnsi="Arial"/>
          <w:color w:val="0F172A"/>
          <w:sz w:val="22"/>
          <w:szCs w:val="22"/>
        </w:rPr>
        <w:t xml:space="preserve">Sources: Lab results · Vital readings · Admission events · Appointment status · Note metadata (review timestamps).</w:t>
      </w:r>
    </w:p>
    <w:p>
      <w:pPr>
        <w:pStyle w:val="ListParagraph"/>
        <w:numPr>
          <w:ilvl w:val="0"/>
          <w:numId w:val="2"/>
        </w:numPr>
        <w:spacing w:after="60" w:before="0" w:line="280"/>
      </w:pPr>
      <w:r>
        <w:rPr>
          <w:rFonts w:ascii="Arial" w:cs="Arial" w:eastAsia="Arial" w:hAnsi="Arial"/>
          <w:color w:val="0F172A"/>
          <w:sz w:val="22"/>
          <w:szCs w:val="22"/>
        </w:rPr>
        <w:t xml:space="preserve">Guideline anchors: ADA 2024 (HbA1c thresholds), WHO HTN 2023 (BP thresholds), NICE NG56 (polypharmacy 5-drug threshold).</w:t>
      </w:r>
    </w:p>
    <w:p>
      <w:pPr>
        <w:pStyle w:val="Heading3"/>
        <w:spacing w:after="80" w:before="200"/>
      </w:pPr>
      <w:r>
        <w:rPr>
          <w:rFonts w:ascii="Arial" w:cs="Arial" w:eastAsia="Arial" w:hAnsi="Arial"/>
          <w:b/>
          <w:bCs/>
          <w:color w:val="0F172A"/>
          <w:sz w:val="22"/>
          <w:szCs w:val="22"/>
        </w:rPr>
        <w:t xml:space="preserve">Suggestion logic tree</w:t>
      </w:r>
    </w:p>
    <w:p>
      <w:pPr>
        <w:pStyle w:val="ListParagraph"/>
        <w:numPr>
          <w:ilvl w:val="0"/>
          <w:numId w:val="2"/>
        </w:numPr>
        <w:spacing w:after="60" w:before="0" w:line="280"/>
      </w:pPr>
      <w:r>
        <w:rPr>
          <w:rFonts w:ascii="Arial" w:cs="Arial" w:eastAsia="Arial" w:hAnsi="Arial"/>
          <w:color w:val="0F172A"/>
          <w:sz w:val="22"/>
          <w:szCs w:val="22"/>
        </w:rPr>
        <w:t xml:space="preserve">For each patient on today's panel, the morning batch evaluates:</w:t>
      </w:r>
    </w:p>
    <w:p>
      <w:pPr>
        <w:pStyle w:val="ListParagraph"/>
        <w:numPr>
          <w:ilvl w:val="1"/>
          <w:numId w:val="2"/>
        </w:numPr>
        <w:spacing w:after="60" w:before="0" w:line="280"/>
      </w:pPr>
      <w:r>
        <w:rPr>
          <w:rFonts w:ascii="Arial" w:cs="Arial" w:eastAsia="Arial" w:hAnsi="Arial"/>
          <w:color w:val="0F172A"/>
          <w:sz w:val="22"/>
          <w:szCs w:val="22"/>
        </w:rPr>
        <w:t xml:space="preserve">(a) Recent admission in last 30 days?</w:t>
      </w:r>
    </w:p>
    <w:p>
      <w:pPr>
        <w:pStyle w:val="ListParagraph"/>
        <w:numPr>
          <w:ilvl w:val="1"/>
          <w:numId w:val="2"/>
        </w:numPr>
        <w:spacing w:after="60" w:before="0" w:line="280"/>
      </w:pPr>
      <w:r>
        <w:rPr>
          <w:rFonts w:ascii="Arial" w:cs="Arial" w:eastAsia="Arial" w:hAnsi="Arial"/>
          <w:color w:val="0F172A"/>
          <w:sz w:val="22"/>
          <w:szCs w:val="22"/>
        </w:rPr>
        <w:t xml:space="preserve">(b) Any lab with critical flag in last 30 days that hasn't been clinically actioned?</w:t>
      </w:r>
    </w:p>
    <w:p>
      <w:pPr>
        <w:pStyle w:val="ListParagraph"/>
        <w:numPr>
          <w:ilvl w:val="1"/>
          <w:numId w:val="2"/>
        </w:numPr>
        <w:spacing w:after="60" w:before="0" w:line="280"/>
      </w:pPr>
      <w:r>
        <w:rPr>
          <w:rFonts w:ascii="Arial" w:cs="Arial" w:eastAsia="Arial" w:hAnsi="Arial"/>
          <w:color w:val="0F172A"/>
          <w:sz w:val="22"/>
          <w:szCs w:val="22"/>
        </w:rPr>
        <w:t xml:space="preserve">(c) Vital reading exceeding signed-off critical threshold in last visit?</w:t>
      </w:r>
    </w:p>
    <w:p>
      <w:pPr>
        <w:pStyle w:val="ListParagraph"/>
        <w:numPr>
          <w:ilvl w:val="1"/>
          <w:numId w:val="2"/>
        </w:numPr>
        <w:spacing w:after="60" w:before="0" w:line="280"/>
      </w:pPr>
      <w:r>
        <w:rPr>
          <w:rFonts w:ascii="Arial" w:cs="Arial" w:eastAsia="Arial" w:hAnsi="Arial"/>
          <w:color w:val="0F172A"/>
          <w:sz w:val="22"/>
          <w:szCs w:val="22"/>
        </w:rPr>
        <w:t xml:space="preserve">(d) Polypharmacy threshold (≥5 chronic meds for ≥90 days) reached?</w:t>
      </w:r>
    </w:p>
    <w:p>
      <w:pPr>
        <w:pStyle w:val="ListParagraph"/>
        <w:numPr>
          <w:ilvl w:val="1"/>
          <w:numId w:val="2"/>
        </w:numPr>
        <w:spacing w:after="60" w:before="0" w:line="280"/>
      </w:pPr>
      <w:r>
        <w:rPr>
          <w:rFonts w:ascii="Arial" w:cs="Arial" w:eastAsia="Arial" w:hAnsi="Arial"/>
          <w:color w:val="0F172A"/>
          <w:sz w:val="22"/>
          <w:szCs w:val="22"/>
        </w:rPr>
        <w:t xml:space="preserve">(e) Missed follow-up in last 30 days?</w:t>
      </w:r>
    </w:p>
    <w:p>
      <w:pPr>
        <w:pStyle w:val="ListParagraph"/>
        <w:numPr>
          <w:ilvl w:val="0"/>
          <w:numId w:val="2"/>
        </w:numPr>
        <w:spacing w:after="60" w:before="0" w:line="280"/>
      </w:pPr>
      <w:r>
        <w:rPr>
          <w:rFonts w:ascii="Arial" w:cs="Arial" w:eastAsia="Arial" w:hAnsi="Arial"/>
          <w:color w:val="0F172A"/>
          <w:sz w:val="22"/>
          <w:szCs w:val="22"/>
        </w:rPr>
        <w:t xml:space="preserve">IF zero triggers fire → do not surface. Empty state: 'No exceptions today.' (Render the empty state, not nothing — this is a feature.)</w:t>
      </w:r>
    </w:p>
    <w:p>
      <w:pPr>
        <w:pStyle w:val="ListParagraph"/>
        <w:numPr>
          <w:ilvl w:val="0"/>
          <w:numId w:val="2"/>
        </w:numPr>
        <w:spacing w:after="60" w:before="0" w:line="280"/>
      </w:pPr>
      <w:r>
        <w:rPr>
          <w:rFonts w:ascii="Arial" w:cs="Arial" w:eastAsia="Arial" w:hAnsi="Arial"/>
          <w:color w:val="0F172A"/>
          <w:sz w:val="22"/>
          <w:szCs w:val="22"/>
        </w:rPr>
        <w:t xml:space="preserve">IF 1+ triggers fire → surface CTA. Peek lists up to 3 strongest reasons.</w:t>
      </w:r>
    </w:p>
    <w:p>
      <w:pPr>
        <w:pStyle w:val="Heading3"/>
        <w:spacing w:after="80" w:before="200"/>
      </w:pPr>
      <w:r>
        <w:rPr>
          <w:rFonts w:ascii="Arial" w:cs="Arial" w:eastAsia="Arial" w:hAnsi="Arial"/>
          <w:b/>
          <w:bCs/>
          <w:color w:val="0F172A"/>
          <w:sz w:val="22"/>
          <w:szCs w:val="22"/>
        </w:rPr>
        <w:t xml:space="preserve">Response logic tree</w:t>
      </w:r>
    </w:p>
    <w:p>
      <w:pPr>
        <w:pStyle w:val="ListParagraph"/>
        <w:numPr>
          <w:ilvl w:val="0"/>
          <w:numId w:val="2"/>
        </w:numPr>
        <w:spacing w:after="60" w:before="0" w:line="280"/>
      </w:pPr>
      <w:r>
        <w:rPr>
          <w:rFonts w:ascii="Arial" w:cs="Arial" w:eastAsia="Arial" w:hAnsi="Arial"/>
          <w:color w:val="0F172A"/>
          <w:sz w:val="22"/>
          <w:szCs w:val="22"/>
        </w:rPr>
        <w:t xml:space="preserve">Sort flags by severity (critical → warning → neutral).</w:t>
      </w:r>
    </w:p>
    <w:p>
      <w:pPr>
        <w:pStyle w:val="ListParagraph"/>
        <w:numPr>
          <w:ilvl w:val="0"/>
          <w:numId w:val="2"/>
        </w:numPr>
        <w:spacing w:after="60" w:before="0" w:line="280"/>
      </w:pPr>
      <w:r>
        <w:rPr>
          <w:rFonts w:ascii="Arial" w:cs="Arial" w:eastAsia="Arial" w:hAnsi="Arial"/>
          <w:color w:val="0F172A"/>
          <w:sz w:val="22"/>
          <w:szCs w:val="22"/>
        </w:rPr>
        <w:t xml:space="preserve">Render each flag with: trigger type · what fired · when · source record id · current value vs threshold (if numeric) · the threshold's guideline reference.</w:t>
      </w:r>
    </w:p>
    <w:p>
      <w:pPr>
        <w:pStyle w:val="ListParagraph"/>
        <w:numPr>
          <w:ilvl w:val="0"/>
          <w:numId w:val="2"/>
        </w:numPr>
        <w:spacing w:after="60" w:before="0" w:line="280"/>
      </w:pPr>
      <w:r>
        <w:rPr>
          <w:rFonts w:ascii="Arial" w:cs="Arial" w:eastAsia="Arial" w:hAnsi="Arial"/>
          <w:color w:val="0F172A"/>
          <w:sz w:val="22"/>
          <w:szCs w:val="22"/>
        </w:rPr>
        <w:t xml:space="preserve">Optional inline mini-trend if 3+ readings exist for the same metric.</w:t>
      </w:r>
    </w:p>
    <w:p>
      <w:pPr>
        <w:pStyle w:val="Heading3"/>
        <w:spacing w:after="80" w:before="200"/>
      </w:pPr>
      <w:r>
        <w:rPr>
          <w:rFonts w:ascii="Arial" w:cs="Arial" w:eastAsia="Arial" w:hAnsi="Arial"/>
          <w:b/>
          <w:bCs/>
          <w:color w:val="0F172A"/>
          <w:sz w:val="22"/>
          <w:szCs w:val="22"/>
        </w:rPr>
        <w:t xml:space="preserve">Validation rule</w:t>
      </w:r>
    </w:p>
    <w:p>
      <w:pPr>
        <w:pStyle w:val="ListParagraph"/>
        <w:numPr>
          <w:ilvl w:val="0"/>
          <w:numId w:val="2"/>
        </w:numPr>
        <w:spacing w:after="60" w:before="0" w:line="280"/>
      </w:pPr>
      <w:r>
        <w:rPr>
          <w:rFonts w:ascii="Arial" w:cs="Arial" w:eastAsia="Arial" w:hAnsi="Arial"/>
          <w:color w:val="0F172A"/>
          <w:sz w:val="22"/>
          <w:szCs w:val="22"/>
        </w:rPr>
        <w:t xml:space="preserve">Severity is structured-rule output only. The LLM may not classify severity.</w:t>
      </w:r>
    </w:p>
    <w:p>
      <w:pPr>
        <w:pStyle w:val="ListParagraph"/>
        <w:numPr>
          <w:ilvl w:val="0"/>
          <w:numId w:val="2"/>
        </w:numPr>
        <w:spacing w:after="60" w:before="0" w:line="280"/>
      </w:pPr>
      <w:r>
        <w:rPr>
          <w:rFonts w:ascii="Arial" w:cs="Arial" w:eastAsia="Arial" w:hAnsi="Arial"/>
          <w:color w:val="0F172A"/>
          <w:sz w:val="22"/>
          <w:szCs w:val="22"/>
        </w:rPr>
        <w:t xml:space="preserve">Threshold references must include the guideline body and section (e.g., 'WHO HTN 2023, §SBP threshold ≥140').</w:t>
      </w:r>
    </w:p>
    <w:p>
      <w:pPr>
        <w:pStyle w:val="Heading3"/>
        <w:spacing w:after="80" w:before="200"/>
      </w:pPr>
      <w:r>
        <w:rPr>
          <w:rFonts w:ascii="Arial" w:cs="Arial" w:eastAsia="Arial" w:hAnsi="Arial"/>
          <w:b/>
          <w:bCs/>
          <w:color w:val="0F172A"/>
          <w:sz w:val="22"/>
          <w:szCs w:val="22"/>
        </w:rPr>
        <w:t xml:space="preserve">Empty state</w:t>
      </w:r>
    </w:p>
    <w:p>
      <w:pPr>
        <w:pStyle w:val="ListParagraph"/>
        <w:numPr>
          <w:ilvl w:val="0"/>
          <w:numId w:val="2"/>
        </w:numPr>
        <w:spacing w:after="60" w:before="0" w:line="280"/>
      </w:pPr>
      <w:r>
        <w:rPr>
          <w:rFonts w:ascii="Arial" w:cs="Arial" w:eastAsia="Arial" w:hAnsi="Arial"/>
          <w:color w:val="0F172A"/>
          <w:sz w:val="22"/>
          <w:szCs w:val="22"/>
        </w:rPr>
        <w:t xml:space="preserve">'No exceptions today. Velora checked at &lt;timestamp&gt;.'</w:t>
      </w:r>
    </w:p>
    <w:p>
      <w:pPr>
        <w:pStyle w:val="Heading2"/>
        <w:spacing w:after="120" w:before="280"/>
      </w:pPr>
      <w:r>
        <w:rPr>
          <w:rFonts w:ascii="Arial" w:cs="Arial" w:eastAsia="Arial" w:hAnsi="Arial"/>
          <w:b/>
          <w:bCs/>
          <w:color w:val="0F172A"/>
          <w:sz w:val="26"/>
          <w:szCs w:val="26"/>
        </w:rPr>
        <w:t xml:space="preserve">Intent 5 — Panel audit ("What's slipping across my whole panel")</w:t>
      </w:r>
    </w:p>
    <w:p>
      <w:pPr>
        <w:pStyle w:val="Heading3"/>
        <w:spacing w:after="80" w:before="200"/>
      </w:pPr>
      <w:r>
        <w:rPr>
          <w:rFonts w:ascii="Arial" w:cs="Arial" w:eastAsia="Arial" w:hAnsi="Arial"/>
          <w:b/>
          <w:bCs/>
          <w:color w:val="0F172A"/>
          <w:sz w:val="22"/>
          <w:szCs w:val="22"/>
        </w:rPr>
        <w:t xml:space="preserve">Scenario</w:t>
      </w:r>
    </w:p>
    <w:p>
      <w:pPr>
        <w:pStyle w:val="ListParagraph"/>
        <w:numPr>
          <w:ilvl w:val="0"/>
          <w:numId w:val="2"/>
        </w:numPr>
        <w:spacing w:after="60" w:before="0" w:line="280"/>
      </w:pPr>
      <w:r>
        <w:rPr>
          <w:rFonts w:ascii="Arial" w:cs="Arial" w:eastAsia="Arial" w:hAnsi="Arial"/>
          <w:color w:val="0F172A"/>
          <w:sz w:val="22"/>
          <w:szCs w:val="22"/>
        </w:rPr>
        <w:t xml:space="preserve">This is a separate surface from the patient-view CTAs. It runs as a daily/weekly digest the doctor can open from a 'My panel' tab (V0.5 — see §7).</w:t>
      </w:r>
    </w:p>
    <w:p>
      <w:pPr>
        <w:pStyle w:val="ListParagraph"/>
        <w:numPr>
          <w:ilvl w:val="0"/>
          <w:numId w:val="2"/>
        </w:numPr>
        <w:spacing w:after="60" w:before="0" w:line="280"/>
      </w:pPr>
      <w:r>
        <w:rPr>
          <w:rFonts w:ascii="Arial" w:cs="Arial" w:eastAsia="Arial" w:hAnsi="Arial"/>
          <w:color w:val="0F172A"/>
          <w:sz w:val="22"/>
          <w:szCs w:val="22"/>
        </w:rPr>
        <w:t xml:space="preserve">Triggered by the doctor opening the panel-audit view, OR a daily summary email if enabled.</w:t>
      </w:r>
    </w:p>
    <w:p>
      <w:pPr>
        <w:pStyle w:val="Heading3"/>
        <w:spacing w:after="80" w:before="200"/>
      </w:pPr>
      <w:r>
        <w:rPr>
          <w:rFonts w:ascii="Arial" w:cs="Arial" w:eastAsia="Arial" w:hAnsi="Arial"/>
          <w:b/>
          <w:bCs/>
          <w:color w:val="0F172A"/>
          <w:sz w:val="22"/>
          <w:szCs w:val="22"/>
        </w:rPr>
        <w:t xml:space="preserve">Patient applicability</w:t>
      </w:r>
    </w:p>
    <w:p>
      <w:pPr>
        <w:pStyle w:val="ListParagraph"/>
        <w:numPr>
          <w:ilvl w:val="0"/>
          <w:numId w:val="2"/>
        </w:numPr>
        <w:spacing w:after="60" w:before="0" w:line="280"/>
      </w:pPr>
      <w:r>
        <w:rPr>
          <w:rFonts w:ascii="Arial" w:cs="Arial" w:eastAsia="Arial" w:hAnsi="Arial"/>
          <w:color w:val="0F172A"/>
          <w:sz w:val="22"/>
          <w:szCs w:val="22"/>
        </w:rPr>
        <w:t xml:space="preserve">Applies to patients on the doctor's defined panel only (Type 1 + Type 2 once they become the doctor's patients). Type 3 patients are not yet on a panel.</w:t>
      </w:r>
    </w:p>
    <w:p>
      <w:pPr>
        <w:pStyle w:val="Heading3"/>
        <w:spacing w:after="80" w:before="200"/>
      </w:pPr>
      <w:r>
        <w:rPr>
          <w:rFonts w:ascii="Arial" w:cs="Arial" w:eastAsia="Arial" w:hAnsi="Arial"/>
          <w:b/>
          <w:bCs/>
          <w:color w:val="0F172A"/>
          <w:sz w:val="22"/>
          <w:szCs w:val="22"/>
        </w:rPr>
        <w:t xml:space="preserve">Pre-conditions</w:t>
      </w:r>
    </w:p>
    <w:p>
      <w:pPr>
        <w:pStyle w:val="ListParagraph"/>
        <w:numPr>
          <w:ilvl w:val="0"/>
          <w:numId w:val="2"/>
        </w:numPr>
        <w:spacing w:after="60" w:before="0" w:line="280"/>
      </w:pPr>
      <w:r>
        <w:rPr>
          <w:rFonts w:ascii="Arial" w:cs="Arial" w:eastAsia="Arial" w:hAnsi="Arial"/>
          <w:color w:val="0F172A"/>
          <w:sz w:val="22"/>
          <w:szCs w:val="22"/>
        </w:rPr>
        <w:t xml:space="preserve">Cohort registry signed off per specialty (see §4).</w:t>
      </w:r>
    </w:p>
    <w:p>
      <w:pPr>
        <w:pStyle w:val="ListParagraph"/>
        <w:numPr>
          <w:ilvl w:val="0"/>
          <w:numId w:val="2"/>
        </w:numPr>
        <w:spacing w:after="60" w:before="0" w:line="280"/>
      </w:pPr>
      <w:r>
        <w:rPr>
          <w:rFonts w:ascii="Arial" w:cs="Arial" w:eastAsia="Arial" w:hAnsi="Arial"/>
          <w:color w:val="0F172A"/>
          <w:sz w:val="22"/>
          <w:szCs w:val="22"/>
        </w:rPr>
        <w:t xml:space="preserve">'Doctor's panel' definition signed off (e.g., attending of record OR last encounter ≤90 days). V0 default: attending of record.</w:t>
      </w:r>
    </w:p>
    <w:p>
      <w:pPr>
        <w:pStyle w:val="Heading3"/>
        <w:spacing w:after="80" w:before="200"/>
      </w:pPr>
      <w:r>
        <w:rPr>
          <w:rFonts w:ascii="Arial" w:cs="Arial" w:eastAsia="Arial" w:hAnsi="Arial"/>
          <w:b/>
          <w:bCs/>
          <w:color w:val="0F172A"/>
          <w:sz w:val="22"/>
          <w:szCs w:val="22"/>
        </w:rPr>
        <w:t xml:space="preserve">Data sources &amp; guideline anchors</w:t>
      </w:r>
    </w:p>
    <w:p>
      <w:pPr>
        <w:pStyle w:val="ListParagraph"/>
        <w:numPr>
          <w:ilvl w:val="0"/>
          <w:numId w:val="2"/>
        </w:numPr>
        <w:spacing w:after="60" w:before="0" w:line="280"/>
      </w:pPr>
      <w:r>
        <w:rPr>
          <w:rFonts w:ascii="Arial" w:cs="Arial" w:eastAsia="Arial" w:hAnsi="Arial"/>
          <w:color w:val="0F172A"/>
          <w:sz w:val="22"/>
          <w:szCs w:val="22"/>
        </w:rPr>
        <w:t xml:space="preserve">Sources: Patient · Visit · Diagnosis · Measurement · Drug Exposure · Provider.</w:t>
      </w:r>
    </w:p>
    <w:p>
      <w:pPr>
        <w:pStyle w:val="ListParagraph"/>
        <w:numPr>
          <w:ilvl w:val="0"/>
          <w:numId w:val="2"/>
        </w:numPr>
        <w:spacing w:after="60" w:before="0" w:line="280"/>
      </w:pPr>
      <w:r>
        <w:rPr>
          <w:rFonts w:ascii="Arial" w:cs="Arial" w:eastAsia="Arial" w:hAnsi="Arial"/>
          <w:color w:val="0F172A"/>
          <w:sz w:val="22"/>
          <w:szCs w:val="22"/>
        </w:rPr>
        <w:t xml:space="preserve">Guideline anchors per V0 GenMed pack: ADA 2024 (diabetic care), WHO HTN 2023 (BP control), NICE NG56 (polypharmacy review), KDIGO 2024 (CKD/eGFR-driven referrals).</w:t>
      </w:r>
    </w:p>
    <w:p>
      <w:pPr>
        <w:pStyle w:val="Heading3"/>
        <w:spacing w:after="80" w:before="200"/>
      </w:pPr>
      <w:r>
        <w:rPr>
          <w:rFonts w:ascii="Arial" w:cs="Arial" w:eastAsia="Arial" w:hAnsi="Arial"/>
          <w:b/>
          <w:bCs/>
          <w:color w:val="0F172A"/>
          <w:sz w:val="22"/>
          <w:szCs w:val="22"/>
        </w:rPr>
        <w:t xml:space="preserve">Suggestion logic tree</w:t>
      </w:r>
    </w:p>
    <w:p>
      <w:pPr>
        <w:pStyle w:val="ListParagraph"/>
        <w:numPr>
          <w:ilvl w:val="0"/>
          <w:numId w:val="2"/>
        </w:numPr>
        <w:spacing w:after="60" w:before="0" w:line="280"/>
      </w:pPr>
      <w:r>
        <w:rPr>
          <w:rFonts w:ascii="Arial" w:cs="Arial" w:eastAsia="Arial" w:hAnsi="Arial"/>
          <w:color w:val="0F172A"/>
          <w:sz w:val="22"/>
          <w:szCs w:val="22"/>
        </w:rPr>
        <w:t xml:space="preserve">For each cohort defined in the registry, run the deterministic Cypher and count members.</w:t>
      </w:r>
    </w:p>
    <w:p>
      <w:pPr>
        <w:pStyle w:val="ListParagraph"/>
        <w:numPr>
          <w:ilvl w:val="0"/>
          <w:numId w:val="2"/>
        </w:numPr>
        <w:spacing w:after="60" w:before="0" w:line="280"/>
      </w:pPr>
      <w:r>
        <w:rPr>
          <w:rFonts w:ascii="Arial" w:cs="Arial" w:eastAsia="Arial" w:hAnsi="Arial"/>
          <w:color w:val="0F172A"/>
          <w:sz w:val="22"/>
          <w:szCs w:val="22"/>
        </w:rPr>
        <w:t xml:space="preserve">V0 GenMed cohorts:</w:t>
      </w:r>
    </w:p>
    <w:p>
      <w:pPr>
        <w:pStyle w:val="ListParagraph"/>
        <w:numPr>
          <w:ilvl w:val="1"/>
          <w:numId w:val="2"/>
        </w:numPr>
        <w:spacing w:after="60" w:before="0" w:line="280"/>
      </w:pPr>
      <w:r>
        <w:rPr>
          <w:rFonts w:ascii="Arial" w:cs="Arial" w:eastAsia="Arial" w:hAnsi="Arial"/>
          <w:color w:val="0F172A"/>
          <w:sz w:val="22"/>
          <w:szCs w:val="22"/>
        </w:rPr>
        <w:t xml:space="preserve">T2DM uncontrolled (last HbA1c &gt;9% in 12 months).</w:t>
      </w:r>
    </w:p>
    <w:p>
      <w:pPr>
        <w:pStyle w:val="ListParagraph"/>
        <w:numPr>
          <w:ilvl w:val="1"/>
          <w:numId w:val="2"/>
        </w:numPr>
        <w:spacing w:after="60" w:before="0" w:line="280"/>
      </w:pPr>
      <w:r>
        <w:rPr>
          <w:rFonts w:ascii="Arial" w:cs="Arial" w:eastAsia="Arial" w:hAnsi="Arial"/>
          <w:color w:val="0F172A"/>
          <w:sz w:val="22"/>
          <w:szCs w:val="22"/>
        </w:rPr>
        <w:t xml:space="preserve">Hypertensive uncontrolled (mean SBP &gt;140 across last 3 visits).</w:t>
      </w:r>
    </w:p>
    <w:p>
      <w:pPr>
        <w:pStyle w:val="ListParagraph"/>
        <w:numPr>
          <w:ilvl w:val="1"/>
          <w:numId w:val="2"/>
        </w:numPr>
        <w:spacing w:after="60" w:before="0" w:line="280"/>
      </w:pPr>
      <w:r>
        <w:rPr>
          <w:rFonts w:ascii="Arial" w:cs="Arial" w:eastAsia="Arial" w:hAnsi="Arial"/>
          <w:color w:val="0F172A"/>
          <w:sz w:val="22"/>
          <w:szCs w:val="22"/>
        </w:rPr>
        <w:t xml:space="preserve">Polypharmacy (≥5 chronic meds for ≥90 days).</w:t>
      </w:r>
    </w:p>
    <w:p>
      <w:pPr>
        <w:pStyle w:val="ListParagraph"/>
        <w:numPr>
          <w:ilvl w:val="1"/>
          <w:numId w:val="2"/>
        </w:numPr>
        <w:spacing w:after="60" w:before="0" w:line="280"/>
      </w:pPr>
      <w:r>
        <w:rPr>
          <w:rFonts w:ascii="Arial" w:cs="Arial" w:eastAsia="Arial" w:hAnsi="Arial"/>
          <w:color w:val="0F172A"/>
          <w:sz w:val="22"/>
          <w:szCs w:val="22"/>
        </w:rPr>
        <w:t xml:space="preserve">eGFR &lt;60 not yet referred to Nephrology.</w:t>
      </w:r>
    </w:p>
    <w:p>
      <w:pPr>
        <w:pStyle w:val="ListParagraph"/>
        <w:numPr>
          <w:ilvl w:val="0"/>
          <w:numId w:val="2"/>
        </w:numPr>
        <w:spacing w:after="60" w:before="0" w:line="280"/>
      </w:pPr>
      <w:r>
        <w:rPr>
          <w:rFonts w:ascii="Arial" w:cs="Arial" w:eastAsia="Arial" w:hAnsi="Arial"/>
          <w:color w:val="0F172A"/>
          <w:sz w:val="22"/>
          <w:szCs w:val="22"/>
        </w:rPr>
        <w:t xml:space="preserve">Empty cohorts render as 'no findings' rather than being hidden.</w:t>
      </w:r>
    </w:p>
    <w:p>
      <w:pPr>
        <w:pStyle w:val="Heading3"/>
        <w:spacing w:after="80" w:before="200"/>
      </w:pPr>
      <w:r>
        <w:rPr>
          <w:rFonts w:ascii="Arial" w:cs="Arial" w:eastAsia="Arial" w:hAnsi="Arial"/>
          <w:b/>
          <w:bCs/>
          <w:color w:val="0F172A"/>
          <w:sz w:val="22"/>
          <w:szCs w:val="22"/>
        </w:rPr>
        <w:t xml:space="preserve">Response logic tree</w:t>
      </w:r>
    </w:p>
    <w:p>
      <w:pPr>
        <w:pStyle w:val="ListParagraph"/>
        <w:numPr>
          <w:ilvl w:val="0"/>
          <w:numId w:val="2"/>
        </w:numPr>
        <w:spacing w:after="60" w:before="0" w:line="280"/>
      </w:pPr>
      <w:r>
        <w:rPr>
          <w:rFonts w:ascii="Arial" w:cs="Arial" w:eastAsia="Arial" w:hAnsi="Arial"/>
          <w:color w:val="0F172A"/>
          <w:sz w:val="22"/>
          <w:szCs w:val="22"/>
        </w:rPr>
        <w:t xml:space="preserve">For each non-empty cohort, render the patient list as a table envelope.</w:t>
      </w:r>
    </w:p>
    <w:p>
      <w:pPr>
        <w:pStyle w:val="ListParagraph"/>
        <w:numPr>
          <w:ilvl w:val="0"/>
          <w:numId w:val="2"/>
        </w:numPr>
        <w:spacing w:after="60" w:before="0" w:line="280"/>
      </w:pPr>
      <w:r>
        <w:rPr>
          <w:rFonts w:ascii="Arial" w:cs="Arial" w:eastAsia="Arial" w:hAnsi="Arial"/>
          <w:color w:val="0F172A"/>
          <w:sz w:val="22"/>
          <w:szCs w:val="22"/>
        </w:rPr>
        <w:t xml:space="preserve">Each row carries the data point that qualifies the patient (e.g., HbA1c value + date).</w:t>
      </w:r>
    </w:p>
    <w:p>
      <w:pPr>
        <w:pStyle w:val="ListParagraph"/>
        <w:numPr>
          <w:ilvl w:val="0"/>
          <w:numId w:val="2"/>
        </w:numPr>
        <w:spacing w:after="60" w:before="0" w:line="280"/>
      </w:pPr>
      <w:r>
        <w:rPr>
          <w:rFonts w:ascii="Arial" w:cs="Arial" w:eastAsia="Arial" w:hAnsi="Arial"/>
          <w:color w:val="0F172A"/>
          <w:sz w:val="22"/>
          <w:szCs w:val="22"/>
        </w:rPr>
        <w:t xml:space="preserve">Cohort registry version + signing date is shown in the audit footer.</w:t>
      </w:r>
    </w:p>
    <w:p>
      <w:pPr>
        <w:pStyle w:val="Heading3"/>
        <w:spacing w:after="80" w:before="200"/>
      </w:pPr>
      <w:r>
        <w:rPr>
          <w:rFonts w:ascii="Arial" w:cs="Arial" w:eastAsia="Arial" w:hAnsi="Arial"/>
          <w:b/>
          <w:bCs/>
          <w:color w:val="0F172A"/>
          <w:sz w:val="22"/>
          <w:szCs w:val="22"/>
        </w:rPr>
        <w:t xml:space="preserve">Validation rule</w:t>
      </w:r>
    </w:p>
    <w:p>
      <w:pPr>
        <w:pStyle w:val="ListParagraph"/>
        <w:numPr>
          <w:ilvl w:val="0"/>
          <w:numId w:val="2"/>
        </w:numPr>
        <w:spacing w:after="60" w:before="0" w:line="280"/>
      </w:pPr>
      <w:r>
        <w:rPr>
          <w:rFonts w:ascii="Arial" w:cs="Arial" w:eastAsia="Arial" w:hAnsi="Arial"/>
          <w:color w:val="0F172A"/>
          <w:sz w:val="22"/>
          <w:szCs w:val="22"/>
        </w:rPr>
        <w:t xml:space="preserve">Same patient_id × same cohort definition × same data must produce identical lists across runs (determinism).</w:t>
      </w:r>
    </w:p>
    <w:p>
      <w:pPr>
        <w:pStyle w:val="ListParagraph"/>
        <w:numPr>
          <w:ilvl w:val="0"/>
          <w:numId w:val="2"/>
        </w:numPr>
        <w:spacing w:after="60" w:before="0" w:line="280"/>
      </w:pPr>
      <w:r>
        <w:rPr>
          <w:rFonts w:ascii="Arial" w:cs="Arial" w:eastAsia="Arial" w:hAnsi="Arial"/>
          <w:color w:val="0F172A"/>
          <w:sz w:val="22"/>
          <w:szCs w:val="22"/>
        </w:rPr>
        <w:t xml:space="preserve">Cohort registry version is part of every panel-audit answer's metadata.</w:t>
      </w:r>
    </w:p>
    <w:p>
      <w:pPr>
        <w:pStyle w:val="Heading3"/>
        <w:spacing w:after="80" w:before="200"/>
      </w:pPr>
      <w:r>
        <w:rPr>
          <w:rFonts w:ascii="Arial" w:cs="Arial" w:eastAsia="Arial" w:hAnsi="Arial"/>
          <w:b/>
          <w:bCs/>
          <w:color w:val="0F172A"/>
          <w:sz w:val="22"/>
          <w:szCs w:val="22"/>
        </w:rPr>
        <w:t xml:space="preserve">Empty state</w:t>
      </w:r>
    </w:p>
    <w:p>
      <w:pPr>
        <w:pStyle w:val="ListParagraph"/>
        <w:numPr>
          <w:ilvl w:val="0"/>
          <w:numId w:val="2"/>
        </w:numPr>
        <w:spacing w:after="60" w:before="0" w:line="280"/>
      </w:pPr>
      <w:r>
        <w:rPr>
          <w:rFonts w:ascii="Arial" w:cs="Arial" w:eastAsia="Arial" w:hAnsi="Arial"/>
          <w:color w:val="0F172A"/>
          <w:sz w:val="22"/>
          <w:szCs w:val="22"/>
        </w:rPr>
        <w:t xml:space="preserve">'No cohort findings. Velora ran &lt;N&gt; cohort definitions; all returned zero or are within target.'</w:t>
      </w:r>
    </w:p>
    <w:p>
      <w:pPr>
        <w:pStyle w:val="Heading1"/>
        <w:spacing w:after="180" w:before="360"/>
      </w:pPr>
      <w:r>
        <w:rPr>
          <w:rFonts w:ascii="Arial" w:cs="Arial" w:eastAsia="Arial" w:hAnsi="Arial"/>
          <w:b/>
          <w:bCs/>
          <w:color w:val="0F4C75"/>
          <w:sz w:val="32"/>
          <w:szCs w:val="32"/>
        </w:rPr>
        <w:t xml:space="preserve">4. Per-specialty guideline anchors (V0 = General Medicine)</w:t>
      </w:r>
    </w:p>
    <w:p>
      <w:pPr>
        <w:spacing w:after="120" w:before="0" w:line="300"/>
      </w:pPr>
      <w:r>
        <w:rPr>
          <w:rFonts w:ascii="Arial" w:cs="Arial" w:eastAsia="Arial" w:hAnsi="Arial"/>
          <w:color w:val="0F172A"/>
          <w:sz w:val="22"/>
          <w:szCs w:val="22"/>
        </w:rPr>
        <w:t xml:space="preserve">Velora's clinical claims are anchored to specific guideline versions so the doctor (and any auditor) can reproduce the reasoning. The hospital configures these anchors per specialty pack; they are clinician-signed before pilot. The chat UI surfaces the active anchors as a footer chip below the input — exactly three for V0 (the doctor sees them; the doctor can trust them).</w:t>
      </w:r>
    </w:p>
    <w:p>
      <w:pPr>
        <w:pStyle w:val="Heading3"/>
        <w:spacing w:after="80" w:before="200"/>
      </w:pPr>
      <w:r>
        <w:rPr>
          <w:rFonts w:ascii="Arial" w:cs="Arial" w:eastAsia="Arial" w:hAnsi="Arial"/>
          <w:b/>
          <w:bCs/>
          <w:color w:val="0F172A"/>
          <w:sz w:val="22"/>
          <w:szCs w:val="22"/>
        </w:rPr>
        <w:t xml:space="preserve">4.1 V0 General Medicine pack — the active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Guideline</w:t>
            </w:r>
          </w:p>
        </w:tc>
        <w:tc>
          <w:tcPr>
            <w:tcW w:type="dxa" w:w="35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Used for</w:t>
            </w:r>
          </w:p>
        </w:tc>
        <w:tc>
          <w:tcPr>
            <w:tcW w:type="dxa" w:w="366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V0 referenced version</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ADA Standards of Care</w:t>
            </w:r>
          </w:p>
        </w:tc>
        <w:tc>
          <w:tcPr>
            <w:tcW w:type="dxa" w:w="35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Diabetes (HbA1c thresholds, screening cadence, statin / ACEi indications)</w:t>
            </w:r>
          </w:p>
        </w:tc>
        <w:tc>
          <w:tcPr>
            <w:tcW w:type="dxa" w:w="36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ADA 2024</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WHO HEARTS Hypertension</w:t>
            </w:r>
          </w:p>
        </w:tc>
        <w:tc>
          <w:tcPr>
            <w:tcW w:type="dxa" w:w="35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Hypertension (SBP/DBP thresholds, treatment cadence)</w:t>
            </w:r>
          </w:p>
        </w:tc>
        <w:tc>
          <w:tcPr>
            <w:tcW w:type="dxa" w:w="36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WHO 2023</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NICE NG56 — Polypharmacy</w:t>
            </w:r>
          </w:p>
        </w:tc>
        <w:tc>
          <w:tcPr>
            <w:tcW w:type="dxa" w:w="35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Medication review thresholds, deprescribing cues</w:t>
            </w:r>
          </w:p>
        </w:tc>
        <w:tc>
          <w:tcPr>
            <w:tcW w:type="dxa" w:w="36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NICE 2017 (active)</w:t>
            </w:r>
          </w:p>
        </w:tc>
      </w:tr>
    </w:tbl>
    <w:p>
      <w:pPr>
        <w:pStyle w:val="Heading3"/>
        <w:spacing w:after="80" w:before="200"/>
      </w:pPr>
      <w:r>
        <w:rPr>
          <w:rFonts w:ascii="Arial" w:cs="Arial" w:eastAsia="Arial" w:hAnsi="Arial"/>
          <w:b/>
          <w:bCs/>
          <w:color w:val="0F172A"/>
          <w:sz w:val="22"/>
          <w:szCs w:val="22"/>
        </w:rPr>
        <w:t xml:space="preserve">4.2 Auxiliary references (not in the footer chip but used by the engine)</w:t>
      </w:r>
    </w:p>
    <w:p>
      <w:pPr>
        <w:pStyle w:val="ListParagraph"/>
        <w:numPr>
          <w:ilvl w:val="0"/>
          <w:numId w:val="2"/>
        </w:numPr>
        <w:spacing w:after="60" w:before="0" w:line="280"/>
      </w:pPr>
      <w:r>
        <w:rPr>
          <w:rFonts w:ascii="Arial" w:cs="Arial" w:eastAsia="Arial" w:hAnsi="Arial"/>
          <w:color w:val="0F172A"/>
          <w:sz w:val="22"/>
          <w:szCs w:val="22"/>
        </w:rPr>
        <w:t xml:space="preserve">Hospital Pharmacy Formulary (Zydus internal) — DDI flagging baseline.</w:t>
      </w:r>
    </w:p>
    <w:p>
      <w:pPr>
        <w:pStyle w:val="ListParagraph"/>
        <w:numPr>
          <w:ilvl w:val="0"/>
          <w:numId w:val="2"/>
        </w:numPr>
        <w:spacing w:after="60" w:before="0" w:line="280"/>
      </w:pPr>
      <w:r>
        <w:rPr>
          <w:rFonts w:ascii="Arial" w:cs="Arial" w:eastAsia="Arial" w:hAnsi="Arial"/>
          <w:color w:val="0F172A"/>
          <w:sz w:val="22"/>
          <w:szCs w:val="22"/>
        </w:rPr>
        <w:t xml:space="preserve">Lexicomp class-level interaction rules — DDI second tier.</w:t>
      </w:r>
    </w:p>
    <w:p>
      <w:pPr>
        <w:pStyle w:val="ListParagraph"/>
        <w:numPr>
          <w:ilvl w:val="0"/>
          <w:numId w:val="2"/>
        </w:numPr>
        <w:spacing w:after="60" w:before="0" w:line="280"/>
      </w:pPr>
      <w:r>
        <w:rPr>
          <w:rFonts w:ascii="Arial" w:cs="Arial" w:eastAsia="Arial" w:hAnsi="Arial"/>
          <w:color w:val="0F172A"/>
          <w:sz w:val="22"/>
          <w:szCs w:val="22"/>
        </w:rPr>
        <w:t xml:space="preserve">WHO Essential Medicines List (EML) — safe-prescribing baseline for high-risk classes.</w:t>
      </w:r>
    </w:p>
    <w:p>
      <w:pPr>
        <w:pStyle w:val="ListParagraph"/>
        <w:numPr>
          <w:ilvl w:val="0"/>
          <w:numId w:val="2"/>
        </w:numPr>
        <w:spacing w:after="60" w:before="0" w:line="280"/>
      </w:pPr>
      <w:r>
        <w:rPr>
          <w:rFonts w:ascii="Arial" w:cs="Arial" w:eastAsia="Arial" w:hAnsi="Arial"/>
          <w:color w:val="0F172A"/>
          <w:sz w:val="22"/>
          <w:szCs w:val="22"/>
        </w:rPr>
        <w:t xml:space="preserve">KDIGO 2024 — used only by the eGFR / Nephrology referral cohort in panel audit.</w:t>
      </w:r>
    </w:p>
    <w:p>
      <w:pPr>
        <w:pStyle w:val="Heading3"/>
        <w:spacing w:after="80" w:before="200"/>
      </w:pPr>
      <w:r>
        <w:rPr>
          <w:rFonts w:ascii="Arial" w:cs="Arial" w:eastAsia="Arial" w:hAnsi="Arial"/>
          <w:b/>
          <w:bCs/>
          <w:color w:val="0F172A"/>
          <w:sz w:val="22"/>
          <w:szCs w:val="22"/>
        </w:rPr>
        <w:t xml:space="preserve">4.3 Why exactly three in the chip</w:t>
      </w:r>
    </w:p>
    <w:p>
      <w:pPr>
        <w:spacing w:after="120" w:before="0" w:line="300"/>
      </w:pPr>
      <w:r>
        <w:rPr>
          <w:rFonts w:ascii="Arial" w:cs="Arial" w:eastAsia="Arial" w:hAnsi="Arial"/>
          <w:color w:val="0F172A"/>
          <w:sz w:val="22"/>
          <w:szCs w:val="22"/>
        </w:rPr>
        <w:t xml:space="preserve">Three is the cap because beyond three the footer reads as marketing rather than provenance. Three matches the cardinality of the most active panels (diabetes + hypertension + polypharmacy is the GenMed workhorse). Specialty packs (Cardiology, Nephrology) will publish their own three when they ship.</w:t>
      </w:r>
    </w:p>
    <w:p>
      <w:pPr>
        <w:pStyle w:val="Heading1"/>
        <w:spacing w:after="180" w:before="360"/>
      </w:pPr>
      <w:r>
        <w:rPr>
          <w:rFonts w:ascii="Arial" w:cs="Arial" w:eastAsia="Arial" w:hAnsi="Arial"/>
          <w:b/>
          <w:bCs/>
          <w:color w:val="0F4C75"/>
          <w:sz w:val="32"/>
          <w:szCs w:val="32"/>
        </w:rPr>
        <w:t xml:space="preserve">5. Master intent table</w:t>
      </w:r>
    </w:p>
    <w:p>
      <w:pPr>
        <w:spacing w:after="120" w:before="0" w:line="300"/>
      </w:pPr>
      <w:r>
        <w:rPr>
          <w:rFonts w:ascii="Arial" w:cs="Arial" w:eastAsia="Arial" w:hAnsi="Arial"/>
          <w:color w:val="0F172A"/>
          <w:sz w:val="22"/>
          <w:szCs w:val="22"/>
        </w:rPr>
        <w:t xml:space="preserve">Reference summary. Every row is implemented as a deterministic rule-set; no row's logic is generated by the LLM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2730"/>
        <w:gridCol w:w="2430"/>
      </w:tblGrid>
      <w:tr>
        <w:trPr>
          <w:tblHeader/>
        </w:trPr>
        <w:tc>
          <w:tcPr>
            <w:tcW w:type="dxa" w:w="13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Intent</w:t>
            </w:r>
          </w:p>
        </w:tc>
        <w:tc>
          <w:tcPr>
            <w:tcW w:type="dxa" w:w="16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When to surface</w:t>
            </w:r>
          </w:p>
        </w:tc>
        <w:tc>
          <w:tcPr>
            <w:tcW w:type="dxa" w:w="13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Patient types (internal)</w:t>
            </w:r>
          </w:p>
        </w:tc>
        <w:tc>
          <w:tcPr>
            <w:tcW w:type="dxa" w:w="273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Suggestion logic (peek source)</w:t>
            </w:r>
          </w:p>
        </w:tc>
        <w:tc>
          <w:tcPr>
            <w:tcW w:type="dxa" w:w="243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Response logic (answer source)</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1. Hospital history</w:t>
            </w:r>
          </w:p>
        </w:tc>
        <w:tc>
          <w:tcPr>
            <w:tcW w:type="dxa" w:w="16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Patient has ≥1 prior visit; rank top if ≥2 departments seen</w:t>
            </w:r>
          </w:p>
        </w:tc>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T1 (rank 2), T2 (rank 1), T3 ✗</w:t>
            </w:r>
          </w:p>
        </w:tc>
        <w:tc>
          <w:tcPr>
            <w:tcW w:type="dxa" w:w="27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COUNT(visit) by department, last admission date, active med count from drug_exposure</w:t>
            </w:r>
          </w:p>
        </w:tc>
        <w:tc>
          <w:tcPr>
            <w:tcW w:type="dxa" w:w="24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Visit timeline + active meds + recent admissions + last 90d labs, every line cites visit_id</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2. Open loops</w:t>
            </w:r>
          </w:p>
        </w:tc>
        <w:tc>
          <w:tcPr>
            <w:tcW w:type="dxa" w:w="16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≥1 of: lab unresolved &gt;7d, referral &gt;30d, missed follow-up, no fill in 90d</w:t>
            </w:r>
          </w:p>
        </w:tc>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T1 (own loops), T2 (cross-team), T3 ✗</w:t>
            </w:r>
          </w:p>
        </w:tc>
        <w:tc>
          <w:tcPr>
            <w:tcW w:type="dxa" w:w="27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Run 4 deterministic detectors, surface count + 3 most recent</w:t>
            </w:r>
          </w:p>
        </w:tc>
        <w:tc>
          <w:tcPr>
            <w:tcW w:type="dxa" w:w="24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Sorted table by age in days; each row cites order_id / referral_id / appt_id</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3. Pre-action safety</w:t>
            </w:r>
          </w:p>
        </w:tc>
        <w:tc>
          <w:tcPr>
            <w:tcW w:type="dxa" w:w="16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Always (when patient has any active med, allergy, or lab in last 30d)</w:t>
            </w:r>
          </w:p>
        </w:tc>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T1, T2 ✓; T3 → empty state with verbal-history nudge</w:t>
            </w:r>
          </w:p>
        </w:tc>
        <w:tc>
          <w:tcPr>
            <w:tcW w:type="dxa" w:w="27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Active meds + allergies + last-30d labs; flag high-risk meds and recent same-test orders</w:t>
            </w:r>
          </w:p>
        </w:tc>
        <w:tc>
          <w:tcPr>
            <w:tcW w:type="dxa" w:w="24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Med table + DDI flags (rule-base id), allergies, recent labs vs threshold (no interpretation)</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4. Today's flags</w:t>
            </w:r>
          </w:p>
        </w:tc>
        <w:tc>
          <w:tcPr>
            <w:tcW w:type="dxa" w:w="16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Patient on today's panel AND ≥1 trigger fires</w:t>
            </w:r>
          </w:p>
        </w:tc>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T1 (since last interaction), T2 (record-wide), T3 minimal</w:t>
            </w:r>
          </w:p>
        </w:tc>
        <w:tc>
          <w:tcPr>
            <w:tcW w:type="dxa" w:w="27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5 detectors: admission / unreviewed critical lab / threshold breach / polypharmacy / missed follow-up</w:t>
            </w:r>
          </w:p>
        </w:tc>
        <w:tc>
          <w:tcPr>
            <w:tcW w:type="dxa" w:w="24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Severity-sorted flag list; thresholds cite guideline section; rule-based severity only</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5. Panel audit</w:t>
            </w:r>
          </w:p>
        </w:tc>
        <w:tc>
          <w:tcPr>
            <w:tcW w:type="dxa" w:w="16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Daily / weekly digest, separate surface (V0.5)</w:t>
            </w:r>
          </w:p>
        </w:tc>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T1 + T2 once on panel; T3 ✗</w:t>
            </w:r>
          </w:p>
        </w:tc>
        <w:tc>
          <w:tcPr>
            <w:tcW w:type="dxa" w:w="27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Run signed cohort registry; surface non-empty cohorts only</w:t>
            </w:r>
          </w:p>
        </w:tc>
        <w:tc>
          <w:tcPr>
            <w:tcW w:type="dxa" w:w="243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Per-cohort patient list with qualifying data point; cohort registry version on every answer</w:t>
            </w:r>
          </w:p>
        </w:tc>
      </w:tr>
    </w:tbl>
    <w:p>
      <w:pPr>
        <w:pStyle w:val="Heading1"/>
        <w:spacing w:after="180" w:before="360"/>
      </w:pPr>
      <w:r>
        <w:rPr>
          <w:rFonts w:ascii="Arial" w:cs="Arial" w:eastAsia="Arial" w:hAnsi="Arial"/>
          <w:b/>
          <w:bCs/>
          <w:color w:val="0F4C75"/>
          <w:sz w:val="32"/>
          <w:szCs w:val="32"/>
        </w:rPr>
        <w:t xml:space="preserve">6. Failure modes &amp; honest empty states</w:t>
      </w:r>
    </w:p>
    <w:p>
      <w:pPr>
        <w:spacing w:after="120" w:before="0" w:line="300"/>
      </w:pPr>
      <w:r>
        <w:rPr>
          <w:rFonts w:ascii="Arial" w:cs="Arial" w:eastAsia="Arial" w:hAnsi="Arial"/>
          <w:color w:val="0F172A"/>
          <w:sz w:val="22"/>
          <w:szCs w:val="22"/>
        </w:rPr>
        <w:t xml:space="preserve">These are the cases where Velora must say less or nothing, and how it should phrase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Situation</w:t>
            </w:r>
          </w:p>
        </w:tc>
        <w:tc>
          <w:tcPr>
            <w:tcW w:type="dxa" w:w="616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Required behaviour</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No data at all (Type 3 patient)</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Render: 'No prior records at this hospital. Take a fresh history. Velora will be most useful from this patient's second encounter onward.' No CTAs render.</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Partial data (e.g., only pharmacy fills, no labs)</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Render the available CTAs only. Each card states what is missing in the peek (e.g., 'No labs in last 30 days').</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Source of pharmacy fills is in-hospital only</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On every adherence-related claim: 'Pharmacy data is in-hospital only — patient may have filled outside.' This disclosure is mandatory.</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Cypher returns &gt;200 rows (V0 cap)</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Render with: 'Showing top 200 of &lt;N&gt;. Refine the query for a smaller set.' Do not silently truncate.</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Cypher times out (&gt;5 s)</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Render error envelope: 'Velora couldn't compute this in time. Try a narrower question.' No partial answer.</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LLM disagrees with structured rule</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Structured rule wins. The LLM may not override severity or threshold values.</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Two answers conflict (e.g., two values for same lab)</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Render both with timestamps and sources. Velora does not pick a winner; the doctor does.</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Doctor asks something outside the 5 intents</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Render: 'I'm not sure how to help with that. Try one of the suggested cards or rephrase.' Followed by 4 example prompts. The LLM does not invent a sixth intent.</w:t>
            </w:r>
          </w:p>
        </w:tc>
      </w:tr>
      <w:tr>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Graph is stale (&gt;configured threshold)</w:t>
            </w:r>
          </w:p>
        </w:tc>
        <w:tc>
          <w:tcPr>
            <w:tcW w:type="dxa" w:w="61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Every answer renders with a freshness warning banner. CTAs that depend on near-real-time signals (Today's flags) are hidden, not surfaced with stale data.</w:t>
            </w:r>
          </w:p>
        </w:tc>
      </w:tr>
    </w:tbl>
    <w:p>
      <w:pPr>
        <w:pStyle w:val="Heading1"/>
        <w:spacing w:after="180" w:before="360"/>
      </w:pPr>
      <w:r>
        <w:rPr>
          <w:rFonts w:ascii="Arial" w:cs="Arial" w:eastAsia="Arial" w:hAnsi="Arial"/>
          <w:b/>
          <w:bCs/>
          <w:color w:val="0F4C75"/>
          <w:sz w:val="32"/>
          <w:szCs w:val="32"/>
        </w:rPr>
        <w:t xml:space="preserve">7. How this logic shapes the V0 chat UI</w:t>
      </w:r>
    </w:p>
    <w:p>
      <w:pPr>
        <w:spacing w:after="120" w:before="0" w:line="300"/>
      </w:pPr>
      <w:r>
        <w:rPr>
          <w:rFonts w:ascii="Arial" w:cs="Arial" w:eastAsia="Arial" w:hAnsi="Arial"/>
          <w:color w:val="0F172A"/>
          <w:sz w:val="22"/>
          <w:szCs w:val="22"/>
        </w:rPr>
        <w:t xml:space="preserve">The companion mockup (/Zyvelor/velora-chat-ui.html) is a direct rendering of this spec. The doctor never sees Type 1/2/3 labels, intent names, or rule IDs — those are internal. The doctor sees: a greeting, a patient context chip, four CTA cards (or fewer if logic suppressed any), four suggestion pills above the input, the input itself, and a guideline-anchor footer.</w:t>
      </w:r>
    </w:p>
    <w:p>
      <w:pPr>
        <w:pStyle w:val="Heading3"/>
        <w:spacing w:after="80" w:before="200"/>
      </w:pPr>
      <w:r>
        <w:rPr>
          <w:rFonts w:ascii="Arial" w:cs="Arial" w:eastAsia="Arial" w:hAnsi="Arial"/>
          <w:b/>
          <w:bCs/>
          <w:color w:val="0F172A"/>
          <w:sz w:val="22"/>
          <w:szCs w:val="22"/>
        </w:rPr>
        <w:t xml:space="preserve">7.1 What the doctor sees, mapped to internal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UI element (doctor-facing)</w:t>
            </w:r>
          </w:p>
        </w:tc>
        <w:tc>
          <w:tcPr>
            <w:tcW w:type="dxa" w:w="636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What it means in this spec</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Patient chip in header (name · age/sex · MRN)</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Patient context. The internal patient-type taxonomy is NOT shown to the doctor; it informs CTA ranking only.</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The four CTA cards on the welcome screen</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One per intent (Hospital history, Open loops, Pre-action safety, Today's flags). Each card is shown only if its suggestion-logic preconditions are met.</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The peek copy on each CTA card</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Auto-generated from the intent's suggestion-logic — never from an LLM narrative. Numbers in the peek are queryable; dates in the peek cite source records.</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Suggestion pills above the input</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Lower-priority follow-up nudges. Same provenance contract.</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Footer chip 'Following: ADA 2024 · WHO HTN 2023 · NICE NG56'</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The active guideline anchors for the doctor's specialty. Click to see how each is used (V0.5).</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Footer trust strip ('Reads only this hospital's records · Every answer cites its source · Show executed query')</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The validation contract from §2 made visible. Always present. Never collapsed.</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Audit footer below every answer card (when responses render)</w:t>
            </w:r>
          </w:p>
        </w:tc>
        <w:tc>
          <w:tcPr>
            <w:tcW w:type="dxa" w:w="636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Evidence tier · row count · duration · freshness · Show Cypher toggle. Per the V0 product spec.</w:t>
            </w:r>
          </w:p>
        </w:tc>
      </w:tr>
    </w:tbl>
    <w:p>
      <w:pPr>
        <w:pStyle w:val="Heading3"/>
        <w:spacing w:after="80" w:before="200"/>
      </w:pPr>
      <w:r>
        <w:rPr>
          <w:rFonts w:ascii="Arial" w:cs="Arial" w:eastAsia="Arial" w:hAnsi="Arial"/>
          <w:b/>
          <w:bCs/>
          <w:color w:val="0F172A"/>
          <w:sz w:val="22"/>
          <w:szCs w:val="22"/>
        </w:rPr>
        <w:t xml:space="preserve">7.2 What the welcome screen shows when nothing fires</w:t>
      </w:r>
    </w:p>
    <w:p>
      <w:pPr>
        <w:spacing w:after="120" w:before="0" w:line="300"/>
      </w:pPr>
      <w:r>
        <w:rPr>
          <w:rFonts w:ascii="Arial" w:cs="Arial" w:eastAsia="Arial" w:hAnsi="Arial"/>
          <w:color w:val="0F172A"/>
          <w:sz w:val="22"/>
          <w:szCs w:val="22"/>
        </w:rPr>
        <w:t xml:space="preserve">If a patient has so little data that all four CTAs would be empty (e.g., a Type 3 first-time hospital visitor), the welcome screen renders one line — 'No prior records at this hospital. Begin a fresh history.' — plus the input box. This is honest, builds trust on the cases where things DO fire, and reflects §6.</w:t>
      </w:r>
    </w:p>
    <w:p>
      <w:pPr>
        <w:pStyle w:val="Heading1"/>
        <w:spacing w:after="180" w:before="360"/>
      </w:pPr>
      <w:r>
        <w:rPr>
          <w:rFonts w:ascii="Arial" w:cs="Arial" w:eastAsia="Arial" w:hAnsi="Arial"/>
          <w:b/>
          <w:bCs/>
          <w:color w:val="0F4C75"/>
          <w:sz w:val="32"/>
          <w:szCs w:val="32"/>
        </w:rPr>
        <w:t xml:space="preserve">8. Open questions for the clinical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2640"/>
        <w:gridCol w:w="2240"/>
      </w:tblGrid>
      <w:tr>
        <w:trPr>
          <w:tblHeader/>
        </w:trPr>
        <w:tc>
          <w:tcPr>
            <w:tcW w:type="dxa" w:w="448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Question</w:t>
            </w:r>
          </w:p>
        </w:tc>
        <w:tc>
          <w:tcPr>
            <w:tcW w:type="dxa" w:w="264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Owner</w:t>
            </w:r>
          </w:p>
        </w:tc>
        <w:tc>
          <w:tcPr>
            <w:tcW w:type="dxa" w:w="2240"/>
            <w:tcBorders>
              <w:top w:val="single" w:color="94A3B8" w:sz="4"/>
              <w:left w:val="single" w:color="94A3B8" w:sz="4"/>
              <w:bottom w:val="single" w:color="94A3B8" w:sz="4"/>
              <w:right w:val="single" w:color="94A3B8" w:sz="4"/>
            </w:tcBorders>
            <w:shd w:fill="F1F5F9" w:val="clear"/>
            <w:tcMar>
              <w:top w:type="dxa" w:w="80"/>
              <w:left w:type="dxa" w:w="140"/>
              <w:bottom w:type="dxa" w:w="80"/>
              <w:right w:type="dxa" w:w="140"/>
            </w:tcMar>
          </w:tcPr>
          <w:p>
            <w:r>
              <w:rPr>
                <w:rFonts w:ascii="Arial" w:cs="Arial" w:eastAsia="Arial" w:hAnsi="Arial"/>
                <w:b/>
                <w:bCs/>
                <w:color w:val="0F172A"/>
                <w:sz w:val="20"/>
                <w:szCs w:val="20"/>
              </w:rPr>
              <w:t xml:space="preserve">Deadline</w:t>
            </w:r>
          </w:p>
        </w:tc>
      </w:tr>
      <w:tr>
        <w:tc>
          <w:tcPr>
            <w:tcW w:type="dxa" w:w="448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Are the V0 open-loop windows (lab &gt;7d, referral &gt;30d, follow-up missed, fill &gt;90d) clinically right for Zydus GenMed?</w:t>
            </w:r>
          </w:p>
        </w:tc>
        <w:tc>
          <w:tcPr>
            <w:tcW w:type="dxa" w:w="26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Zydus clinical lead</w:t>
            </w:r>
          </w:p>
        </w:tc>
        <w:tc>
          <w:tcPr>
            <w:tcW w:type="dxa" w:w="22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Pre-Day-1</w:t>
            </w:r>
          </w:p>
        </w:tc>
      </w:tr>
      <w:tr>
        <w:tc>
          <w:tcPr>
            <w:tcW w:type="dxa" w:w="448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Which DDI rule-base does Velora call — the hospital pharmacy formulary, Lexicomp, or both?</w:t>
            </w:r>
          </w:p>
        </w:tc>
        <w:tc>
          <w:tcPr>
            <w:tcW w:type="dxa" w:w="26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Zydus pharmacy + Zyvelor eng</w:t>
            </w:r>
          </w:p>
        </w:tc>
        <w:tc>
          <w:tcPr>
            <w:tcW w:type="dxa" w:w="22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Pre-Day-1</w:t>
            </w:r>
          </w:p>
        </w:tc>
      </w:tr>
      <w:tr>
        <w:tc>
          <w:tcPr>
            <w:tcW w:type="dxa" w:w="448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Is 'doctor's panel' = attending of record, OR last encounter ≤90d, for V0?</w:t>
            </w:r>
          </w:p>
        </w:tc>
        <w:tc>
          <w:tcPr>
            <w:tcW w:type="dxa" w:w="26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Zydus clinical lead</w:t>
            </w:r>
          </w:p>
        </w:tc>
        <w:tc>
          <w:tcPr>
            <w:tcW w:type="dxa" w:w="22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Pre-Day-1</w:t>
            </w:r>
          </w:p>
        </w:tc>
      </w:tr>
      <w:tr>
        <w:tc>
          <w:tcPr>
            <w:tcW w:type="dxa" w:w="448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Daily refresh cadence for Today's flags — overnight, every 4h, near-live?</w:t>
            </w:r>
          </w:p>
        </w:tc>
        <w:tc>
          <w:tcPr>
            <w:tcW w:type="dxa" w:w="26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Zydus IT + Zyvelor eng</w:t>
            </w:r>
          </w:p>
        </w:tc>
        <w:tc>
          <w:tcPr>
            <w:tcW w:type="dxa" w:w="22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Pre-Day-1</w:t>
            </w:r>
          </w:p>
        </w:tc>
      </w:tr>
      <w:tr>
        <w:tc>
          <w:tcPr>
            <w:tcW w:type="dxa" w:w="448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Are the three guideline chips for V0 GenMed (ADA · WHO HTN · NICE NG56) the right choice for Indian context, or should ICMR replace one?</w:t>
            </w:r>
          </w:p>
        </w:tc>
        <w:tc>
          <w:tcPr>
            <w:tcW w:type="dxa" w:w="26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Zydus clinical lead</w:t>
            </w:r>
          </w:p>
        </w:tc>
        <w:tc>
          <w:tcPr>
            <w:tcW w:type="dxa" w:w="22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Pre-Day-1</w:t>
            </w:r>
          </w:p>
        </w:tc>
      </w:tr>
      <w:tr>
        <w:tc>
          <w:tcPr>
            <w:tcW w:type="dxa" w:w="448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When the LLM produces a digest (§3 Intent 1), is the doctor allowed to see only the bullets, or always the source-rows alongside?</w:t>
            </w:r>
          </w:p>
        </w:tc>
        <w:tc>
          <w:tcPr>
            <w:tcW w:type="dxa" w:w="26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Zyvelor design + clinical lead</w:t>
            </w:r>
          </w:p>
        </w:tc>
        <w:tc>
          <w:tcPr>
            <w:tcW w:type="dxa" w:w="2240"/>
            <w:tcBorders>
              <w:top w:val="single" w:color="94A3B8" w:sz="4"/>
              <w:left w:val="single" w:color="94A3B8" w:sz="4"/>
              <w:bottom w:val="single" w:color="94A3B8" w:sz="4"/>
              <w:right w:val="single" w:color="94A3B8" w:sz="4"/>
            </w:tcBorders>
            <w:tcMar>
              <w:top w:type="dxa" w:w="80"/>
              <w:left w:type="dxa" w:w="140"/>
              <w:bottom w:type="dxa" w:w="80"/>
              <w:right w:type="dxa" w:w="140"/>
            </w:tcMar>
          </w:tcPr>
          <w:p>
            <w:pPr>
              <w:spacing w:after="40" w:before="0" w:line="260"/>
            </w:pPr>
            <w:r>
              <w:rPr>
                <w:rFonts w:ascii="Arial" w:cs="Arial" w:eastAsia="Arial" w:hAnsi="Arial"/>
                <w:color w:val="0F172A"/>
                <w:sz w:val="20"/>
                <w:szCs w:val="20"/>
              </w:rPr>
              <w:t xml:space="preserve">Day 1</w:t>
            </w:r>
          </w:p>
        </w:tc>
      </w:tr>
    </w:tbl>
    <w:p>
      <w:pPr>
        <w:pBdr>
          <w:bottom w:val="single" w:color="0F4C75" w:sz="6" w:space="1"/>
        </w:pBdr>
        <w:spacing w:after="80" w:before="80"/>
      </w:pPr>
      <w:r>
        <w:t xml:space="preserve"/>
      </w:r>
    </w:p>
    <w:p>
      <w:pPr>
        <w:spacing w:after="120" w:before="80" w:line="300"/>
      </w:pPr>
      <w:r>
        <w:rPr>
          <w:rFonts w:ascii="Arial" w:cs="Arial" w:eastAsia="Arial" w:hAnsi="Arial"/>
          <w:i/>
          <w:iCs/>
          <w:color w:val="0F172A"/>
          <w:sz w:val="22"/>
          <w:szCs w:val="22"/>
        </w:rPr>
        <w:t xml:space="preserve">This spec is a living artefact. Re-version on every signed-off rule change. The intent layer is the contract between Velora and the doctor; if it drifts, trust drifts.</w:t>
      </w:r>
    </w:p>
    <w:p>
      <w:pPr>
        <w:spacing w:after="120" w:before="0" w:line="300"/>
      </w:pPr>
      <w:r>
        <w:rPr>
          <w:rFonts w:ascii="Arial" w:cs="Arial" w:eastAsia="Arial" w:hAnsi="Arial"/>
          <w:i/>
          <w:iCs/>
          <w:color w:val="0F4C75"/>
          <w:sz w:val="22"/>
          <w:szCs w:val="22"/>
        </w:rPr>
        <w:t xml:space="preserve">Last review: 2026-05-08 — Zyvelor Labs.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4A3B8"/>
        <w:sz w:val="16"/>
        <w:szCs w:val="16"/>
      </w:rPr>
      <w:t xml:space="preserve">Zyvelor Labs · zyvelorlabs@tatvacare.in</w:t>
    </w:r>
    <w:r>
      <w:rPr>
        <w:rFonts w:ascii="Arial" w:cs="Arial" w:eastAsia="Arial" w:hAnsi="Arial"/>
        <w:sz w:val="16"/>
        <w:szCs w:val="16"/>
      </w:rPr>
      <w:t xml:space="preserve">	</w:t>
    </w: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F4C75"/>
        <w:sz w:val="16"/>
        <w:szCs w:val="16"/>
      </w:rPr>
      <w:t xml:space="preserve">VELORA OS · V0 Intent Logic &amp; Validation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4C7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Velora OS — V0 Intent Logic &amp; Validation Spec</dc:title>
  <dc:creator>Zyvelor Labs</dc:creator>
  <dc:description>How Velora decides what to suggest, what to answer, and how to prove every claim.</dc:description>
  <cp:lastModifiedBy>Un-named</cp:lastModifiedBy>
  <cp:revision>1</cp:revision>
  <dcterms:created xsi:type="dcterms:W3CDTF">2026-05-08T05:01:31.475Z</dcterms:created>
  <dcterms:modified xsi:type="dcterms:W3CDTF">2026-05-08T05:01:31.475Z</dcterms:modified>
</cp:coreProperties>
</file>

<file path=docProps/custom.xml><?xml version="1.0" encoding="utf-8"?>
<Properties xmlns="http://schemas.openxmlformats.org/officeDocument/2006/custom-properties" xmlns:vt="http://schemas.openxmlformats.org/officeDocument/2006/docPropsVTypes"/>
</file>