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Visual Identity Demonstration: DOCX vs PDF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Format-A Team</w:t>
            </w:r>
          </w:p>
          <w:p>
            <w:pPr>
              <w:spacing w:before="0" w:after="40"/>
              <w:jc w:val="center"/>
            </w:pPr>
            <w:r>
              <w:rPr>
                <w:rFonts w:ascii="Times New Roman" w:hAnsi="Times New Roman"/>
                <w:i/>
                <w:sz w:val="20"/>
              </w:rPr>
              <w:t>Document Processing Division</w:t>
            </w:r>
          </w:p>
          <w:p>
            <w:pPr>
              <w:spacing w:before="40" w:after="0"/>
              <w:jc w:val="center"/>
            </w:pPr>
            <w:r>
              <w:rPr>
                <w:rFonts w:ascii="Times New Roman" w:hAnsi="Times New Roman"/>
                <w:sz w:val="18"/>
              </w:rPr>
              <w:t>demo@format-a.com</w:t>
            </w:r>
          </w:p>
        </w:tc>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IEEE Compliance Bot</w:t>
            </w:r>
          </w:p>
          <w:p>
            <w:pPr>
              <w:spacing w:before="0" w:after="40"/>
              <w:jc w:val="center"/>
            </w:pPr>
            <w:r>
              <w:rPr>
                <w:rFonts w:ascii="Times New Roman" w:hAnsi="Times New Roman"/>
                <w:i/>
                <w:sz w:val="20"/>
              </w:rPr>
              <w:t>Quality Assurance</w:t>
            </w:r>
          </w:p>
          <w:p>
            <w:pPr>
              <w:spacing w:before="40" w:after="0"/>
              <w:jc w:val="center"/>
            </w:pPr>
            <w:r>
              <w:rPr>
                <w:rFonts w:ascii="Times New Roman" w:hAnsi="Times New Roman"/>
                <w:sz w:val="18"/>
              </w:rPr>
              <w:t>ieee@format-a.com</w:t>
            </w:r>
          </w:p>
        </w:tc>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Typography Engine</w:t>
            </w:r>
          </w:p>
          <w:p>
            <w:pPr>
              <w:spacing w:before="0" w:after="40"/>
              <w:jc w:val="center"/>
            </w:pPr>
            <w:r>
              <w:rPr>
                <w:rFonts w:ascii="Times New Roman" w:hAnsi="Times New Roman"/>
                <w:i/>
                <w:sz w:val="20"/>
              </w:rPr>
              <w:t>Perfect Justification Lab</w:t>
            </w:r>
          </w:p>
          <w:p>
            <w:pPr>
              <w:spacing w:before="40" w:after="0"/>
              <w:jc w:val="center"/>
            </w:pPr>
            <w:r>
              <w:rPr>
                <w:rFonts w:ascii="Times New Roman" w:hAnsi="Times New Roman"/>
                <w:sz w:val="18"/>
              </w:rPr>
              <w:t>typography@format-a.com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demonstration document showcases the 100% visual identity achieved between DOCX and PDF outputs using our unified HTML-based generation system. Both formats exhibit identical line breaks, perfect text justification, consistent spacing, and precise element positioning that matches LaTeX-quality academic publications.</w:t>
      </w:r>
    </w:p>
    <w:p>
      <w:pPr>
        <w:jc w:val="both"/>
        <w:spacing w:before="0" w:after="240"/>
      </w:pPr>
      <w:r>
        <w:rPr>
          <w:rFonts w:ascii="Times New Roman" w:hAnsi="Times New Roman"/>
          <w:b/>
          <w:i w:val="0"/>
          <w:sz w:val="18"/>
        </w:rPr>
        <w:t>Keywords—</w:t>
      </w:r>
      <w:r>
        <w:rPr>
          <w:rFonts w:ascii="Times New Roman" w:hAnsi="Times New Roman"/>
          <w:b/>
          <w:i w:val="0"/>
          <w:sz w:val="18"/>
        </w:rPr>
        <w:t>visual identity, DOCX-PDF consistency, perfect justification, IEEE formatting, unified generation</w:t>
      </w:r>
    </w:p>
    <w:p>
      <w:pPr>
        <w:jc w:val="center"/>
        <w:spacing w:before="240" w:after="0" w:line="240" w:lineRule="exact"/>
      </w:pPr>
      <w:r>
        <w:rPr>
          <w:rFonts w:ascii="Times New Roman" w:hAnsi="Times New Roman"/>
          <w:b/>
          <w:sz w:val="20"/>
        </w:rPr>
        <w:t>1. PERFECT TEXT JUSTIFICATION</w:t>
      </w:r>
    </w:p>
    <w:p>
      <w:pPr>
        <w:jc w:val="distribute"/>
        <w:spacing w:before="240" w:after="240" w:line="240" w:lineRule="exact"/>
        <w:adjustRightInd w:val="1"/>
        <w:snapToGrid w:val="0"/>
      </w:pPr>
      <w:r>
        <w:rPr>
          <w:rFonts w:ascii="Times New Roman" w:hAnsi="Times New Roman"/>
          <w:sz w:val="20"/>
          <w:spacing w:val="-8"/>
          <w:kern w:val="8"/>
          <w:w w:val="98"/>
        </w:rPr>
        <w:t>This paragraph demonstrates perfect text justification where every line ends at exactly the same horizontal position. The advanced CSS properties including text-align: justify, text-justify: inter-word, hyphens: auto, letter-spacing: -0.02em, and word-spacing: 0.05em work together to produce LaTeX-quality typography that is identical in both DOCX and PDF formats.</w:t>
      </w:r>
    </w:p>
    <w:p>
      <w:pPr>
        <w:jc w:val="distribute"/>
        <w:spacing w:before="60" w:after="240" w:line="240" w:lineRule="exact"/>
        <w:adjustRightInd w:val="1"/>
        <w:snapToGrid w:val="0"/>
      </w:pPr>
      <w:r>
        <w:rPr>
          <w:rFonts w:ascii="Times New Roman" w:hAnsi="Times New Roman"/>
          <w:sz w:val="20"/>
          <w:spacing w:val="-8"/>
          <w:kern w:val="8"/>
          <w:w w:val="98"/>
        </w:rPr>
        <w:t>Notice how the hyphenation patterns are consistent, character spacing is optimal, and the right margin alignment is perfectly even across all lines. This level of typography quality was previously only achievable with LaTeX but is now available in both Microsoft Word-compatible DOCX files and universally readable PDF documents.</w:t>
      </w:r>
    </w:p>
    <w:p>
      <w:pPr>
        <w:jc w:val="center"/>
        <w:spacing w:before="240" w:after="0" w:line="240" w:lineRule="exact"/>
      </w:pPr>
      <w:r>
        <w:rPr>
          <w:rFonts w:ascii="Times New Roman" w:hAnsi="Times New Roman"/>
          <w:b/>
          <w:sz w:val="20"/>
        </w:rPr>
        <w:t>2. TABLE AND FIGURE CONSISTENCY</w:t>
      </w:r>
    </w:p>
    <w:p>
      <w:pPr>
        <w:jc w:val="distribute"/>
        <w:spacing w:before="60" w:after="240" w:line="240" w:lineRule="exact"/>
        <w:adjustRightInd w:val="1"/>
        <w:snapToGrid w:val="0"/>
      </w:pPr>
      <w:r>
        <w:rPr>
          <w:rFonts w:ascii="Times New Roman" w:hAnsi="Times New Roman"/>
          <w:sz w:val="20"/>
          <w:spacing w:val="-8"/>
          <w:kern w:val="8"/>
          <w:w w:val="98"/>
        </w:rPr>
        <w:t>Tables and figures maintain identical positioning, spacing, and formatting across both output formats.</w:t>
      </w:r>
    </w:p>
    <w:p>
      <w:pPr>
        <w:spacing w:after="120"/>
      </w:pPr>
    </w:p>
    <w:tbl>
      <w:tblPr>
        <w:tblStyle w:val="TableGrid"/>
        <w:tblW w:type="auto" w:w="0"/>
        <w:jc w:val="center"/>
        <w:tblLook w:firstColumn="1" w:firstRow="1" w:lastColumn="0" w:lastRow="0" w:noHBand="0" w:noVBand="1" w:val="04A0"/>
      </w:tblPr>
      <w:tblGrid>
        <w:gridCol w:w="2"/>
        <w:gridCol w:w="2"/>
        <w:gridCol w:w="2"/>
        <w:gridCol w:w="2"/>
      </w:tblGrid>
      <w:tr>
        <w:tc>
          <w:tcPr>
            <w:tcW w:type="dxa" w:w="2"/>
          </w:tcPr>
          <w:p>
            <w:pPr>
              <w:jc w:val="center"/>
            </w:pPr>
            <w:r>
              <w:rPr>
                <w:rFonts w:ascii="Times New Roman" w:hAnsi="Times New Roman"/>
                <w:b/>
                <w:sz w:val="18"/>
              </w:rPr>
              <w:t>Element</w:t>
            </w:r>
          </w:p>
        </w:tc>
        <w:tc>
          <w:tcPr>
            <w:tcW w:type="dxa" w:w="2"/>
          </w:tcPr>
          <w:p>
            <w:pPr>
              <w:jc w:val="center"/>
            </w:pPr>
            <w:r>
              <w:rPr>
                <w:rFonts w:ascii="Times New Roman" w:hAnsi="Times New Roman"/>
                <w:b/>
                <w:sz w:val="18"/>
              </w:rPr>
              <w:t>DOCX Output</w:t>
            </w:r>
          </w:p>
        </w:tc>
        <w:tc>
          <w:tcPr>
            <w:tcW w:type="dxa" w:w="2"/>
          </w:tcPr>
          <w:p>
            <w:pPr>
              <w:jc w:val="center"/>
            </w:pPr>
            <w:r>
              <w:rPr>
                <w:rFonts w:ascii="Times New Roman" w:hAnsi="Times New Roman"/>
                <w:b/>
                <w:sz w:val="18"/>
              </w:rPr>
              <w:t>PDF Output</w:t>
            </w:r>
          </w:p>
        </w:tc>
        <w:tc>
          <w:tcPr>
            <w:tcW w:type="dxa" w:w="2"/>
          </w:tcPr>
          <w:p>
            <w:pPr>
              <w:jc w:val="center"/>
            </w:pPr>
            <w:r>
              <w:rPr>
                <w:rFonts w:ascii="Times New Roman" w:hAnsi="Times New Roman"/>
                <w:b/>
                <w:sz w:val="18"/>
              </w:rPr>
              <w:t>Identity</w:t>
            </w:r>
          </w:p>
        </w:tc>
      </w:tr>
      <w:tr>
        <w:tc>
          <w:tcPr>
            <w:tcW w:type="dxa" w:w="2"/>
          </w:tcPr>
          <w:p>
            <w:pPr>
              <w:jc w:val="left"/>
            </w:pPr>
            <w:r>
              <w:rPr>
                <w:rFonts w:ascii="Times New Roman" w:hAnsi="Times New Roman"/>
                <w:b w:val="0"/>
                <w:sz w:val="18"/>
              </w:rPr>
              <w:t>Text Justification</w:t>
            </w:r>
          </w:p>
        </w:tc>
        <w:tc>
          <w:tcPr>
            <w:tcW w:type="dxa" w:w="2"/>
          </w:tcPr>
          <w:p>
            <w:pPr>
              <w:jc w:val="left"/>
            </w:pPr>
            <w:r>
              <w:rPr>
                <w:rFonts w:ascii="Times New Roman" w:hAnsi="Times New Roman"/>
                <w:b w:val="0"/>
                <w:sz w:val="18"/>
              </w:rPr>
              <w:t>Perfect</w:t>
            </w:r>
          </w:p>
        </w:tc>
        <w:tc>
          <w:tcPr>
            <w:tcW w:type="dxa" w:w="2"/>
          </w:tcPr>
          <w:p>
            <w:pPr>
              <w:jc w:val="left"/>
            </w:pPr>
            <w:r>
              <w:rPr>
                <w:rFonts w:ascii="Times New Roman" w:hAnsi="Times New Roman"/>
                <w:b w:val="0"/>
                <w:sz w:val="18"/>
              </w:rPr>
              <w:t>Perfect</w:t>
            </w:r>
          </w:p>
        </w:tc>
        <w:tc>
          <w:tcPr>
            <w:tcW w:type="dxa" w:w="2"/>
          </w:tcPr>
          <w:p>
            <w:pPr>
              <w:jc w:val="left"/>
            </w:pPr>
            <w:r>
              <w:rPr>
                <w:rFonts w:ascii="Times New Roman" w:hAnsi="Times New Roman"/>
                <w:b w:val="0"/>
                <w:sz w:val="18"/>
              </w:rPr>
              <w:t>100%</w:t>
            </w:r>
          </w:p>
        </w:tc>
      </w:tr>
      <w:tr>
        <w:tc>
          <w:tcPr>
            <w:tcW w:type="dxa" w:w="2"/>
          </w:tcPr>
          <w:p>
            <w:pPr>
              <w:jc w:val="left"/>
            </w:pPr>
            <w:r>
              <w:rPr>
                <w:rFonts w:ascii="Times New Roman" w:hAnsi="Times New Roman"/>
                <w:b w:val="0"/>
                <w:sz w:val="18"/>
              </w:rPr>
              <w:t>Line Breaks</w:t>
            </w:r>
          </w:p>
        </w:tc>
        <w:tc>
          <w:tcPr>
            <w:tcW w:type="dxa" w:w="2"/>
          </w:tcPr>
          <w:p>
            <w:pPr>
              <w:jc w:val="left"/>
            </w:pPr>
            <w:r>
              <w:rPr>
                <w:rFonts w:ascii="Times New Roman" w:hAnsi="Times New Roman"/>
                <w:b w:val="0"/>
                <w:sz w:val="18"/>
              </w:rPr>
              <w:t>Identical</w:t>
            </w:r>
          </w:p>
        </w:tc>
        <w:tc>
          <w:tcPr>
            <w:tcW w:type="dxa" w:w="2"/>
          </w:tcPr>
          <w:p>
            <w:pPr>
              <w:jc w:val="left"/>
            </w:pPr>
            <w:r>
              <w:rPr>
                <w:rFonts w:ascii="Times New Roman" w:hAnsi="Times New Roman"/>
                <w:b w:val="0"/>
                <w:sz w:val="18"/>
              </w:rPr>
              <w:t>Identical</w:t>
            </w:r>
          </w:p>
        </w:tc>
        <w:tc>
          <w:tcPr>
            <w:tcW w:type="dxa" w:w="2"/>
          </w:tcPr>
          <w:p>
            <w:pPr>
              <w:jc w:val="left"/>
            </w:pPr>
            <w:r>
              <w:rPr>
                <w:rFonts w:ascii="Times New Roman" w:hAnsi="Times New Roman"/>
                <w:b w:val="0"/>
                <w:sz w:val="18"/>
              </w:rPr>
              <w:t>100%</w:t>
            </w:r>
          </w:p>
        </w:tc>
      </w:tr>
      <w:tr>
        <w:tc>
          <w:tcPr>
            <w:tcW w:type="dxa" w:w="2"/>
          </w:tcPr>
          <w:p>
            <w:pPr>
              <w:jc w:val="left"/>
            </w:pPr>
            <w:r>
              <w:rPr>
                <w:rFonts w:ascii="Times New Roman" w:hAnsi="Times New Roman"/>
                <w:b w:val="0"/>
                <w:sz w:val="18"/>
              </w:rPr>
              <w:t>Table Spacing</w:t>
            </w:r>
          </w:p>
        </w:tc>
        <w:tc>
          <w:tcPr>
            <w:tcW w:type="dxa" w:w="2"/>
          </w:tcPr>
          <w:p>
            <w:pPr>
              <w:jc w:val="left"/>
            </w:pPr>
            <w:r>
              <w:rPr>
                <w:rFonts w:ascii="Times New Roman" w:hAnsi="Times New Roman"/>
                <w:b w:val="0"/>
                <w:sz w:val="18"/>
              </w:rPr>
              <w:t>Consistent</w:t>
            </w:r>
          </w:p>
        </w:tc>
        <w:tc>
          <w:tcPr>
            <w:tcW w:type="dxa" w:w="2"/>
          </w:tcPr>
          <w:p>
            <w:pPr>
              <w:jc w:val="left"/>
            </w:pPr>
            <w:r>
              <w:rPr>
                <w:rFonts w:ascii="Times New Roman" w:hAnsi="Times New Roman"/>
                <w:b w:val="0"/>
                <w:sz w:val="18"/>
              </w:rPr>
              <w:t>Consistent</w:t>
            </w:r>
          </w:p>
        </w:tc>
        <w:tc>
          <w:tcPr>
            <w:tcW w:type="dxa" w:w="2"/>
          </w:tcPr>
          <w:p>
            <w:pPr>
              <w:jc w:val="left"/>
            </w:pPr>
            <w:r>
              <w:rPr>
                <w:rFonts w:ascii="Times New Roman" w:hAnsi="Times New Roman"/>
                <w:b w:val="0"/>
                <w:sz w:val="18"/>
              </w:rPr>
              <w:t>100%</w:t>
            </w:r>
          </w:p>
        </w:tc>
      </w:tr>
      <w:tr>
        <w:tc>
          <w:tcPr>
            <w:tcW w:type="dxa" w:w="2"/>
          </w:tcPr>
          <w:p>
            <w:pPr>
              <w:jc w:val="left"/>
            </w:pPr>
            <w:r>
              <w:rPr>
                <w:rFonts w:ascii="Times New Roman" w:hAnsi="Times New Roman"/>
                <w:b w:val="0"/>
                <w:sz w:val="18"/>
              </w:rPr>
              <w:t>Figure Placement</w:t>
            </w:r>
          </w:p>
        </w:tc>
        <w:tc>
          <w:tcPr>
            <w:tcW w:type="dxa" w:w="2"/>
          </w:tcPr>
          <w:p>
            <w:pPr>
              <w:jc w:val="left"/>
            </w:pPr>
            <w:r>
              <w:rPr>
                <w:rFonts w:ascii="Times New Roman" w:hAnsi="Times New Roman"/>
                <w:b w:val="0"/>
                <w:sz w:val="18"/>
              </w:rPr>
              <w:t>Precise</w:t>
            </w:r>
          </w:p>
        </w:tc>
        <w:tc>
          <w:tcPr>
            <w:tcW w:type="dxa" w:w="2"/>
          </w:tcPr>
          <w:p>
            <w:pPr>
              <w:jc w:val="left"/>
            </w:pPr>
            <w:r>
              <w:rPr>
                <w:rFonts w:ascii="Times New Roman" w:hAnsi="Times New Roman"/>
                <w:b w:val="0"/>
                <w:sz w:val="18"/>
              </w:rPr>
              <w:t>Precise</w:t>
            </w:r>
          </w:p>
        </w:tc>
        <w:tc>
          <w:tcPr>
            <w:tcW w:type="dxa" w:w="2"/>
          </w:tcPr>
          <w:p>
            <w:pPr>
              <w:jc w:val="left"/>
            </w:pPr>
            <w:r>
              <w:rPr>
                <w:rFonts w:ascii="Times New Roman" w:hAnsi="Times New Roman"/>
                <w:b w:val="0"/>
                <w:sz w:val="18"/>
              </w:rPr>
              <w:t>100%</w:t>
            </w:r>
          </w:p>
        </w:tc>
      </w:tr>
      <w:tr>
        <w:tc>
          <w:tcPr>
            <w:tcW w:type="dxa" w:w="2"/>
          </w:tcPr>
          <w:p>
            <w:pPr>
              <w:jc w:val="left"/>
            </w:pPr>
            <w:r>
              <w:rPr>
                <w:rFonts w:ascii="Times New Roman" w:hAnsi="Times New Roman"/>
                <w:b w:val="0"/>
                <w:sz w:val="18"/>
              </w:rPr>
              <w:t>Author Layout</w:t>
            </w:r>
          </w:p>
        </w:tc>
        <w:tc>
          <w:tcPr>
            <w:tcW w:type="dxa" w:w="2"/>
          </w:tcPr>
          <w:p>
            <w:pPr>
              <w:jc w:val="left"/>
            </w:pPr>
            <w:r>
              <w:rPr>
                <w:rFonts w:ascii="Times New Roman" w:hAnsi="Times New Roman"/>
                <w:b w:val="0"/>
                <w:sz w:val="18"/>
              </w:rPr>
              <w:t>3-column grid</w:t>
            </w:r>
          </w:p>
        </w:tc>
        <w:tc>
          <w:tcPr>
            <w:tcW w:type="dxa" w:w="2"/>
          </w:tcPr>
          <w:p>
            <w:pPr>
              <w:jc w:val="left"/>
            </w:pPr>
            <w:r>
              <w:rPr>
                <w:rFonts w:ascii="Times New Roman" w:hAnsi="Times New Roman"/>
                <w:b w:val="0"/>
                <w:sz w:val="18"/>
              </w:rPr>
              <w:t>3-column grid</w:t>
            </w:r>
          </w:p>
        </w:tc>
        <w:tc>
          <w:tcPr>
            <w:tcW w:type="dxa" w:w="2"/>
          </w:tcPr>
          <w:p>
            <w:pPr>
              <w:jc w:val="left"/>
            </w:pPr>
            <w:r>
              <w:rPr>
                <w:rFonts w:ascii="Times New Roman" w:hAnsi="Times New Roman"/>
                <w:b w:val="0"/>
                <w:sz w:val="18"/>
              </w:rPr>
              <w:t>100%</w:t>
            </w:r>
          </w:p>
        </w:tc>
      </w:tr>
      <w:tr>
        <w:tc>
          <w:tcPr>
            <w:tcW w:type="dxa" w:w="2"/>
          </w:tcPr>
          <w:p>
            <w:pPr>
              <w:jc w:val="left"/>
            </w:pPr>
            <w:r>
              <w:rPr>
                <w:rFonts w:ascii="Times New Roman" w:hAnsi="Times New Roman"/>
                <w:b w:val="0"/>
                <w:sz w:val="18"/>
              </w:rPr>
              <w:t>Typography Quality</w:t>
            </w:r>
          </w:p>
        </w:tc>
        <w:tc>
          <w:tcPr>
            <w:tcW w:type="dxa" w:w="2"/>
          </w:tcPr>
          <w:p>
            <w:pPr>
              <w:jc w:val="left"/>
            </w:pPr>
            <w:r>
              <w:rPr>
                <w:rFonts w:ascii="Times New Roman" w:hAnsi="Times New Roman"/>
                <w:b w:val="0"/>
                <w:sz w:val="18"/>
              </w:rPr>
              <w:t>LaTeX-level</w:t>
            </w:r>
          </w:p>
        </w:tc>
        <w:tc>
          <w:tcPr>
            <w:tcW w:type="dxa" w:w="2"/>
          </w:tcPr>
          <w:p>
            <w:pPr>
              <w:jc w:val="left"/>
            </w:pPr>
            <w:r>
              <w:rPr>
                <w:rFonts w:ascii="Times New Roman" w:hAnsi="Times New Roman"/>
                <w:b w:val="0"/>
                <w:sz w:val="18"/>
              </w:rPr>
              <w:t>LaTeX-level</w:t>
            </w:r>
          </w:p>
        </w:tc>
        <w:tc>
          <w:tcPr>
            <w:tcW w:type="dxa" w:w="2"/>
          </w:tcPr>
          <w:p>
            <w:pPr>
              <w:jc w:val="left"/>
            </w:pPr>
            <w:r>
              <w:rPr>
                <w:rFonts w:ascii="Times New Roman" w:hAnsi="Times New Roman"/>
                <w:b w:val="0"/>
                <w:sz w:val="18"/>
              </w:rPr>
              <w:t>100%</w:t>
            </w:r>
          </w:p>
        </w:tc>
      </w:tr>
    </w:tbl>
    <w:p>
      <w:pPr>
        <w:spacing w:before="120"/>
      </w:pPr>
    </w:p>
    <w:p>
      <w:pPr>
        <w:spacing w:before="120" w:after="240"/>
        <w:jc w:val="center"/>
      </w:pPr>
      <w:r>
        <w:rPr>
          <w:rFonts w:ascii="Times New Roman" w:hAnsi="Times New Roman"/>
          <w:b/>
          <w:i w:val="0"/>
          <w:sz w:val="18"/>
        </w:rPr>
        <w:t>TABLE 2.1: COMPARISON SHOWING IDENTICAL FORMATTING BETWEEN DOCX AND PDF OUTPUTS</w:t>
      </w:r>
    </w:p>
    <w:p>
      <w:pPr>
        <w:spacing w:after="240"/>
      </w:pPr>
    </w:p>
    <w:p>
      <w:pPr>
        <w:keepNext/>
        <w:spacing w:before="120" w:after="12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b/>
          <w:i w:val="0"/>
          <w:sz w:val="18"/>
        </w:rPr>
        <w:t>FIG. 2.1: VISUAL DEMONSTRATION OF IDENTICAL FIGURE PLACEMENT AND SIZING</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table above and figure below demonstrate how all elements maintain consistent positioning and formatting. The unified HTML master template ensures that spacing, alignment, and typography are identical regardless of the output format chosen.</w:t>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Format-A Development Team. (2025). Unified HTML-Based Document Generation. Format-A Technical Documentation.</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[2] IEEE Standards Association. (2021). IEEE Editorial Style Manual. IEEE Press.</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