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272CB" w14:textId="77777777" w:rsidR="0051262F" w:rsidRPr="00D21D79" w:rsidRDefault="0051262F" w:rsidP="0051262F">
      <w:pPr>
        <w:spacing w:before="1200"/>
        <w:rPr>
          <w:sz w:val="44"/>
          <w:szCs w:val="44"/>
        </w:rPr>
      </w:pPr>
    </w:p>
    <w:p w14:paraId="479D9CB0" w14:textId="35731B0D" w:rsidR="00D21D79" w:rsidRPr="00D21D79" w:rsidRDefault="00D21D79" w:rsidP="00D21D79">
      <w:pPr>
        <w:spacing w:after="100"/>
        <w:jc w:val="center"/>
        <w:rPr>
          <w:rFonts w:ascii="Calibri" w:eastAsia="Calibri" w:hAnsi="Calibri" w:cs="Calibri"/>
          <w:b/>
          <w:bCs/>
          <w:color w:val="000000" w:themeColor="text1"/>
          <w:sz w:val="44"/>
          <w:szCs w:val="44"/>
          <w:lang w:val="en-CA"/>
        </w:rPr>
      </w:pPr>
      <w:r w:rsidRPr="00D21D79">
        <w:rPr>
          <w:rFonts w:ascii="Calibri" w:eastAsia="Calibri" w:hAnsi="Calibri" w:cs="Calibri"/>
          <w:b/>
          <w:bCs/>
          <w:color w:val="000000" w:themeColor="text1"/>
          <w:sz w:val="44"/>
          <w:szCs w:val="44"/>
          <w:lang w:val="en-CA"/>
        </w:rPr>
        <w:drawing>
          <wp:inline distT="0" distB="0" distL="0" distR="0" wp14:anchorId="3FFC282A" wp14:editId="64300DAB">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0490E615" w14:textId="77777777" w:rsidR="00D21D79" w:rsidRPr="00D21D79" w:rsidRDefault="00D21D79" w:rsidP="00D21D79">
      <w:pPr>
        <w:spacing w:after="100"/>
        <w:jc w:val="center"/>
        <w:rPr>
          <w:rFonts w:ascii="Calibri" w:eastAsia="Calibri" w:hAnsi="Calibri" w:cs="Calibri"/>
          <w:b/>
          <w:bCs/>
          <w:color w:val="000000" w:themeColor="text1"/>
          <w:sz w:val="44"/>
          <w:szCs w:val="44"/>
          <w:lang w:val="en-CA"/>
        </w:rPr>
      </w:pPr>
    </w:p>
    <w:p w14:paraId="45D75473" w14:textId="43D3B0D8"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SAVEETHA INSTITUTE OF MEDICAL AND TECHNICAL SCIENCES CHENNAI-602105</w:t>
      </w:r>
    </w:p>
    <w:p w14:paraId="64BB714C" w14:textId="58C3CB9D" w:rsidR="00D21D79" w:rsidRPr="004F30DE" w:rsidRDefault="004F30DE" w:rsidP="00D21D79">
      <w:pPr>
        <w:spacing w:after="100"/>
        <w:jc w:val="center"/>
        <w:rPr>
          <w:rFonts w:eastAsia="Calibri"/>
          <w:b/>
          <w:bCs/>
          <w:color w:val="000000" w:themeColor="text1"/>
          <w:sz w:val="32"/>
          <w:szCs w:val="32"/>
          <w:lang w:val="en-CA"/>
        </w:rPr>
      </w:pPr>
      <w:bookmarkStart w:id="0" w:name="_cql8vz8aqahn"/>
      <w:bookmarkEnd w:id="0"/>
      <w:r w:rsidRPr="004F30DE">
        <w:rPr>
          <w:rFonts w:eastAsia="Calibri"/>
          <w:b/>
          <w:bCs/>
          <w:color w:val="000000" w:themeColor="text1"/>
          <w:sz w:val="32"/>
          <w:szCs w:val="32"/>
          <w:lang w:val="en-CA"/>
        </w:rPr>
        <w:t>Intelligent Vaccine Cold Storage Monitoring System</w:t>
      </w:r>
    </w:p>
    <w:p w14:paraId="13F08703" w14:textId="77777777" w:rsidR="004F30DE" w:rsidRDefault="004F30DE" w:rsidP="00D21D79">
      <w:pPr>
        <w:spacing w:after="100"/>
        <w:jc w:val="center"/>
        <w:rPr>
          <w:rFonts w:eastAsia="Calibri"/>
          <w:b/>
          <w:bCs/>
          <w:color w:val="000000" w:themeColor="text1"/>
          <w:sz w:val="24"/>
          <w:szCs w:val="24"/>
          <w:lang w:val="en-CA"/>
        </w:rPr>
      </w:pPr>
    </w:p>
    <w:p w14:paraId="05F654A4" w14:textId="6A6731DB"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A CAPSTONE PROJECT REPORT</w:t>
      </w:r>
    </w:p>
    <w:p w14:paraId="5619DDDC" w14:textId="3CFA4D39"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In</w:t>
      </w:r>
    </w:p>
    <w:p w14:paraId="3961294C" w14:textId="69715DEB"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CSA1012 –Software Engineering</w:t>
      </w:r>
    </w:p>
    <w:p w14:paraId="5F7A236C" w14:textId="00BB6D41" w:rsidR="00D21D79" w:rsidRPr="00D21D79" w:rsidRDefault="00D21D79" w:rsidP="00D21D79">
      <w:pPr>
        <w:spacing w:after="100"/>
        <w:jc w:val="center"/>
        <w:rPr>
          <w:rFonts w:eastAsia="Calibri"/>
          <w:b/>
          <w:bCs/>
          <w:i/>
          <w:color w:val="000000" w:themeColor="text1"/>
          <w:sz w:val="24"/>
          <w:szCs w:val="24"/>
          <w:lang w:val="en-CA"/>
        </w:rPr>
      </w:pPr>
      <w:r w:rsidRPr="00D21D79">
        <w:rPr>
          <w:rFonts w:eastAsia="Calibri"/>
          <w:b/>
          <w:bCs/>
          <w:i/>
          <w:color w:val="000000" w:themeColor="text1"/>
          <w:sz w:val="24"/>
          <w:szCs w:val="24"/>
          <w:lang w:val="en-CA"/>
        </w:rPr>
        <w:t>Submitted in the partial fulfillment for the award of the degree</w:t>
      </w:r>
    </w:p>
    <w:p w14:paraId="6BADC5C4" w14:textId="0B2936D8"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Of</w:t>
      </w:r>
    </w:p>
    <w:p w14:paraId="0488E0C0" w14:textId="4729B9A6"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BACHELOR OF ENGINEERING</w:t>
      </w:r>
    </w:p>
    <w:p w14:paraId="1222D2A3" w14:textId="26C3E7D7" w:rsidR="00D21D79" w:rsidRPr="00D21D79" w:rsidRDefault="00D21D79" w:rsidP="00D21D79">
      <w:pPr>
        <w:spacing w:after="100"/>
        <w:jc w:val="center"/>
        <w:rPr>
          <w:rFonts w:eastAsia="Calibri"/>
          <w:b/>
          <w:bCs/>
          <w:color w:val="000000" w:themeColor="text1"/>
          <w:sz w:val="24"/>
          <w:szCs w:val="24"/>
          <w:lang w:val="en-CA"/>
        </w:rPr>
      </w:pPr>
    </w:p>
    <w:p w14:paraId="5CF7631F" w14:textId="1301DDA7"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Submitted by:</w:t>
      </w:r>
    </w:p>
    <w:p w14:paraId="19A2870A" w14:textId="1A4F02ED" w:rsidR="00D21D79" w:rsidRPr="00D21D79" w:rsidRDefault="00D21D79" w:rsidP="00D21D79">
      <w:pPr>
        <w:spacing w:after="100"/>
        <w:jc w:val="center"/>
        <w:rPr>
          <w:rFonts w:eastAsia="Calibri"/>
          <w:b/>
          <w:bCs/>
          <w:color w:val="000000" w:themeColor="text1"/>
          <w:sz w:val="24"/>
          <w:szCs w:val="24"/>
          <w:lang w:val="en-CA"/>
        </w:rPr>
      </w:pPr>
      <w:proofErr w:type="spellStart"/>
      <w:proofErr w:type="gramStart"/>
      <w:r>
        <w:rPr>
          <w:rFonts w:eastAsia="Calibri"/>
          <w:b/>
          <w:bCs/>
          <w:color w:val="000000" w:themeColor="text1"/>
          <w:sz w:val="24"/>
          <w:szCs w:val="24"/>
          <w:lang w:val="en-CA"/>
        </w:rPr>
        <w:t>B.Shyam</w:t>
      </w:r>
      <w:proofErr w:type="spellEnd"/>
      <w:proofErr w:type="gramEnd"/>
      <w:r>
        <w:rPr>
          <w:rFonts w:eastAsia="Calibri"/>
          <w:b/>
          <w:bCs/>
          <w:color w:val="000000" w:themeColor="text1"/>
          <w:sz w:val="24"/>
          <w:szCs w:val="24"/>
          <w:lang w:val="en-CA"/>
        </w:rPr>
        <w:t xml:space="preserve"> </w:t>
      </w:r>
      <w:proofErr w:type="gramStart"/>
      <w:r>
        <w:rPr>
          <w:rFonts w:eastAsia="Calibri"/>
          <w:b/>
          <w:bCs/>
          <w:color w:val="000000" w:themeColor="text1"/>
          <w:sz w:val="24"/>
          <w:szCs w:val="24"/>
          <w:lang w:val="en-CA"/>
        </w:rPr>
        <w:t>raj</w:t>
      </w:r>
      <w:r w:rsidRPr="00D21D79">
        <w:rPr>
          <w:rFonts w:eastAsia="Calibri"/>
          <w:b/>
          <w:bCs/>
          <w:color w:val="000000" w:themeColor="text1"/>
          <w:sz w:val="24"/>
          <w:szCs w:val="24"/>
          <w:lang w:val="en-CA"/>
        </w:rPr>
        <w:t>(</w:t>
      </w:r>
      <w:proofErr w:type="gramEnd"/>
      <w:r w:rsidRPr="00D21D79">
        <w:rPr>
          <w:rFonts w:eastAsia="Calibri"/>
          <w:b/>
          <w:bCs/>
          <w:color w:val="000000" w:themeColor="text1"/>
          <w:sz w:val="24"/>
          <w:szCs w:val="24"/>
          <w:lang w:val="en-CA"/>
        </w:rPr>
        <w:t>192</w:t>
      </w:r>
      <w:r>
        <w:rPr>
          <w:rFonts w:eastAsia="Calibri"/>
          <w:b/>
          <w:bCs/>
          <w:color w:val="000000" w:themeColor="text1"/>
          <w:sz w:val="24"/>
          <w:szCs w:val="24"/>
          <w:lang w:val="en-CA"/>
        </w:rPr>
        <w:t>421176</w:t>
      </w:r>
      <w:r w:rsidRPr="00D21D79">
        <w:rPr>
          <w:rFonts w:eastAsia="Calibri"/>
          <w:b/>
          <w:bCs/>
          <w:color w:val="000000" w:themeColor="text1"/>
          <w:sz w:val="24"/>
          <w:szCs w:val="24"/>
          <w:lang w:val="en-CA"/>
        </w:rPr>
        <w:t>)</w:t>
      </w:r>
    </w:p>
    <w:p w14:paraId="0B2337E5" w14:textId="77777777" w:rsidR="00D21D79" w:rsidRPr="00D21D79" w:rsidRDefault="00D21D79" w:rsidP="00D21D79">
      <w:pPr>
        <w:spacing w:after="100"/>
        <w:jc w:val="center"/>
        <w:rPr>
          <w:rFonts w:eastAsia="Calibri"/>
          <w:b/>
          <w:bCs/>
          <w:color w:val="000000" w:themeColor="text1"/>
          <w:sz w:val="24"/>
          <w:szCs w:val="24"/>
          <w:lang w:val="en-CA"/>
        </w:rPr>
      </w:pPr>
    </w:p>
    <w:p w14:paraId="6123F493" w14:textId="77777777" w:rsidR="00D21D79" w:rsidRPr="00D21D79" w:rsidRDefault="00D21D79" w:rsidP="00D21D79">
      <w:pPr>
        <w:spacing w:after="100"/>
        <w:jc w:val="center"/>
        <w:rPr>
          <w:rFonts w:eastAsia="Calibri"/>
          <w:b/>
          <w:bCs/>
          <w:color w:val="000000" w:themeColor="text1"/>
          <w:sz w:val="24"/>
          <w:szCs w:val="24"/>
          <w:lang w:val="en-CA"/>
        </w:rPr>
      </w:pPr>
    </w:p>
    <w:p w14:paraId="3B6AA7EF" w14:textId="573DF0EB"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Supervisor/Advisor Name:</w:t>
      </w:r>
      <w:r w:rsidRPr="00D21D79">
        <w:rPr>
          <w:rFonts w:eastAsia="Calibri"/>
          <w:b/>
          <w:bCs/>
          <w:color w:val="000000" w:themeColor="text1"/>
          <w:sz w:val="24"/>
          <w:szCs w:val="24"/>
          <w:lang w:val="en-CA"/>
        </w:rPr>
        <w:br/>
        <w:t>Dr. k. Anita Devamani,</w:t>
      </w:r>
    </w:p>
    <w:p w14:paraId="05B95152" w14:textId="5CE22258" w:rsidR="00D21D79" w:rsidRPr="00D21D79" w:rsidRDefault="00D21D79" w:rsidP="00D21D79">
      <w:pPr>
        <w:spacing w:after="100"/>
        <w:jc w:val="center"/>
        <w:rPr>
          <w:rFonts w:eastAsia="Calibri"/>
          <w:b/>
          <w:bCs/>
          <w:color w:val="000000" w:themeColor="text1"/>
          <w:sz w:val="24"/>
          <w:szCs w:val="24"/>
          <w:lang w:val="en-CA"/>
        </w:rPr>
      </w:pPr>
      <w:r w:rsidRPr="00D21D79">
        <w:rPr>
          <w:rFonts w:eastAsia="Calibri"/>
          <w:b/>
          <w:bCs/>
          <w:color w:val="000000" w:themeColor="text1"/>
          <w:sz w:val="24"/>
          <w:szCs w:val="24"/>
          <w:lang w:val="en-CA"/>
        </w:rPr>
        <w:t>Professor/CSE</w:t>
      </w:r>
    </w:p>
    <w:p w14:paraId="77AD39A8" w14:textId="77777777" w:rsidR="0051262F" w:rsidRPr="00D21D79" w:rsidRDefault="0051262F" w:rsidP="0051262F">
      <w:pPr>
        <w:spacing w:after="100"/>
        <w:jc w:val="center"/>
        <w:rPr>
          <w:sz w:val="22"/>
          <w:szCs w:val="22"/>
        </w:rPr>
      </w:pPr>
    </w:p>
    <w:p w14:paraId="33E07F0F" w14:textId="77777777" w:rsidR="0051262F" w:rsidRDefault="0051262F" w:rsidP="00E511CA">
      <w:pPr>
        <w:pStyle w:val="Heading1"/>
        <w:spacing w:before="360" w:after="200"/>
        <w:rPr>
          <w:rFonts w:eastAsia="Calibri"/>
          <w:b/>
          <w:bCs/>
          <w:color w:val="000000" w:themeColor="text1"/>
        </w:rPr>
      </w:pPr>
    </w:p>
    <w:p w14:paraId="663CC0F8" w14:textId="77777777" w:rsidR="0051262F" w:rsidRDefault="0051262F" w:rsidP="00E511CA">
      <w:pPr>
        <w:pStyle w:val="Heading1"/>
        <w:spacing w:before="360" w:after="200"/>
        <w:rPr>
          <w:rFonts w:eastAsia="Calibri"/>
          <w:b/>
          <w:bCs/>
          <w:color w:val="000000" w:themeColor="text1"/>
        </w:rPr>
      </w:pPr>
    </w:p>
    <w:p w14:paraId="49FB2594" w14:textId="77777777" w:rsidR="0051262F" w:rsidRDefault="0051262F" w:rsidP="00E511CA">
      <w:pPr>
        <w:pStyle w:val="Heading1"/>
        <w:spacing w:before="360" w:after="200"/>
        <w:rPr>
          <w:rFonts w:eastAsia="Calibri"/>
          <w:b/>
          <w:bCs/>
          <w:color w:val="000000" w:themeColor="text1"/>
        </w:rPr>
      </w:pPr>
    </w:p>
    <w:p w14:paraId="15027F18" w14:textId="77777777" w:rsidR="0051262F" w:rsidRDefault="0051262F" w:rsidP="00E511CA">
      <w:pPr>
        <w:pStyle w:val="Heading1"/>
        <w:spacing w:before="360" w:after="200"/>
        <w:rPr>
          <w:rFonts w:eastAsia="Calibri"/>
          <w:b/>
          <w:bCs/>
          <w:color w:val="000000" w:themeColor="text1"/>
        </w:rPr>
      </w:pPr>
    </w:p>
    <w:p w14:paraId="2F3CB3B5" w14:textId="55B828CF" w:rsidR="00E511CA" w:rsidRPr="00E511CA" w:rsidRDefault="00E511CA" w:rsidP="00E511CA">
      <w:pPr>
        <w:pStyle w:val="Heading1"/>
        <w:spacing w:before="360" w:after="200"/>
        <w:rPr>
          <w:color w:val="000000" w:themeColor="text1"/>
        </w:rPr>
      </w:pPr>
      <w:r w:rsidRPr="00E511CA">
        <w:rPr>
          <w:rFonts w:eastAsia="Calibri"/>
          <w:b/>
          <w:bCs/>
          <w:color w:val="000000" w:themeColor="text1"/>
        </w:rPr>
        <w:lastRenderedPageBreak/>
        <w:t>Table of Contents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1800"/>
      </w:tblGrid>
      <w:tr w:rsidR="00E511CA" w:rsidRPr="00E511CA" w14:paraId="4685102B" w14:textId="77777777" w:rsidTr="000F60DA">
        <w:tc>
          <w:tcPr>
            <w:tcW w:w="7600" w:type="dxa"/>
            <w:tcMar>
              <w:top w:w="100" w:type="dxa"/>
              <w:left w:w="120" w:type="dxa"/>
              <w:bottom w:w="100" w:type="dxa"/>
              <w:right w:w="120" w:type="dxa"/>
            </w:tcMar>
          </w:tcPr>
          <w:p w14:paraId="4B22E646" w14:textId="4136F969" w:rsidR="00E511CA" w:rsidRPr="00B60991" w:rsidRDefault="00344DC1" w:rsidP="009F71B6">
            <w:pPr>
              <w:jc w:val="center"/>
              <w:rPr>
                <w:b/>
                <w:bCs/>
                <w:color w:val="000000" w:themeColor="text1"/>
              </w:rPr>
            </w:pPr>
            <w:r w:rsidRPr="00B60991">
              <w:rPr>
                <w:b/>
                <w:bCs/>
                <w:color w:val="000000" w:themeColor="text1"/>
              </w:rPr>
              <w:t>SECTION</w:t>
            </w:r>
          </w:p>
        </w:tc>
        <w:tc>
          <w:tcPr>
            <w:tcW w:w="1800" w:type="dxa"/>
            <w:tcMar>
              <w:top w:w="100" w:type="dxa"/>
              <w:left w:w="120" w:type="dxa"/>
              <w:bottom w:w="100" w:type="dxa"/>
              <w:right w:w="120" w:type="dxa"/>
            </w:tcMar>
          </w:tcPr>
          <w:p w14:paraId="14E8EAD1" w14:textId="0F4EB920" w:rsidR="00E511CA" w:rsidRPr="00B60991" w:rsidRDefault="00344DC1" w:rsidP="000F60DA">
            <w:pPr>
              <w:rPr>
                <w:b/>
                <w:bCs/>
                <w:color w:val="000000" w:themeColor="text1"/>
              </w:rPr>
            </w:pPr>
            <w:r w:rsidRPr="00B60991">
              <w:rPr>
                <w:b/>
                <w:bCs/>
                <w:color w:val="000000" w:themeColor="text1"/>
              </w:rPr>
              <w:t>P</w:t>
            </w:r>
            <w:r w:rsidR="00B60991" w:rsidRPr="00B60991">
              <w:rPr>
                <w:b/>
                <w:bCs/>
                <w:color w:val="000000" w:themeColor="text1"/>
              </w:rPr>
              <w:t>age No</w:t>
            </w:r>
          </w:p>
        </w:tc>
      </w:tr>
      <w:tr w:rsidR="00344DC1" w:rsidRPr="00E511CA" w14:paraId="18BCAE7C" w14:textId="77777777" w:rsidTr="000F60DA">
        <w:tc>
          <w:tcPr>
            <w:tcW w:w="7600" w:type="dxa"/>
            <w:tcMar>
              <w:top w:w="100" w:type="dxa"/>
              <w:left w:w="120" w:type="dxa"/>
              <w:bottom w:w="100" w:type="dxa"/>
              <w:right w:w="120" w:type="dxa"/>
            </w:tcMar>
          </w:tcPr>
          <w:p w14:paraId="557EB0D5" w14:textId="512EE16D" w:rsidR="00344DC1" w:rsidRPr="00E511CA" w:rsidRDefault="00344DC1" w:rsidP="00344DC1">
            <w:pPr>
              <w:rPr>
                <w:rFonts w:eastAsia="Calibri"/>
                <w:color w:val="000000" w:themeColor="text1"/>
              </w:rPr>
            </w:pPr>
            <w:r w:rsidRPr="00E511CA">
              <w:rPr>
                <w:rFonts w:eastAsia="Calibri"/>
                <w:color w:val="000000" w:themeColor="text1"/>
              </w:rPr>
              <w:t>1. Understanding the Problem Statement</w:t>
            </w:r>
          </w:p>
        </w:tc>
        <w:tc>
          <w:tcPr>
            <w:tcW w:w="1800" w:type="dxa"/>
            <w:tcMar>
              <w:top w:w="100" w:type="dxa"/>
              <w:left w:w="120" w:type="dxa"/>
              <w:bottom w:w="100" w:type="dxa"/>
              <w:right w:w="120" w:type="dxa"/>
            </w:tcMar>
          </w:tcPr>
          <w:p w14:paraId="7852BA29" w14:textId="0E8B0385" w:rsidR="00344DC1" w:rsidRPr="00E511CA" w:rsidRDefault="00344DC1" w:rsidP="00344DC1">
            <w:pPr>
              <w:rPr>
                <w:rFonts w:eastAsia="Calibri"/>
                <w:color w:val="000000" w:themeColor="text1"/>
              </w:rPr>
            </w:pPr>
            <w:r w:rsidRPr="00E511CA">
              <w:rPr>
                <w:rFonts w:eastAsia="Calibri"/>
                <w:color w:val="000000" w:themeColor="text1"/>
              </w:rPr>
              <w:t>4</w:t>
            </w:r>
          </w:p>
        </w:tc>
      </w:tr>
      <w:tr w:rsidR="00344DC1" w:rsidRPr="00E511CA" w14:paraId="1454807D" w14:textId="77777777" w:rsidTr="000F60DA">
        <w:tc>
          <w:tcPr>
            <w:tcW w:w="7600" w:type="dxa"/>
            <w:tcMar>
              <w:top w:w="100" w:type="dxa"/>
              <w:left w:w="120" w:type="dxa"/>
              <w:bottom w:w="100" w:type="dxa"/>
              <w:right w:w="120" w:type="dxa"/>
            </w:tcMar>
          </w:tcPr>
          <w:p w14:paraId="79CA1CF5" w14:textId="77777777" w:rsidR="00344DC1" w:rsidRPr="00E511CA" w:rsidRDefault="00344DC1" w:rsidP="00344DC1">
            <w:pPr>
              <w:rPr>
                <w:color w:val="000000" w:themeColor="text1"/>
              </w:rPr>
            </w:pPr>
            <w:r w:rsidRPr="00E511CA">
              <w:rPr>
                <w:rFonts w:eastAsia="Calibri"/>
                <w:color w:val="000000" w:themeColor="text1"/>
              </w:rPr>
              <w:t>1.1 Problem Explanation</w:t>
            </w:r>
          </w:p>
        </w:tc>
        <w:tc>
          <w:tcPr>
            <w:tcW w:w="1800" w:type="dxa"/>
            <w:tcMar>
              <w:top w:w="100" w:type="dxa"/>
              <w:left w:w="120" w:type="dxa"/>
              <w:bottom w:w="100" w:type="dxa"/>
              <w:right w:w="120" w:type="dxa"/>
            </w:tcMar>
          </w:tcPr>
          <w:p w14:paraId="59C5CCF4" w14:textId="77777777" w:rsidR="00344DC1" w:rsidRPr="00E511CA" w:rsidRDefault="00344DC1" w:rsidP="00344DC1">
            <w:pPr>
              <w:rPr>
                <w:color w:val="000000" w:themeColor="text1"/>
              </w:rPr>
            </w:pPr>
            <w:r w:rsidRPr="00E511CA">
              <w:rPr>
                <w:rFonts w:eastAsia="Calibri"/>
                <w:color w:val="000000" w:themeColor="text1"/>
              </w:rPr>
              <w:t>4</w:t>
            </w:r>
          </w:p>
        </w:tc>
      </w:tr>
      <w:tr w:rsidR="00344DC1" w:rsidRPr="00E511CA" w14:paraId="586BE3C8" w14:textId="77777777" w:rsidTr="000F60DA">
        <w:tc>
          <w:tcPr>
            <w:tcW w:w="7600" w:type="dxa"/>
            <w:tcMar>
              <w:top w:w="100" w:type="dxa"/>
              <w:left w:w="120" w:type="dxa"/>
              <w:bottom w:w="100" w:type="dxa"/>
              <w:right w:w="120" w:type="dxa"/>
            </w:tcMar>
          </w:tcPr>
          <w:p w14:paraId="08D1F8B5" w14:textId="77777777" w:rsidR="00344DC1" w:rsidRPr="00E511CA" w:rsidRDefault="00344DC1" w:rsidP="00344DC1">
            <w:pPr>
              <w:rPr>
                <w:color w:val="000000" w:themeColor="text1"/>
              </w:rPr>
            </w:pPr>
            <w:r w:rsidRPr="00E511CA">
              <w:rPr>
                <w:rFonts w:eastAsia="Calibri"/>
                <w:color w:val="000000" w:themeColor="text1"/>
              </w:rPr>
              <w:t>1.2 Objectives of the Proposed System</w:t>
            </w:r>
          </w:p>
        </w:tc>
        <w:tc>
          <w:tcPr>
            <w:tcW w:w="1800" w:type="dxa"/>
            <w:tcMar>
              <w:top w:w="100" w:type="dxa"/>
              <w:left w:w="120" w:type="dxa"/>
              <w:bottom w:w="100" w:type="dxa"/>
              <w:right w:w="120" w:type="dxa"/>
            </w:tcMar>
          </w:tcPr>
          <w:p w14:paraId="7A3EDB31" w14:textId="77777777" w:rsidR="00344DC1" w:rsidRPr="00E511CA" w:rsidRDefault="00344DC1" w:rsidP="00344DC1">
            <w:pPr>
              <w:rPr>
                <w:color w:val="000000" w:themeColor="text1"/>
              </w:rPr>
            </w:pPr>
            <w:r w:rsidRPr="00E511CA">
              <w:rPr>
                <w:rFonts w:eastAsia="Calibri"/>
                <w:color w:val="000000" w:themeColor="text1"/>
              </w:rPr>
              <w:t>4</w:t>
            </w:r>
          </w:p>
        </w:tc>
      </w:tr>
      <w:tr w:rsidR="00344DC1" w:rsidRPr="00E511CA" w14:paraId="40C30DE7" w14:textId="77777777" w:rsidTr="000F60DA">
        <w:tc>
          <w:tcPr>
            <w:tcW w:w="7600" w:type="dxa"/>
            <w:tcMar>
              <w:top w:w="100" w:type="dxa"/>
              <w:left w:w="120" w:type="dxa"/>
              <w:bottom w:w="100" w:type="dxa"/>
              <w:right w:w="120" w:type="dxa"/>
            </w:tcMar>
          </w:tcPr>
          <w:p w14:paraId="3E0E4899" w14:textId="77777777" w:rsidR="00344DC1" w:rsidRPr="00E511CA" w:rsidRDefault="00344DC1" w:rsidP="00344DC1">
            <w:pPr>
              <w:rPr>
                <w:color w:val="000000" w:themeColor="text1"/>
              </w:rPr>
            </w:pPr>
            <w:r w:rsidRPr="00E511CA">
              <w:rPr>
                <w:rFonts w:eastAsia="Calibri"/>
                <w:color w:val="000000" w:themeColor="text1"/>
              </w:rPr>
              <w:t>1.3 Scope of the Problem</w:t>
            </w:r>
          </w:p>
        </w:tc>
        <w:tc>
          <w:tcPr>
            <w:tcW w:w="1800" w:type="dxa"/>
            <w:tcMar>
              <w:top w:w="100" w:type="dxa"/>
              <w:left w:w="120" w:type="dxa"/>
              <w:bottom w:w="100" w:type="dxa"/>
              <w:right w:w="120" w:type="dxa"/>
            </w:tcMar>
          </w:tcPr>
          <w:p w14:paraId="4503E05C" w14:textId="77777777" w:rsidR="00344DC1" w:rsidRPr="00E511CA" w:rsidRDefault="00344DC1" w:rsidP="00344DC1">
            <w:pPr>
              <w:rPr>
                <w:color w:val="000000" w:themeColor="text1"/>
              </w:rPr>
            </w:pPr>
            <w:r w:rsidRPr="00E511CA">
              <w:rPr>
                <w:rFonts w:eastAsia="Calibri"/>
                <w:color w:val="000000" w:themeColor="text1"/>
              </w:rPr>
              <w:t>4</w:t>
            </w:r>
          </w:p>
        </w:tc>
      </w:tr>
      <w:tr w:rsidR="00344DC1" w:rsidRPr="00E511CA" w14:paraId="1D1620B4" w14:textId="77777777" w:rsidTr="000F60DA">
        <w:tc>
          <w:tcPr>
            <w:tcW w:w="7600" w:type="dxa"/>
            <w:tcMar>
              <w:top w:w="100" w:type="dxa"/>
              <w:left w:w="120" w:type="dxa"/>
              <w:bottom w:w="100" w:type="dxa"/>
              <w:right w:w="120" w:type="dxa"/>
            </w:tcMar>
          </w:tcPr>
          <w:p w14:paraId="15F920A6" w14:textId="77777777" w:rsidR="00344DC1" w:rsidRPr="00E511CA" w:rsidRDefault="00344DC1" w:rsidP="00344DC1">
            <w:pPr>
              <w:rPr>
                <w:color w:val="000000" w:themeColor="text1"/>
              </w:rPr>
            </w:pPr>
            <w:r w:rsidRPr="00E511CA">
              <w:rPr>
                <w:rFonts w:eastAsia="Calibri"/>
                <w:color w:val="000000" w:themeColor="text1"/>
              </w:rPr>
              <w:t>2. Identify Key Stakeholders and Challenges</w:t>
            </w:r>
          </w:p>
        </w:tc>
        <w:tc>
          <w:tcPr>
            <w:tcW w:w="1800" w:type="dxa"/>
            <w:tcMar>
              <w:top w:w="100" w:type="dxa"/>
              <w:left w:w="120" w:type="dxa"/>
              <w:bottom w:w="100" w:type="dxa"/>
              <w:right w:w="120" w:type="dxa"/>
            </w:tcMar>
          </w:tcPr>
          <w:p w14:paraId="11664FF5" w14:textId="77777777" w:rsidR="00344DC1" w:rsidRPr="00E511CA" w:rsidRDefault="00344DC1" w:rsidP="00344DC1">
            <w:pPr>
              <w:rPr>
                <w:color w:val="000000" w:themeColor="text1"/>
              </w:rPr>
            </w:pPr>
            <w:r w:rsidRPr="00E511CA">
              <w:rPr>
                <w:rFonts w:eastAsia="Calibri"/>
                <w:color w:val="000000" w:themeColor="text1"/>
              </w:rPr>
              <w:t>5</w:t>
            </w:r>
          </w:p>
        </w:tc>
      </w:tr>
      <w:tr w:rsidR="00344DC1" w:rsidRPr="00E511CA" w14:paraId="4CD65FB9" w14:textId="77777777" w:rsidTr="000F60DA">
        <w:tc>
          <w:tcPr>
            <w:tcW w:w="7600" w:type="dxa"/>
            <w:tcMar>
              <w:top w:w="100" w:type="dxa"/>
              <w:left w:w="120" w:type="dxa"/>
              <w:bottom w:w="100" w:type="dxa"/>
              <w:right w:w="120" w:type="dxa"/>
            </w:tcMar>
          </w:tcPr>
          <w:p w14:paraId="74F163CB" w14:textId="77777777" w:rsidR="00344DC1" w:rsidRPr="00E511CA" w:rsidRDefault="00344DC1" w:rsidP="00344DC1">
            <w:pPr>
              <w:rPr>
                <w:color w:val="000000" w:themeColor="text1"/>
              </w:rPr>
            </w:pPr>
            <w:r w:rsidRPr="00E511CA">
              <w:rPr>
                <w:rFonts w:eastAsia="Calibri"/>
                <w:color w:val="000000" w:themeColor="text1"/>
              </w:rPr>
              <w:t>2.1 Stakeholders, Roles, and Responsibilities</w:t>
            </w:r>
          </w:p>
        </w:tc>
        <w:tc>
          <w:tcPr>
            <w:tcW w:w="1800" w:type="dxa"/>
            <w:tcMar>
              <w:top w:w="100" w:type="dxa"/>
              <w:left w:w="120" w:type="dxa"/>
              <w:bottom w:w="100" w:type="dxa"/>
              <w:right w:w="120" w:type="dxa"/>
            </w:tcMar>
          </w:tcPr>
          <w:p w14:paraId="6B8E4ABF" w14:textId="77777777" w:rsidR="00344DC1" w:rsidRPr="00E511CA" w:rsidRDefault="00344DC1" w:rsidP="00344DC1">
            <w:pPr>
              <w:rPr>
                <w:color w:val="000000" w:themeColor="text1"/>
              </w:rPr>
            </w:pPr>
            <w:r w:rsidRPr="00E511CA">
              <w:rPr>
                <w:rFonts w:eastAsia="Calibri"/>
                <w:color w:val="000000" w:themeColor="text1"/>
              </w:rPr>
              <w:t>5</w:t>
            </w:r>
          </w:p>
        </w:tc>
      </w:tr>
      <w:tr w:rsidR="00344DC1" w:rsidRPr="00E511CA" w14:paraId="6A9989CA" w14:textId="77777777" w:rsidTr="000F60DA">
        <w:tc>
          <w:tcPr>
            <w:tcW w:w="7600" w:type="dxa"/>
            <w:tcMar>
              <w:top w:w="100" w:type="dxa"/>
              <w:left w:w="120" w:type="dxa"/>
              <w:bottom w:w="100" w:type="dxa"/>
              <w:right w:w="120" w:type="dxa"/>
            </w:tcMar>
          </w:tcPr>
          <w:p w14:paraId="57230A0E" w14:textId="77777777" w:rsidR="00344DC1" w:rsidRPr="00E511CA" w:rsidRDefault="00344DC1" w:rsidP="00344DC1">
            <w:pPr>
              <w:rPr>
                <w:color w:val="000000" w:themeColor="text1"/>
              </w:rPr>
            </w:pPr>
            <w:r w:rsidRPr="00E511CA">
              <w:rPr>
                <w:rFonts w:eastAsia="Calibri"/>
                <w:color w:val="000000" w:themeColor="text1"/>
              </w:rPr>
              <w:t>2.2 Major Challenges and Issues Faced by Stakeholders</w:t>
            </w:r>
          </w:p>
        </w:tc>
        <w:tc>
          <w:tcPr>
            <w:tcW w:w="1800" w:type="dxa"/>
            <w:tcMar>
              <w:top w:w="100" w:type="dxa"/>
              <w:left w:w="120" w:type="dxa"/>
              <w:bottom w:w="100" w:type="dxa"/>
              <w:right w:w="120" w:type="dxa"/>
            </w:tcMar>
          </w:tcPr>
          <w:p w14:paraId="7645B0B8" w14:textId="77777777" w:rsidR="00344DC1" w:rsidRPr="00E511CA" w:rsidRDefault="00344DC1" w:rsidP="00344DC1">
            <w:pPr>
              <w:rPr>
                <w:color w:val="000000" w:themeColor="text1"/>
              </w:rPr>
            </w:pPr>
            <w:r w:rsidRPr="00E511CA">
              <w:rPr>
                <w:rFonts w:eastAsia="Calibri"/>
                <w:color w:val="000000" w:themeColor="text1"/>
              </w:rPr>
              <w:t>5</w:t>
            </w:r>
          </w:p>
        </w:tc>
      </w:tr>
      <w:tr w:rsidR="00344DC1" w:rsidRPr="00E511CA" w14:paraId="038CC6FA" w14:textId="77777777" w:rsidTr="000F60DA">
        <w:tc>
          <w:tcPr>
            <w:tcW w:w="7600" w:type="dxa"/>
            <w:tcMar>
              <w:top w:w="100" w:type="dxa"/>
              <w:left w:w="120" w:type="dxa"/>
              <w:bottom w:w="100" w:type="dxa"/>
              <w:right w:w="120" w:type="dxa"/>
            </w:tcMar>
          </w:tcPr>
          <w:p w14:paraId="1F47E978" w14:textId="77777777" w:rsidR="00344DC1" w:rsidRPr="00E511CA" w:rsidRDefault="00344DC1" w:rsidP="00344DC1">
            <w:pPr>
              <w:rPr>
                <w:color w:val="000000" w:themeColor="text1"/>
              </w:rPr>
            </w:pPr>
            <w:r w:rsidRPr="00E511CA">
              <w:rPr>
                <w:rFonts w:eastAsia="Calibri"/>
                <w:color w:val="000000" w:themeColor="text1"/>
              </w:rPr>
              <w:t>3. Analyze the Current Approach</w:t>
            </w:r>
          </w:p>
        </w:tc>
        <w:tc>
          <w:tcPr>
            <w:tcW w:w="1800" w:type="dxa"/>
            <w:tcMar>
              <w:top w:w="100" w:type="dxa"/>
              <w:left w:w="120" w:type="dxa"/>
              <w:bottom w:w="100" w:type="dxa"/>
              <w:right w:w="120" w:type="dxa"/>
            </w:tcMar>
          </w:tcPr>
          <w:p w14:paraId="24D46754"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0238653B" w14:textId="77777777" w:rsidTr="000F60DA">
        <w:tc>
          <w:tcPr>
            <w:tcW w:w="7600" w:type="dxa"/>
            <w:tcMar>
              <w:top w:w="100" w:type="dxa"/>
              <w:left w:w="120" w:type="dxa"/>
              <w:bottom w:w="100" w:type="dxa"/>
              <w:right w:w="120" w:type="dxa"/>
            </w:tcMar>
          </w:tcPr>
          <w:p w14:paraId="4ABA26E8" w14:textId="77777777" w:rsidR="00344DC1" w:rsidRPr="00E511CA" w:rsidRDefault="00344DC1" w:rsidP="00344DC1">
            <w:pPr>
              <w:rPr>
                <w:color w:val="000000" w:themeColor="text1"/>
              </w:rPr>
            </w:pPr>
            <w:r w:rsidRPr="00E511CA">
              <w:rPr>
                <w:rFonts w:eastAsia="Calibri"/>
                <w:color w:val="000000" w:themeColor="text1"/>
              </w:rPr>
              <w:t>3.1 Existing System / Current Process</w:t>
            </w:r>
          </w:p>
        </w:tc>
        <w:tc>
          <w:tcPr>
            <w:tcW w:w="1800" w:type="dxa"/>
            <w:tcMar>
              <w:top w:w="100" w:type="dxa"/>
              <w:left w:w="120" w:type="dxa"/>
              <w:bottom w:w="100" w:type="dxa"/>
              <w:right w:w="120" w:type="dxa"/>
            </w:tcMar>
          </w:tcPr>
          <w:p w14:paraId="62737410"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2B095120" w14:textId="77777777" w:rsidTr="000F60DA">
        <w:tc>
          <w:tcPr>
            <w:tcW w:w="7600" w:type="dxa"/>
            <w:tcMar>
              <w:top w:w="100" w:type="dxa"/>
              <w:left w:w="120" w:type="dxa"/>
              <w:bottom w:w="100" w:type="dxa"/>
              <w:right w:w="120" w:type="dxa"/>
            </w:tcMar>
          </w:tcPr>
          <w:p w14:paraId="48902CA0" w14:textId="77777777" w:rsidR="00344DC1" w:rsidRPr="00E511CA" w:rsidRDefault="00344DC1" w:rsidP="00344DC1">
            <w:pPr>
              <w:rPr>
                <w:color w:val="000000" w:themeColor="text1"/>
              </w:rPr>
            </w:pPr>
            <w:r w:rsidRPr="00E511CA">
              <w:rPr>
                <w:rFonts w:eastAsia="Calibri"/>
                <w:color w:val="000000" w:themeColor="text1"/>
              </w:rPr>
              <w:t>3.2 Strengths of the Existing Approach</w:t>
            </w:r>
          </w:p>
        </w:tc>
        <w:tc>
          <w:tcPr>
            <w:tcW w:w="1800" w:type="dxa"/>
            <w:tcMar>
              <w:top w:w="100" w:type="dxa"/>
              <w:left w:w="120" w:type="dxa"/>
              <w:bottom w:w="100" w:type="dxa"/>
              <w:right w:w="120" w:type="dxa"/>
            </w:tcMar>
          </w:tcPr>
          <w:p w14:paraId="5E0CC5B3"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1B47650D" w14:textId="77777777" w:rsidTr="000F60DA">
        <w:tc>
          <w:tcPr>
            <w:tcW w:w="7600" w:type="dxa"/>
            <w:tcMar>
              <w:top w:w="100" w:type="dxa"/>
              <w:left w:w="120" w:type="dxa"/>
              <w:bottom w:w="100" w:type="dxa"/>
              <w:right w:w="120" w:type="dxa"/>
            </w:tcMar>
          </w:tcPr>
          <w:p w14:paraId="1F79FE16" w14:textId="77777777" w:rsidR="00344DC1" w:rsidRPr="00E511CA" w:rsidRDefault="00344DC1" w:rsidP="00344DC1">
            <w:pPr>
              <w:rPr>
                <w:color w:val="000000" w:themeColor="text1"/>
              </w:rPr>
            </w:pPr>
            <w:r w:rsidRPr="00E511CA">
              <w:rPr>
                <w:rFonts w:eastAsia="Calibri"/>
                <w:color w:val="000000" w:themeColor="text1"/>
              </w:rPr>
              <w:t>3.3 Limitations of the Existing Approach</w:t>
            </w:r>
          </w:p>
        </w:tc>
        <w:tc>
          <w:tcPr>
            <w:tcW w:w="1800" w:type="dxa"/>
            <w:tcMar>
              <w:top w:w="100" w:type="dxa"/>
              <w:left w:w="120" w:type="dxa"/>
              <w:bottom w:w="100" w:type="dxa"/>
              <w:right w:w="120" w:type="dxa"/>
            </w:tcMar>
          </w:tcPr>
          <w:p w14:paraId="26155415"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7E295A9E" w14:textId="77777777" w:rsidTr="000F60DA">
        <w:tc>
          <w:tcPr>
            <w:tcW w:w="7600" w:type="dxa"/>
            <w:tcMar>
              <w:top w:w="100" w:type="dxa"/>
              <w:left w:w="120" w:type="dxa"/>
              <w:bottom w:w="100" w:type="dxa"/>
              <w:right w:w="120" w:type="dxa"/>
            </w:tcMar>
          </w:tcPr>
          <w:p w14:paraId="1CFC58C6" w14:textId="77777777" w:rsidR="00344DC1" w:rsidRPr="00E511CA" w:rsidRDefault="00344DC1" w:rsidP="00344DC1">
            <w:pPr>
              <w:rPr>
                <w:color w:val="000000" w:themeColor="text1"/>
              </w:rPr>
            </w:pPr>
            <w:r w:rsidRPr="00E511CA">
              <w:rPr>
                <w:rFonts w:eastAsia="Calibri"/>
                <w:color w:val="000000" w:themeColor="text1"/>
              </w:rPr>
              <w:t>3.4 Gaps That Need to Be Addressed</w:t>
            </w:r>
          </w:p>
        </w:tc>
        <w:tc>
          <w:tcPr>
            <w:tcW w:w="1800" w:type="dxa"/>
            <w:tcMar>
              <w:top w:w="100" w:type="dxa"/>
              <w:left w:w="120" w:type="dxa"/>
              <w:bottom w:w="100" w:type="dxa"/>
              <w:right w:w="120" w:type="dxa"/>
            </w:tcMar>
          </w:tcPr>
          <w:p w14:paraId="17E66E7C"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2B128021" w14:textId="77777777" w:rsidTr="000F60DA">
        <w:tc>
          <w:tcPr>
            <w:tcW w:w="7600" w:type="dxa"/>
            <w:tcMar>
              <w:top w:w="100" w:type="dxa"/>
              <w:left w:w="120" w:type="dxa"/>
              <w:bottom w:w="100" w:type="dxa"/>
              <w:right w:w="120" w:type="dxa"/>
            </w:tcMar>
          </w:tcPr>
          <w:p w14:paraId="13865BDB" w14:textId="77777777" w:rsidR="00344DC1" w:rsidRPr="00E511CA" w:rsidRDefault="00344DC1" w:rsidP="00344DC1">
            <w:pPr>
              <w:rPr>
                <w:color w:val="000000" w:themeColor="text1"/>
              </w:rPr>
            </w:pPr>
            <w:r w:rsidRPr="00E511CA">
              <w:rPr>
                <w:rFonts w:eastAsia="Calibri"/>
                <w:color w:val="000000" w:themeColor="text1"/>
              </w:rPr>
              <w:t>4. Proposed Solution Using Software Engineering Principles</w:t>
            </w:r>
          </w:p>
        </w:tc>
        <w:tc>
          <w:tcPr>
            <w:tcW w:w="1800" w:type="dxa"/>
            <w:tcMar>
              <w:top w:w="100" w:type="dxa"/>
              <w:left w:w="120" w:type="dxa"/>
              <w:bottom w:w="100" w:type="dxa"/>
              <w:right w:w="120" w:type="dxa"/>
            </w:tcMar>
          </w:tcPr>
          <w:p w14:paraId="247EAF29"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164B54C6" w14:textId="77777777" w:rsidTr="000F60DA">
        <w:tc>
          <w:tcPr>
            <w:tcW w:w="7600" w:type="dxa"/>
            <w:tcMar>
              <w:top w:w="100" w:type="dxa"/>
              <w:left w:w="120" w:type="dxa"/>
              <w:bottom w:w="100" w:type="dxa"/>
              <w:right w:w="120" w:type="dxa"/>
            </w:tcMar>
          </w:tcPr>
          <w:p w14:paraId="7FCA295B" w14:textId="77777777" w:rsidR="00344DC1" w:rsidRPr="00E511CA" w:rsidRDefault="00344DC1" w:rsidP="00344DC1">
            <w:pPr>
              <w:rPr>
                <w:color w:val="000000" w:themeColor="text1"/>
              </w:rPr>
            </w:pPr>
            <w:r w:rsidRPr="00E511CA">
              <w:rPr>
                <w:rFonts w:eastAsia="Calibri"/>
                <w:color w:val="000000" w:themeColor="text1"/>
              </w:rPr>
              <w:t>4.1 Solution Overview</w:t>
            </w:r>
          </w:p>
        </w:tc>
        <w:tc>
          <w:tcPr>
            <w:tcW w:w="1800" w:type="dxa"/>
            <w:tcMar>
              <w:top w:w="100" w:type="dxa"/>
              <w:left w:w="120" w:type="dxa"/>
              <w:bottom w:w="100" w:type="dxa"/>
              <w:right w:w="120" w:type="dxa"/>
            </w:tcMar>
          </w:tcPr>
          <w:p w14:paraId="09A1912E" w14:textId="77777777" w:rsidR="00344DC1" w:rsidRPr="00E511CA" w:rsidRDefault="00344DC1" w:rsidP="00344DC1">
            <w:pPr>
              <w:rPr>
                <w:color w:val="000000" w:themeColor="text1"/>
              </w:rPr>
            </w:pPr>
            <w:r w:rsidRPr="00E511CA">
              <w:rPr>
                <w:rFonts w:eastAsia="Calibri"/>
                <w:color w:val="000000" w:themeColor="text1"/>
              </w:rPr>
              <w:t>6</w:t>
            </w:r>
          </w:p>
        </w:tc>
      </w:tr>
      <w:tr w:rsidR="00344DC1" w:rsidRPr="00E511CA" w14:paraId="08443FB7" w14:textId="77777777" w:rsidTr="000F60DA">
        <w:tc>
          <w:tcPr>
            <w:tcW w:w="7600" w:type="dxa"/>
            <w:tcMar>
              <w:top w:w="100" w:type="dxa"/>
              <w:left w:w="120" w:type="dxa"/>
              <w:bottom w:w="100" w:type="dxa"/>
              <w:right w:w="120" w:type="dxa"/>
            </w:tcMar>
          </w:tcPr>
          <w:p w14:paraId="62FFF935" w14:textId="77777777" w:rsidR="00344DC1" w:rsidRPr="00E511CA" w:rsidRDefault="00344DC1" w:rsidP="00344DC1">
            <w:pPr>
              <w:rPr>
                <w:color w:val="000000" w:themeColor="text1"/>
              </w:rPr>
            </w:pPr>
            <w:r w:rsidRPr="00E511CA">
              <w:rPr>
                <w:rFonts w:eastAsia="Calibri"/>
                <w:color w:val="000000" w:themeColor="text1"/>
              </w:rPr>
              <w:t>4.2 System Architecture</w:t>
            </w:r>
          </w:p>
        </w:tc>
        <w:tc>
          <w:tcPr>
            <w:tcW w:w="1800" w:type="dxa"/>
            <w:tcMar>
              <w:top w:w="100" w:type="dxa"/>
              <w:left w:w="120" w:type="dxa"/>
              <w:bottom w:w="100" w:type="dxa"/>
              <w:right w:w="120" w:type="dxa"/>
            </w:tcMar>
          </w:tcPr>
          <w:p w14:paraId="110858D3" w14:textId="77777777" w:rsidR="00344DC1" w:rsidRPr="00E511CA" w:rsidRDefault="00344DC1" w:rsidP="00344DC1">
            <w:pPr>
              <w:rPr>
                <w:color w:val="000000" w:themeColor="text1"/>
              </w:rPr>
            </w:pPr>
            <w:r w:rsidRPr="00E511CA">
              <w:rPr>
                <w:rFonts w:eastAsia="Calibri"/>
                <w:color w:val="000000" w:themeColor="text1"/>
              </w:rPr>
              <w:t>7</w:t>
            </w:r>
          </w:p>
        </w:tc>
      </w:tr>
      <w:tr w:rsidR="00344DC1" w:rsidRPr="00E511CA" w14:paraId="342FEA10" w14:textId="77777777" w:rsidTr="000F60DA">
        <w:tc>
          <w:tcPr>
            <w:tcW w:w="7600" w:type="dxa"/>
            <w:tcMar>
              <w:top w:w="100" w:type="dxa"/>
              <w:left w:w="120" w:type="dxa"/>
              <w:bottom w:w="100" w:type="dxa"/>
              <w:right w:w="120" w:type="dxa"/>
            </w:tcMar>
          </w:tcPr>
          <w:p w14:paraId="3D4D17A3" w14:textId="77777777" w:rsidR="00344DC1" w:rsidRPr="00E511CA" w:rsidRDefault="00344DC1" w:rsidP="00344DC1">
            <w:pPr>
              <w:rPr>
                <w:color w:val="000000" w:themeColor="text1"/>
              </w:rPr>
            </w:pPr>
            <w:r w:rsidRPr="00E511CA">
              <w:rPr>
                <w:rFonts w:eastAsia="Calibri"/>
                <w:color w:val="000000" w:themeColor="text1"/>
              </w:rPr>
              <w:t>4.3 Major Functional Modules</w:t>
            </w:r>
          </w:p>
        </w:tc>
        <w:tc>
          <w:tcPr>
            <w:tcW w:w="1800" w:type="dxa"/>
            <w:tcMar>
              <w:top w:w="100" w:type="dxa"/>
              <w:left w:w="120" w:type="dxa"/>
              <w:bottom w:w="100" w:type="dxa"/>
              <w:right w:w="120" w:type="dxa"/>
            </w:tcMar>
          </w:tcPr>
          <w:p w14:paraId="51909EFB" w14:textId="77777777" w:rsidR="00344DC1" w:rsidRPr="00E511CA" w:rsidRDefault="00344DC1" w:rsidP="00344DC1">
            <w:pPr>
              <w:rPr>
                <w:color w:val="000000" w:themeColor="text1"/>
              </w:rPr>
            </w:pPr>
            <w:r w:rsidRPr="00E511CA">
              <w:rPr>
                <w:rFonts w:eastAsia="Calibri"/>
                <w:color w:val="000000" w:themeColor="text1"/>
              </w:rPr>
              <w:t>8</w:t>
            </w:r>
          </w:p>
        </w:tc>
      </w:tr>
      <w:tr w:rsidR="00344DC1" w:rsidRPr="00E511CA" w14:paraId="7199BFFF" w14:textId="77777777" w:rsidTr="000F60DA">
        <w:tc>
          <w:tcPr>
            <w:tcW w:w="7600" w:type="dxa"/>
            <w:tcMar>
              <w:top w:w="100" w:type="dxa"/>
              <w:left w:w="120" w:type="dxa"/>
              <w:bottom w:w="100" w:type="dxa"/>
              <w:right w:w="120" w:type="dxa"/>
            </w:tcMar>
          </w:tcPr>
          <w:p w14:paraId="2D332A5A" w14:textId="77777777" w:rsidR="00344DC1" w:rsidRPr="00E511CA" w:rsidRDefault="00344DC1" w:rsidP="00344DC1">
            <w:pPr>
              <w:rPr>
                <w:color w:val="000000" w:themeColor="text1"/>
              </w:rPr>
            </w:pPr>
            <w:r w:rsidRPr="00E511CA">
              <w:rPr>
                <w:rFonts w:eastAsia="Calibri"/>
                <w:color w:val="000000" w:themeColor="text1"/>
              </w:rPr>
              <w:t>4.4 Functional Requirements</w:t>
            </w:r>
          </w:p>
        </w:tc>
        <w:tc>
          <w:tcPr>
            <w:tcW w:w="1800" w:type="dxa"/>
            <w:tcMar>
              <w:top w:w="100" w:type="dxa"/>
              <w:left w:w="120" w:type="dxa"/>
              <w:bottom w:w="100" w:type="dxa"/>
              <w:right w:w="120" w:type="dxa"/>
            </w:tcMar>
          </w:tcPr>
          <w:p w14:paraId="1EEC7D90" w14:textId="77777777" w:rsidR="00344DC1" w:rsidRPr="00E511CA" w:rsidRDefault="00344DC1" w:rsidP="00344DC1">
            <w:pPr>
              <w:rPr>
                <w:color w:val="000000" w:themeColor="text1"/>
              </w:rPr>
            </w:pPr>
            <w:r w:rsidRPr="00E511CA">
              <w:rPr>
                <w:rFonts w:eastAsia="Calibri"/>
                <w:color w:val="000000" w:themeColor="text1"/>
              </w:rPr>
              <w:t>9</w:t>
            </w:r>
          </w:p>
        </w:tc>
      </w:tr>
      <w:tr w:rsidR="00344DC1" w:rsidRPr="00E511CA" w14:paraId="6C4FF893" w14:textId="77777777" w:rsidTr="000F60DA">
        <w:tc>
          <w:tcPr>
            <w:tcW w:w="7600" w:type="dxa"/>
            <w:tcMar>
              <w:top w:w="100" w:type="dxa"/>
              <w:left w:w="120" w:type="dxa"/>
              <w:bottom w:w="100" w:type="dxa"/>
              <w:right w:w="120" w:type="dxa"/>
            </w:tcMar>
          </w:tcPr>
          <w:p w14:paraId="32678CCD" w14:textId="77777777" w:rsidR="00344DC1" w:rsidRPr="00E511CA" w:rsidRDefault="00344DC1" w:rsidP="00344DC1">
            <w:pPr>
              <w:rPr>
                <w:color w:val="000000" w:themeColor="text1"/>
              </w:rPr>
            </w:pPr>
            <w:r w:rsidRPr="00E511CA">
              <w:rPr>
                <w:rFonts w:eastAsia="Calibri"/>
                <w:color w:val="000000" w:themeColor="text1"/>
              </w:rPr>
              <w:t>4.5 Non-Functional Requirements</w:t>
            </w:r>
          </w:p>
        </w:tc>
        <w:tc>
          <w:tcPr>
            <w:tcW w:w="1800" w:type="dxa"/>
            <w:tcMar>
              <w:top w:w="100" w:type="dxa"/>
              <w:left w:w="120" w:type="dxa"/>
              <w:bottom w:w="100" w:type="dxa"/>
              <w:right w:w="120" w:type="dxa"/>
            </w:tcMar>
          </w:tcPr>
          <w:p w14:paraId="4991755B" w14:textId="77777777" w:rsidR="00344DC1" w:rsidRPr="00E511CA" w:rsidRDefault="00344DC1" w:rsidP="00344DC1">
            <w:pPr>
              <w:rPr>
                <w:color w:val="000000" w:themeColor="text1"/>
              </w:rPr>
            </w:pPr>
            <w:r w:rsidRPr="00E511CA">
              <w:rPr>
                <w:rFonts w:eastAsia="Calibri"/>
                <w:color w:val="000000" w:themeColor="text1"/>
              </w:rPr>
              <w:t>9</w:t>
            </w:r>
          </w:p>
        </w:tc>
      </w:tr>
      <w:tr w:rsidR="00344DC1" w:rsidRPr="00E511CA" w14:paraId="14838292" w14:textId="77777777" w:rsidTr="000F60DA">
        <w:tc>
          <w:tcPr>
            <w:tcW w:w="7600" w:type="dxa"/>
            <w:tcMar>
              <w:top w:w="100" w:type="dxa"/>
              <w:left w:w="120" w:type="dxa"/>
              <w:bottom w:w="100" w:type="dxa"/>
              <w:right w:w="120" w:type="dxa"/>
            </w:tcMar>
          </w:tcPr>
          <w:p w14:paraId="53001B68" w14:textId="77777777" w:rsidR="00344DC1" w:rsidRPr="00E511CA" w:rsidRDefault="00344DC1" w:rsidP="00344DC1">
            <w:pPr>
              <w:rPr>
                <w:color w:val="000000" w:themeColor="text1"/>
              </w:rPr>
            </w:pPr>
            <w:r w:rsidRPr="00E511CA">
              <w:rPr>
                <w:rFonts w:eastAsia="Calibri"/>
                <w:color w:val="000000" w:themeColor="text1"/>
              </w:rPr>
              <w:t>4.6 Technology Stack</w:t>
            </w:r>
          </w:p>
        </w:tc>
        <w:tc>
          <w:tcPr>
            <w:tcW w:w="1800" w:type="dxa"/>
            <w:tcMar>
              <w:top w:w="100" w:type="dxa"/>
              <w:left w:w="120" w:type="dxa"/>
              <w:bottom w:w="100" w:type="dxa"/>
              <w:right w:w="120" w:type="dxa"/>
            </w:tcMar>
          </w:tcPr>
          <w:p w14:paraId="4628564C" w14:textId="77777777" w:rsidR="00344DC1" w:rsidRPr="00E511CA" w:rsidRDefault="00344DC1" w:rsidP="00344DC1">
            <w:pPr>
              <w:rPr>
                <w:color w:val="000000" w:themeColor="text1"/>
              </w:rPr>
            </w:pPr>
            <w:r w:rsidRPr="00E511CA">
              <w:rPr>
                <w:rFonts w:eastAsia="Calibri"/>
                <w:color w:val="000000" w:themeColor="text1"/>
              </w:rPr>
              <w:t>10</w:t>
            </w:r>
          </w:p>
        </w:tc>
      </w:tr>
      <w:tr w:rsidR="00344DC1" w:rsidRPr="00E511CA" w14:paraId="524B401C" w14:textId="77777777" w:rsidTr="000F60DA">
        <w:tc>
          <w:tcPr>
            <w:tcW w:w="7600" w:type="dxa"/>
            <w:tcMar>
              <w:top w:w="100" w:type="dxa"/>
              <w:left w:w="120" w:type="dxa"/>
              <w:bottom w:w="100" w:type="dxa"/>
              <w:right w:w="120" w:type="dxa"/>
            </w:tcMar>
          </w:tcPr>
          <w:p w14:paraId="1434D02B" w14:textId="77777777" w:rsidR="00344DC1" w:rsidRPr="00E511CA" w:rsidRDefault="00344DC1" w:rsidP="00344DC1">
            <w:pPr>
              <w:rPr>
                <w:color w:val="000000" w:themeColor="text1"/>
              </w:rPr>
            </w:pPr>
            <w:r w:rsidRPr="00E511CA">
              <w:rPr>
                <w:rFonts w:eastAsia="Calibri"/>
                <w:color w:val="000000" w:themeColor="text1"/>
              </w:rPr>
              <w:t>4.7 Incorporating Core Software Engineering Principles</w:t>
            </w:r>
          </w:p>
        </w:tc>
        <w:tc>
          <w:tcPr>
            <w:tcW w:w="1800" w:type="dxa"/>
            <w:tcMar>
              <w:top w:w="100" w:type="dxa"/>
              <w:left w:w="120" w:type="dxa"/>
              <w:bottom w:w="100" w:type="dxa"/>
              <w:right w:w="120" w:type="dxa"/>
            </w:tcMar>
          </w:tcPr>
          <w:p w14:paraId="4922ACC8" w14:textId="77777777" w:rsidR="00344DC1" w:rsidRPr="00E511CA" w:rsidRDefault="00344DC1" w:rsidP="00344DC1">
            <w:pPr>
              <w:rPr>
                <w:color w:val="000000" w:themeColor="text1"/>
              </w:rPr>
            </w:pPr>
            <w:r w:rsidRPr="00E511CA">
              <w:rPr>
                <w:rFonts w:eastAsia="Calibri"/>
                <w:color w:val="000000" w:themeColor="text1"/>
              </w:rPr>
              <w:t>10</w:t>
            </w:r>
          </w:p>
        </w:tc>
      </w:tr>
      <w:tr w:rsidR="00344DC1" w:rsidRPr="00E511CA" w14:paraId="7469D526" w14:textId="77777777" w:rsidTr="000F60DA">
        <w:tc>
          <w:tcPr>
            <w:tcW w:w="7600" w:type="dxa"/>
            <w:tcMar>
              <w:top w:w="100" w:type="dxa"/>
              <w:left w:w="120" w:type="dxa"/>
              <w:bottom w:w="100" w:type="dxa"/>
              <w:right w:w="120" w:type="dxa"/>
            </w:tcMar>
          </w:tcPr>
          <w:p w14:paraId="2BE748A4" w14:textId="77777777" w:rsidR="00344DC1" w:rsidRPr="00E511CA" w:rsidRDefault="00344DC1" w:rsidP="00344DC1">
            <w:pPr>
              <w:rPr>
                <w:color w:val="000000" w:themeColor="text1"/>
              </w:rPr>
            </w:pPr>
            <w:r w:rsidRPr="00E511CA">
              <w:rPr>
                <w:rFonts w:eastAsia="Calibri"/>
                <w:color w:val="000000" w:themeColor="text1"/>
              </w:rPr>
              <w:t>5. Justify the Chosen Methodology/Framework</w:t>
            </w:r>
          </w:p>
        </w:tc>
        <w:tc>
          <w:tcPr>
            <w:tcW w:w="1800" w:type="dxa"/>
            <w:tcMar>
              <w:top w:w="100" w:type="dxa"/>
              <w:left w:w="120" w:type="dxa"/>
              <w:bottom w:w="100" w:type="dxa"/>
              <w:right w:w="120" w:type="dxa"/>
            </w:tcMar>
          </w:tcPr>
          <w:p w14:paraId="62DA8694" w14:textId="77777777" w:rsidR="00344DC1" w:rsidRPr="00E511CA" w:rsidRDefault="00344DC1" w:rsidP="00344DC1">
            <w:pPr>
              <w:rPr>
                <w:color w:val="000000" w:themeColor="text1"/>
              </w:rPr>
            </w:pPr>
            <w:r w:rsidRPr="00E511CA">
              <w:rPr>
                <w:rFonts w:eastAsia="Calibri"/>
                <w:color w:val="000000" w:themeColor="text1"/>
              </w:rPr>
              <w:t>11</w:t>
            </w:r>
          </w:p>
        </w:tc>
      </w:tr>
      <w:tr w:rsidR="00344DC1" w:rsidRPr="00E511CA" w14:paraId="1162A4DE" w14:textId="77777777" w:rsidTr="000F60DA">
        <w:tc>
          <w:tcPr>
            <w:tcW w:w="7600" w:type="dxa"/>
            <w:tcMar>
              <w:top w:w="100" w:type="dxa"/>
              <w:left w:w="120" w:type="dxa"/>
              <w:bottom w:w="100" w:type="dxa"/>
              <w:right w:w="120" w:type="dxa"/>
            </w:tcMar>
          </w:tcPr>
          <w:p w14:paraId="1B22F689" w14:textId="77777777" w:rsidR="00344DC1" w:rsidRPr="00E511CA" w:rsidRDefault="00344DC1" w:rsidP="00344DC1">
            <w:pPr>
              <w:rPr>
                <w:color w:val="000000" w:themeColor="text1"/>
              </w:rPr>
            </w:pPr>
            <w:r w:rsidRPr="00E511CA">
              <w:rPr>
                <w:rFonts w:eastAsia="Calibri"/>
                <w:color w:val="000000" w:themeColor="text1"/>
              </w:rPr>
              <w:t>5.1 Selected SDLC Model: Agile (Scrum Framework)</w:t>
            </w:r>
          </w:p>
        </w:tc>
        <w:tc>
          <w:tcPr>
            <w:tcW w:w="1800" w:type="dxa"/>
            <w:tcMar>
              <w:top w:w="100" w:type="dxa"/>
              <w:left w:w="120" w:type="dxa"/>
              <w:bottom w:w="100" w:type="dxa"/>
              <w:right w:w="120" w:type="dxa"/>
            </w:tcMar>
          </w:tcPr>
          <w:p w14:paraId="2758B69E" w14:textId="77777777" w:rsidR="00344DC1" w:rsidRPr="00E511CA" w:rsidRDefault="00344DC1" w:rsidP="00344DC1">
            <w:pPr>
              <w:rPr>
                <w:color w:val="000000" w:themeColor="text1"/>
              </w:rPr>
            </w:pPr>
            <w:r w:rsidRPr="00E511CA">
              <w:rPr>
                <w:rFonts w:eastAsia="Calibri"/>
                <w:color w:val="000000" w:themeColor="text1"/>
              </w:rPr>
              <w:t>11</w:t>
            </w:r>
          </w:p>
        </w:tc>
      </w:tr>
      <w:tr w:rsidR="00344DC1" w:rsidRPr="00E511CA" w14:paraId="3AFB8CC7" w14:textId="77777777" w:rsidTr="000F60DA">
        <w:tc>
          <w:tcPr>
            <w:tcW w:w="7600" w:type="dxa"/>
            <w:tcMar>
              <w:top w:w="100" w:type="dxa"/>
              <w:left w:w="120" w:type="dxa"/>
              <w:bottom w:w="100" w:type="dxa"/>
              <w:right w:w="120" w:type="dxa"/>
            </w:tcMar>
          </w:tcPr>
          <w:p w14:paraId="105B877B" w14:textId="77777777" w:rsidR="00344DC1" w:rsidRPr="00E511CA" w:rsidRDefault="00344DC1" w:rsidP="00344DC1">
            <w:pPr>
              <w:rPr>
                <w:color w:val="000000" w:themeColor="text1"/>
              </w:rPr>
            </w:pPr>
            <w:r w:rsidRPr="00E511CA">
              <w:rPr>
                <w:rFonts w:eastAsia="Calibri"/>
                <w:color w:val="000000" w:themeColor="text1"/>
              </w:rPr>
              <w:t>5.2 Justification for Choosing Agile/Scrum</w:t>
            </w:r>
          </w:p>
        </w:tc>
        <w:tc>
          <w:tcPr>
            <w:tcW w:w="1800" w:type="dxa"/>
            <w:tcMar>
              <w:top w:w="100" w:type="dxa"/>
              <w:left w:w="120" w:type="dxa"/>
              <w:bottom w:w="100" w:type="dxa"/>
              <w:right w:w="120" w:type="dxa"/>
            </w:tcMar>
          </w:tcPr>
          <w:p w14:paraId="22694151" w14:textId="77777777" w:rsidR="00344DC1" w:rsidRPr="00E511CA" w:rsidRDefault="00344DC1" w:rsidP="00344DC1">
            <w:pPr>
              <w:rPr>
                <w:color w:val="000000" w:themeColor="text1"/>
              </w:rPr>
            </w:pPr>
            <w:r w:rsidRPr="00E511CA">
              <w:rPr>
                <w:rFonts w:eastAsia="Calibri"/>
                <w:color w:val="000000" w:themeColor="text1"/>
              </w:rPr>
              <w:t>11</w:t>
            </w:r>
          </w:p>
        </w:tc>
      </w:tr>
      <w:tr w:rsidR="00344DC1" w:rsidRPr="00E511CA" w14:paraId="11FFFA6F" w14:textId="77777777" w:rsidTr="000F60DA">
        <w:tc>
          <w:tcPr>
            <w:tcW w:w="7600" w:type="dxa"/>
            <w:tcMar>
              <w:top w:w="100" w:type="dxa"/>
              <w:left w:w="120" w:type="dxa"/>
              <w:bottom w:w="100" w:type="dxa"/>
              <w:right w:w="120" w:type="dxa"/>
            </w:tcMar>
          </w:tcPr>
          <w:p w14:paraId="5F548BA7" w14:textId="77777777" w:rsidR="00344DC1" w:rsidRPr="00E511CA" w:rsidRDefault="00344DC1" w:rsidP="00344DC1">
            <w:pPr>
              <w:rPr>
                <w:color w:val="000000" w:themeColor="text1"/>
              </w:rPr>
            </w:pPr>
            <w:r w:rsidRPr="00E511CA">
              <w:rPr>
                <w:rFonts w:eastAsia="Calibri"/>
                <w:color w:val="000000" w:themeColor="text1"/>
              </w:rPr>
              <w:t>5.3 How the Methodology Supports Successful Development and Maintenance</w:t>
            </w:r>
          </w:p>
        </w:tc>
        <w:tc>
          <w:tcPr>
            <w:tcW w:w="1800" w:type="dxa"/>
            <w:tcMar>
              <w:top w:w="100" w:type="dxa"/>
              <w:left w:w="120" w:type="dxa"/>
              <w:bottom w:w="100" w:type="dxa"/>
              <w:right w:w="120" w:type="dxa"/>
            </w:tcMar>
          </w:tcPr>
          <w:p w14:paraId="497E6BF2" w14:textId="77777777" w:rsidR="00344DC1" w:rsidRPr="00E511CA" w:rsidRDefault="00344DC1" w:rsidP="00344DC1">
            <w:pPr>
              <w:rPr>
                <w:color w:val="000000" w:themeColor="text1"/>
              </w:rPr>
            </w:pPr>
            <w:r w:rsidRPr="00E511CA">
              <w:rPr>
                <w:rFonts w:eastAsia="Calibri"/>
                <w:color w:val="000000" w:themeColor="text1"/>
              </w:rPr>
              <w:t>12</w:t>
            </w:r>
          </w:p>
        </w:tc>
      </w:tr>
      <w:tr w:rsidR="00344DC1" w:rsidRPr="00E511CA" w14:paraId="26793D16" w14:textId="77777777" w:rsidTr="000F60DA">
        <w:tc>
          <w:tcPr>
            <w:tcW w:w="7600" w:type="dxa"/>
            <w:tcMar>
              <w:top w:w="100" w:type="dxa"/>
              <w:left w:w="120" w:type="dxa"/>
              <w:bottom w:w="100" w:type="dxa"/>
              <w:right w:w="120" w:type="dxa"/>
            </w:tcMar>
          </w:tcPr>
          <w:p w14:paraId="24372DCC" w14:textId="77777777" w:rsidR="00344DC1" w:rsidRPr="00E511CA" w:rsidRDefault="00344DC1" w:rsidP="00344DC1">
            <w:pPr>
              <w:rPr>
                <w:color w:val="000000" w:themeColor="text1"/>
              </w:rPr>
            </w:pPr>
            <w:r w:rsidRPr="00E511CA">
              <w:rPr>
                <w:rFonts w:eastAsia="Calibri"/>
                <w:color w:val="000000" w:themeColor="text1"/>
              </w:rPr>
              <w:t>5.4 Testing Strategy</w:t>
            </w:r>
          </w:p>
        </w:tc>
        <w:tc>
          <w:tcPr>
            <w:tcW w:w="1800" w:type="dxa"/>
            <w:tcMar>
              <w:top w:w="100" w:type="dxa"/>
              <w:left w:w="120" w:type="dxa"/>
              <w:bottom w:w="100" w:type="dxa"/>
              <w:right w:w="120" w:type="dxa"/>
            </w:tcMar>
          </w:tcPr>
          <w:p w14:paraId="73E4AACC" w14:textId="77777777" w:rsidR="00344DC1" w:rsidRPr="00E511CA" w:rsidRDefault="00344DC1" w:rsidP="00344DC1">
            <w:pPr>
              <w:rPr>
                <w:color w:val="000000" w:themeColor="text1"/>
              </w:rPr>
            </w:pPr>
            <w:r w:rsidRPr="00E511CA">
              <w:rPr>
                <w:rFonts w:eastAsia="Calibri"/>
                <w:color w:val="000000" w:themeColor="text1"/>
              </w:rPr>
              <w:t>12</w:t>
            </w:r>
          </w:p>
        </w:tc>
      </w:tr>
      <w:tr w:rsidR="00344DC1" w:rsidRPr="00E511CA" w14:paraId="0E37AC33" w14:textId="77777777" w:rsidTr="000F60DA">
        <w:tc>
          <w:tcPr>
            <w:tcW w:w="7600" w:type="dxa"/>
            <w:tcMar>
              <w:top w:w="100" w:type="dxa"/>
              <w:left w:w="120" w:type="dxa"/>
              <w:bottom w:w="100" w:type="dxa"/>
              <w:right w:w="120" w:type="dxa"/>
            </w:tcMar>
          </w:tcPr>
          <w:p w14:paraId="14293AE7" w14:textId="77777777" w:rsidR="00344DC1" w:rsidRPr="00E511CA" w:rsidRDefault="00344DC1" w:rsidP="00344DC1">
            <w:pPr>
              <w:rPr>
                <w:color w:val="000000" w:themeColor="text1"/>
              </w:rPr>
            </w:pPr>
            <w:r w:rsidRPr="00E511CA">
              <w:rPr>
                <w:rFonts w:eastAsia="Calibri"/>
                <w:color w:val="000000" w:themeColor="text1"/>
              </w:rPr>
              <w:t>6. Discuss Expected Outcomes and Limitations</w:t>
            </w:r>
          </w:p>
        </w:tc>
        <w:tc>
          <w:tcPr>
            <w:tcW w:w="1800" w:type="dxa"/>
            <w:tcMar>
              <w:top w:w="100" w:type="dxa"/>
              <w:left w:w="120" w:type="dxa"/>
              <w:bottom w:w="100" w:type="dxa"/>
              <w:right w:w="120" w:type="dxa"/>
            </w:tcMar>
          </w:tcPr>
          <w:p w14:paraId="0CC57574" w14:textId="77777777" w:rsidR="00344DC1" w:rsidRPr="00E511CA" w:rsidRDefault="00344DC1" w:rsidP="00344DC1">
            <w:pPr>
              <w:rPr>
                <w:color w:val="000000" w:themeColor="text1"/>
              </w:rPr>
            </w:pPr>
            <w:r w:rsidRPr="00E511CA">
              <w:rPr>
                <w:rFonts w:eastAsia="Calibri"/>
                <w:color w:val="000000" w:themeColor="text1"/>
              </w:rPr>
              <w:t>13</w:t>
            </w:r>
          </w:p>
        </w:tc>
      </w:tr>
      <w:tr w:rsidR="00344DC1" w:rsidRPr="00E511CA" w14:paraId="4D02D715" w14:textId="77777777" w:rsidTr="000F60DA">
        <w:tc>
          <w:tcPr>
            <w:tcW w:w="7600" w:type="dxa"/>
            <w:tcMar>
              <w:top w:w="100" w:type="dxa"/>
              <w:left w:w="120" w:type="dxa"/>
              <w:bottom w:w="100" w:type="dxa"/>
              <w:right w:w="120" w:type="dxa"/>
            </w:tcMar>
          </w:tcPr>
          <w:p w14:paraId="08D5D7D4" w14:textId="77777777" w:rsidR="00344DC1" w:rsidRPr="00E511CA" w:rsidRDefault="00344DC1" w:rsidP="00344DC1">
            <w:pPr>
              <w:rPr>
                <w:color w:val="000000" w:themeColor="text1"/>
              </w:rPr>
            </w:pPr>
            <w:r w:rsidRPr="00E511CA">
              <w:rPr>
                <w:rFonts w:eastAsia="Calibri"/>
                <w:color w:val="000000" w:themeColor="text1"/>
              </w:rPr>
              <w:t>6.1 Expected Benefits</w:t>
            </w:r>
          </w:p>
        </w:tc>
        <w:tc>
          <w:tcPr>
            <w:tcW w:w="1800" w:type="dxa"/>
            <w:tcMar>
              <w:top w:w="100" w:type="dxa"/>
              <w:left w:w="120" w:type="dxa"/>
              <w:bottom w:w="100" w:type="dxa"/>
              <w:right w:w="120" w:type="dxa"/>
            </w:tcMar>
          </w:tcPr>
          <w:p w14:paraId="0EC59571" w14:textId="77777777" w:rsidR="00344DC1" w:rsidRPr="00E511CA" w:rsidRDefault="00344DC1" w:rsidP="00344DC1">
            <w:pPr>
              <w:rPr>
                <w:color w:val="000000" w:themeColor="text1"/>
              </w:rPr>
            </w:pPr>
            <w:r w:rsidRPr="00E511CA">
              <w:rPr>
                <w:rFonts w:eastAsia="Calibri"/>
                <w:color w:val="000000" w:themeColor="text1"/>
              </w:rPr>
              <w:t>13</w:t>
            </w:r>
          </w:p>
        </w:tc>
      </w:tr>
      <w:tr w:rsidR="00344DC1" w:rsidRPr="00E511CA" w14:paraId="590F4A29" w14:textId="77777777" w:rsidTr="000F60DA">
        <w:tc>
          <w:tcPr>
            <w:tcW w:w="7600" w:type="dxa"/>
            <w:tcMar>
              <w:top w:w="100" w:type="dxa"/>
              <w:left w:w="120" w:type="dxa"/>
              <w:bottom w:w="100" w:type="dxa"/>
              <w:right w:w="120" w:type="dxa"/>
            </w:tcMar>
          </w:tcPr>
          <w:p w14:paraId="010221F7" w14:textId="16996AC9" w:rsidR="00344DC1" w:rsidRPr="00B60991" w:rsidRDefault="009F71B6" w:rsidP="009F71B6">
            <w:pPr>
              <w:jc w:val="center"/>
              <w:rPr>
                <w:b/>
                <w:bCs/>
                <w:color w:val="000000" w:themeColor="text1"/>
              </w:rPr>
            </w:pPr>
            <w:r>
              <w:rPr>
                <w:b/>
                <w:bCs/>
                <w:color w:val="000000" w:themeColor="text1"/>
              </w:rPr>
              <w:t>S</w:t>
            </w:r>
            <w:r w:rsidR="00344DC1" w:rsidRPr="00B60991">
              <w:rPr>
                <w:b/>
                <w:bCs/>
                <w:color w:val="000000" w:themeColor="text1"/>
              </w:rPr>
              <w:t>ection</w:t>
            </w:r>
          </w:p>
        </w:tc>
        <w:tc>
          <w:tcPr>
            <w:tcW w:w="1800" w:type="dxa"/>
            <w:tcMar>
              <w:top w:w="100" w:type="dxa"/>
              <w:left w:w="120" w:type="dxa"/>
              <w:bottom w:w="100" w:type="dxa"/>
              <w:right w:w="120" w:type="dxa"/>
            </w:tcMar>
          </w:tcPr>
          <w:p w14:paraId="49DDB255" w14:textId="65B660DA" w:rsidR="00344DC1" w:rsidRPr="00B60991" w:rsidRDefault="00344DC1" w:rsidP="00344DC1">
            <w:pPr>
              <w:rPr>
                <w:b/>
                <w:bCs/>
                <w:color w:val="000000" w:themeColor="text1"/>
              </w:rPr>
            </w:pPr>
            <w:r w:rsidRPr="00B60991">
              <w:rPr>
                <w:b/>
                <w:bCs/>
                <w:color w:val="000000" w:themeColor="text1"/>
              </w:rPr>
              <w:t>Page No</w:t>
            </w:r>
          </w:p>
        </w:tc>
      </w:tr>
      <w:tr w:rsidR="00344DC1" w:rsidRPr="00E511CA" w14:paraId="705BE5EE" w14:textId="77777777" w:rsidTr="000F60DA">
        <w:tc>
          <w:tcPr>
            <w:tcW w:w="7600" w:type="dxa"/>
            <w:tcMar>
              <w:top w:w="100" w:type="dxa"/>
              <w:left w:w="120" w:type="dxa"/>
              <w:bottom w:w="100" w:type="dxa"/>
              <w:right w:w="120" w:type="dxa"/>
            </w:tcMar>
          </w:tcPr>
          <w:p w14:paraId="5B0A48C0" w14:textId="1EBD74B3" w:rsidR="00344DC1" w:rsidRPr="00E511CA" w:rsidRDefault="00344DC1" w:rsidP="00344DC1">
            <w:pPr>
              <w:rPr>
                <w:rFonts w:eastAsia="Calibri"/>
                <w:color w:val="000000" w:themeColor="text1"/>
              </w:rPr>
            </w:pPr>
            <w:r w:rsidRPr="00E511CA">
              <w:rPr>
                <w:rFonts w:eastAsia="Calibri"/>
                <w:color w:val="000000" w:themeColor="text1"/>
              </w:rPr>
              <w:lastRenderedPageBreak/>
              <w:t>6.2 How the Solution Addresses Identified Challenges</w:t>
            </w:r>
          </w:p>
        </w:tc>
        <w:tc>
          <w:tcPr>
            <w:tcW w:w="1800" w:type="dxa"/>
            <w:tcMar>
              <w:top w:w="100" w:type="dxa"/>
              <w:left w:w="120" w:type="dxa"/>
              <w:bottom w:w="100" w:type="dxa"/>
              <w:right w:w="120" w:type="dxa"/>
            </w:tcMar>
          </w:tcPr>
          <w:p w14:paraId="3495C2B8" w14:textId="6532B6CA" w:rsidR="00344DC1" w:rsidRPr="00E511CA" w:rsidRDefault="00344DC1" w:rsidP="00344DC1">
            <w:pPr>
              <w:rPr>
                <w:rFonts w:eastAsia="Calibri"/>
                <w:color w:val="000000" w:themeColor="text1"/>
              </w:rPr>
            </w:pPr>
            <w:r w:rsidRPr="00E511CA">
              <w:rPr>
                <w:rFonts w:eastAsia="Calibri"/>
                <w:color w:val="000000" w:themeColor="text1"/>
              </w:rPr>
              <w:t>13</w:t>
            </w:r>
          </w:p>
        </w:tc>
      </w:tr>
      <w:tr w:rsidR="00344DC1" w:rsidRPr="00E511CA" w14:paraId="7D560203" w14:textId="77777777" w:rsidTr="000F60DA">
        <w:tc>
          <w:tcPr>
            <w:tcW w:w="7600" w:type="dxa"/>
            <w:tcMar>
              <w:top w:w="100" w:type="dxa"/>
              <w:left w:w="120" w:type="dxa"/>
              <w:bottom w:w="100" w:type="dxa"/>
              <w:right w:w="120" w:type="dxa"/>
            </w:tcMar>
          </w:tcPr>
          <w:p w14:paraId="3A9CDFAF" w14:textId="77777777" w:rsidR="00344DC1" w:rsidRPr="00E511CA" w:rsidRDefault="00344DC1" w:rsidP="00344DC1">
            <w:pPr>
              <w:rPr>
                <w:color w:val="000000" w:themeColor="text1"/>
              </w:rPr>
            </w:pPr>
            <w:r w:rsidRPr="00E511CA">
              <w:rPr>
                <w:rFonts w:eastAsia="Calibri"/>
                <w:color w:val="000000" w:themeColor="text1"/>
              </w:rPr>
              <w:t>6.3 Risk Management: Potential Risks, Implementation Challenges, and Limitations</w:t>
            </w:r>
          </w:p>
        </w:tc>
        <w:tc>
          <w:tcPr>
            <w:tcW w:w="1800" w:type="dxa"/>
            <w:tcMar>
              <w:top w:w="100" w:type="dxa"/>
              <w:left w:w="120" w:type="dxa"/>
              <w:bottom w:w="100" w:type="dxa"/>
              <w:right w:w="120" w:type="dxa"/>
            </w:tcMar>
          </w:tcPr>
          <w:p w14:paraId="2F3E1FC8" w14:textId="77777777" w:rsidR="00344DC1" w:rsidRPr="00E511CA" w:rsidRDefault="00344DC1" w:rsidP="00344DC1">
            <w:pPr>
              <w:rPr>
                <w:color w:val="000000" w:themeColor="text1"/>
              </w:rPr>
            </w:pPr>
            <w:r w:rsidRPr="00E511CA">
              <w:rPr>
                <w:rFonts w:eastAsia="Calibri"/>
                <w:color w:val="000000" w:themeColor="text1"/>
              </w:rPr>
              <w:t>14</w:t>
            </w:r>
          </w:p>
        </w:tc>
      </w:tr>
      <w:tr w:rsidR="00344DC1" w:rsidRPr="00E511CA" w14:paraId="5BD82A1A" w14:textId="77777777" w:rsidTr="000F60DA">
        <w:tc>
          <w:tcPr>
            <w:tcW w:w="7600" w:type="dxa"/>
            <w:tcMar>
              <w:top w:w="100" w:type="dxa"/>
              <w:left w:w="120" w:type="dxa"/>
              <w:bottom w:w="100" w:type="dxa"/>
              <w:right w:w="120" w:type="dxa"/>
            </w:tcMar>
          </w:tcPr>
          <w:p w14:paraId="67981C6E" w14:textId="77777777" w:rsidR="00344DC1" w:rsidRPr="00E511CA" w:rsidRDefault="00344DC1" w:rsidP="00344DC1">
            <w:pPr>
              <w:rPr>
                <w:color w:val="000000" w:themeColor="text1"/>
              </w:rPr>
            </w:pPr>
            <w:r w:rsidRPr="00E511CA">
              <w:rPr>
                <w:rFonts w:eastAsia="Calibri"/>
                <w:color w:val="000000" w:themeColor="text1"/>
              </w:rPr>
              <w:t>6.4 Cost-Benefit Analysis</w:t>
            </w:r>
          </w:p>
        </w:tc>
        <w:tc>
          <w:tcPr>
            <w:tcW w:w="1800" w:type="dxa"/>
            <w:tcMar>
              <w:top w:w="100" w:type="dxa"/>
              <w:left w:w="120" w:type="dxa"/>
              <w:bottom w:w="100" w:type="dxa"/>
              <w:right w:w="120" w:type="dxa"/>
            </w:tcMar>
          </w:tcPr>
          <w:p w14:paraId="5187A52A" w14:textId="77777777" w:rsidR="00344DC1" w:rsidRPr="00E511CA" w:rsidRDefault="00344DC1" w:rsidP="00344DC1">
            <w:pPr>
              <w:rPr>
                <w:color w:val="000000" w:themeColor="text1"/>
              </w:rPr>
            </w:pPr>
            <w:r w:rsidRPr="00E511CA">
              <w:rPr>
                <w:rFonts w:eastAsia="Calibri"/>
                <w:color w:val="000000" w:themeColor="text1"/>
              </w:rPr>
              <w:t>15</w:t>
            </w:r>
          </w:p>
        </w:tc>
      </w:tr>
      <w:tr w:rsidR="00344DC1" w:rsidRPr="00E511CA" w14:paraId="45DBD83A" w14:textId="77777777" w:rsidTr="000F60DA">
        <w:tc>
          <w:tcPr>
            <w:tcW w:w="7600" w:type="dxa"/>
            <w:tcMar>
              <w:top w:w="100" w:type="dxa"/>
              <w:left w:w="120" w:type="dxa"/>
              <w:bottom w:w="100" w:type="dxa"/>
              <w:right w:w="120" w:type="dxa"/>
            </w:tcMar>
          </w:tcPr>
          <w:p w14:paraId="0ED40C3A" w14:textId="77777777" w:rsidR="00344DC1" w:rsidRPr="00E511CA" w:rsidRDefault="00344DC1" w:rsidP="00344DC1">
            <w:pPr>
              <w:rPr>
                <w:color w:val="000000" w:themeColor="text1"/>
              </w:rPr>
            </w:pPr>
            <w:r w:rsidRPr="00E511CA">
              <w:rPr>
                <w:rFonts w:eastAsia="Calibri"/>
                <w:color w:val="000000" w:themeColor="text1"/>
              </w:rPr>
              <w:t>7. Conclusion</w:t>
            </w:r>
          </w:p>
        </w:tc>
        <w:tc>
          <w:tcPr>
            <w:tcW w:w="1800" w:type="dxa"/>
            <w:tcMar>
              <w:top w:w="100" w:type="dxa"/>
              <w:left w:w="120" w:type="dxa"/>
              <w:bottom w:w="100" w:type="dxa"/>
              <w:right w:w="120" w:type="dxa"/>
            </w:tcMar>
          </w:tcPr>
          <w:p w14:paraId="77E5CC4F" w14:textId="77777777" w:rsidR="00344DC1" w:rsidRPr="00E511CA" w:rsidRDefault="00344DC1" w:rsidP="00344DC1">
            <w:pPr>
              <w:rPr>
                <w:color w:val="000000" w:themeColor="text1"/>
              </w:rPr>
            </w:pPr>
            <w:r w:rsidRPr="00E511CA">
              <w:rPr>
                <w:rFonts w:eastAsia="Calibri"/>
                <w:color w:val="000000" w:themeColor="text1"/>
              </w:rPr>
              <w:t>16</w:t>
            </w:r>
          </w:p>
        </w:tc>
      </w:tr>
      <w:tr w:rsidR="00344DC1" w:rsidRPr="00E511CA" w14:paraId="69C953D1" w14:textId="77777777" w:rsidTr="000F60DA">
        <w:tc>
          <w:tcPr>
            <w:tcW w:w="7600" w:type="dxa"/>
            <w:tcMar>
              <w:top w:w="100" w:type="dxa"/>
              <w:left w:w="120" w:type="dxa"/>
              <w:bottom w:w="100" w:type="dxa"/>
              <w:right w:w="120" w:type="dxa"/>
            </w:tcMar>
          </w:tcPr>
          <w:p w14:paraId="1E0307B5" w14:textId="77777777" w:rsidR="00344DC1" w:rsidRPr="00E511CA" w:rsidRDefault="00344DC1" w:rsidP="00344DC1">
            <w:pPr>
              <w:rPr>
                <w:color w:val="000000" w:themeColor="text1"/>
              </w:rPr>
            </w:pPr>
            <w:r w:rsidRPr="00E511CA">
              <w:rPr>
                <w:rFonts w:eastAsia="Calibri"/>
                <w:color w:val="000000" w:themeColor="text1"/>
              </w:rPr>
              <w:t>References</w:t>
            </w:r>
          </w:p>
        </w:tc>
        <w:tc>
          <w:tcPr>
            <w:tcW w:w="1800" w:type="dxa"/>
            <w:tcMar>
              <w:top w:w="100" w:type="dxa"/>
              <w:left w:w="120" w:type="dxa"/>
              <w:bottom w:w="100" w:type="dxa"/>
              <w:right w:w="120" w:type="dxa"/>
            </w:tcMar>
          </w:tcPr>
          <w:p w14:paraId="754B6E09" w14:textId="77777777" w:rsidR="00344DC1" w:rsidRPr="00E511CA" w:rsidRDefault="00344DC1" w:rsidP="00344DC1">
            <w:pPr>
              <w:rPr>
                <w:color w:val="000000" w:themeColor="text1"/>
              </w:rPr>
            </w:pPr>
            <w:r w:rsidRPr="00E511CA">
              <w:rPr>
                <w:rFonts w:eastAsia="Calibri"/>
                <w:color w:val="000000" w:themeColor="text1"/>
              </w:rPr>
              <w:t>16</w:t>
            </w:r>
          </w:p>
        </w:tc>
      </w:tr>
    </w:tbl>
    <w:p w14:paraId="6BA15F33" w14:textId="77777777" w:rsidR="00E511CA" w:rsidRPr="00E511CA" w:rsidRDefault="00E511CA" w:rsidP="00E511CA">
      <w:pPr>
        <w:rPr>
          <w:color w:val="000000" w:themeColor="text1"/>
        </w:rPr>
      </w:pPr>
      <w:r w:rsidRPr="00E511CA">
        <w:rPr>
          <w:color w:val="000000" w:themeColor="text1"/>
        </w:rPr>
        <w:br w:type="page"/>
      </w:r>
    </w:p>
    <w:p w14:paraId="28CE2569" w14:textId="77777777" w:rsidR="00E511CA" w:rsidRPr="00E511CA" w:rsidRDefault="00E511CA" w:rsidP="00E511CA">
      <w:pPr>
        <w:pStyle w:val="Heading1"/>
        <w:spacing w:before="360" w:after="200"/>
        <w:rPr>
          <w:color w:val="000000" w:themeColor="text1"/>
        </w:rPr>
      </w:pPr>
      <w:r w:rsidRPr="00E511CA">
        <w:rPr>
          <w:rFonts w:eastAsia="Calibri"/>
          <w:b/>
          <w:bCs/>
          <w:color w:val="000000" w:themeColor="text1"/>
        </w:rPr>
        <w:lastRenderedPageBreak/>
        <w:t>1. Understanding the Problem Statement</w:t>
      </w:r>
    </w:p>
    <w:p w14:paraId="077DE69E"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1.1 Problem Explanation</w:t>
      </w:r>
    </w:p>
    <w:p w14:paraId="0404FB17"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Vaccines are biologically sensitive products that must be stored within a narrow, well-defined temperature range from the moment they are manufactured until the moment they are administered to a patient. This unbroken sequence of temperature-controlled storage and transport, commonly referred to as the “cold chain,” is essential to preserving vaccine potency. Hospitals, clinics, blood banks, pharmaceutical warehouses, and dedicated vaccination centers are collectively responsible for maintaining this chain, yet they continue to rely largely on manual temperature logging, periodic physical checks, or isolated stand-alone data loggers that record readings without any real-time analysis or predictive capability.</w:t>
      </w:r>
    </w:p>
    <w:p w14:paraId="4E2163F7"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The core problem is that these traditional monitoring approaches are reactive rather than proactive. A temperature excursion caused by a power outage, a compressor failure, a poorly sealed refrigerator door, or simple human oversight is typically discovered only after it has already occurred — often several hours later during a routine check. By that time, the affected vaccine doses may already have lost potency, forcing healthcare facilities to discard stock, absorb significant financial losses, and, more importantly, jeopardize the health outcomes of the population that depends on those vaccines. Given the scale at which vaccines are stored and distributed — millions of doses annually, across thousands of facilities — even a small percentage of undetected cold-chain failures translates into substantial wastage and public-health risk.</w:t>
      </w:r>
    </w:p>
    <w:p w14:paraId="7204E6ED"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In essence, the problem calls for replacing a fragmented, manual, and reactive monitoring model with a connected, intelligent, and proactive one that can sense conditions continuously, reason about the sensor data using artificial intelligence, and act — through alerts and automated documentation — before vaccine quality is compromised.</w:t>
      </w:r>
    </w:p>
    <w:p w14:paraId="411BF707"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1.2 Objectives of the Proposed System</w:t>
      </w:r>
    </w:p>
    <w:p w14:paraId="68E094CB"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Continuously monitor vaccine storage conditions (temperature, humidity, power status, and refrigeration unit health) across all connected facilities in real time.</w:t>
      </w:r>
    </w:p>
    <w:p w14:paraId="0AB91401"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Collect accurate, high-frequency sensor data from IoT-enabled cold storage units and transmit it securely to a central monitoring platform.</w:t>
      </w:r>
    </w:p>
    <w:p w14:paraId="79411F2F"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Detect temperature and humidity excursions immediately and raise alerts before vaccine potency is affected.</w:t>
      </w:r>
    </w:p>
    <w:p w14:paraId="52565073"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Apply machine learning models to predict impending refrigeration equipment failures based on historical performance and sensor trends, enabling preventive maintenance.</w:t>
      </w:r>
    </w:p>
    <w:p w14:paraId="545927B7"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Automatically generate regulatory compliance reports that satisfy national and international cold-chain storage standards.</w:t>
      </w:r>
    </w:p>
    <w:p w14:paraId="7B556C72"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Notify the appropriate healthcare personnel instantly through multiple channels — mobile app push notifications, SMS, and email — so that corrective action can be taken without delay.</w:t>
      </w:r>
    </w:p>
    <w:p w14:paraId="172E50DF"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Maintain a complete, tamper-evident historical record and audit trail of storage conditions and maintenance activity for every storage unit.</w:t>
      </w:r>
    </w:p>
    <w:p w14:paraId="66E12D70"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Improve overall vaccine inventory safety, traceability, and availability across the healthcare supply chain.</w:t>
      </w:r>
    </w:p>
    <w:p w14:paraId="679904E4"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lastRenderedPageBreak/>
        <w:t>1.3 Scope of the Problem</w:t>
      </w:r>
    </w:p>
    <w:p w14:paraId="745D8B8C"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The scope of this case study covers the design of a software platform, supported by IoT hardware, for continuous cold-chain monitoring across multiple categories of healthcare facilities — hospitals, clinics, pharmacies, blood banks, and dedicated vaccination centers. The solution addresses data acquisition from sensors (temperature, humidity, door-open status, power supply), cloud-based data processing and storage, AI-driven anomaly detection and failure prediction, multi-channel alerting, historical audit logging, and automated compliance reporting.</w:t>
      </w:r>
    </w:p>
    <w:p w14:paraId="43BF6934"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The scope is intentionally focused on software and system-level design; it does not extend to the manufacturing of physical IoT sensor hardware, nor does it cover the pharmacological aspects of vaccine formulation. The system is designed to scale from a single clinic with one or two refrigeration units to a nationwide network of hundreds of facilities, and it must operate reliably across varying levels of network connectivity, including intermittent connectivity in remote or rural vaccination centers.</w:t>
      </w:r>
    </w:p>
    <w:p w14:paraId="2133C6BC" w14:textId="77777777" w:rsidR="00E511CA" w:rsidRPr="00E511CA" w:rsidRDefault="00E511CA" w:rsidP="00E511CA">
      <w:pPr>
        <w:rPr>
          <w:color w:val="000000" w:themeColor="text1"/>
        </w:rPr>
      </w:pPr>
      <w:r w:rsidRPr="00E511CA">
        <w:rPr>
          <w:color w:val="000000" w:themeColor="text1"/>
        </w:rPr>
        <w:br w:type="page"/>
      </w:r>
    </w:p>
    <w:p w14:paraId="5A5BE1C7" w14:textId="77777777" w:rsidR="00E511CA" w:rsidRPr="00E511CA" w:rsidRDefault="00E511CA" w:rsidP="00E511CA">
      <w:pPr>
        <w:pStyle w:val="Heading1"/>
        <w:spacing w:before="360" w:after="200"/>
        <w:rPr>
          <w:color w:val="000000" w:themeColor="text1"/>
        </w:rPr>
      </w:pPr>
      <w:r w:rsidRPr="00E511CA">
        <w:rPr>
          <w:rFonts w:eastAsia="Calibri"/>
          <w:b/>
          <w:bCs/>
          <w:color w:val="000000" w:themeColor="text1"/>
        </w:rPr>
        <w:lastRenderedPageBreak/>
        <w:t>2. Identify Key Stakeholders and Challenges</w:t>
      </w:r>
    </w:p>
    <w:p w14:paraId="11F17413"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2.1 Stakeholders, Roles, and Responsibilities</w:t>
      </w:r>
    </w:p>
    <w:p w14:paraId="76FEBC24"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The system involves a diverse group of stakeholders, each interacting with the platform in a different capacity. The table below summarizes the principal stakeholders along with their roles and responsibilities within the proposed system.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400"/>
      </w:tblGrid>
      <w:tr w:rsidR="007378C7" w:rsidRPr="00E511CA" w14:paraId="25D317B7" w14:textId="77777777" w:rsidTr="000F60DA">
        <w:tc>
          <w:tcPr>
            <w:tcW w:w="2400" w:type="dxa"/>
            <w:tcMar>
              <w:top w:w="100" w:type="dxa"/>
              <w:left w:w="120" w:type="dxa"/>
              <w:bottom w:w="100" w:type="dxa"/>
              <w:right w:w="120" w:type="dxa"/>
            </w:tcMar>
          </w:tcPr>
          <w:p w14:paraId="7D9DD351" w14:textId="4375628E" w:rsidR="007378C7" w:rsidRPr="007378C7" w:rsidRDefault="007378C7" w:rsidP="007378C7">
            <w:pPr>
              <w:rPr>
                <w:b/>
                <w:bCs/>
                <w:color w:val="000000" w:themeColor="text1"/>
                <w:sz w:val="22"/>
                <w:szCs w:val="22"/>
              </w:rPr>
            </w:pPr>
            <w:r w:rsidRPr="007378C7">
              <w:rPr>
                <w:rFonts w:eastAsia="Calibri"/>
                <w:b/>
                <w:bCs/>
                <w:color w:val="000000" w:themeColor="text1"/>
                <w:sz w:val="22"/>
                <w:szCs w:val="22"/>
              </w:rPr>
              <w:t>Stakeholder</w:t>
            </w:r>
          </w:p>
        </w:tc>
        <w:tc>
          <w:tcPr>
            <w:tcW w:w="3600" w:type="dxa"/>
            <w:tcMar>
              <w:top w:w="100" w:type="dxa"/>
              <w:left w:w="120" w:type="dxa"/>
              <w:bottom w:w="100" w:type="dxa"/>
              <w:right w:w="120" w:type="dxa"/>
            </w:tcMar>
          </w:tcPr>
          <w:p w14:paraId="2AC0C157" w14:textId="0952B330" w:rsidR="007378C7" w:rsidRPr="007378C7" w:rsidRDefault="007378C7" w:rsidP="007378C7">
            <w:pPr>
              <w:rPr>
                <w:b/>
                <w:bCs/>
                <w:color w:val="000000" w:themeColor="text1"/>
                <w:sz w:val="22"/>
                <w:szCs w:val="22"/>
              </w:rPr>
            </w:pPr>
            <w:r w:rsidRPr="007378C7">
              <w:rPr>
                <w:rFonts w:eastAsia="Calibri"/>
                <w:b/>
                <w:bCs/>
                <w:color w:val="000000" w:themeColor="text1"/>
                <w:sz w:val="22"/>
                <w:szCs w:val="22"/>
              </w:rPr>
              <w:t>Role</w:t>
            </w:r>
          </w:p>
        </w:tc>
        <w:tc>
          <w:tcPr>
            <w:tcW w:w="3400" w:type="dxa"/>
            <w:tcMar>
              <w:top w:w="100" w:type="dxa"/>
              <w:left w:w="120" w:type="dxa"/>
              <w:bottom w:w="100" w:type="dxa"/>
              <w:right w:w="120" w:type="dxa"/>
            </w:tcMar>
          </w:tcPr>
          <w:p w14:paraId="3FC5E446" w14:textId="44B0E47F" w:rsidR="007378C7" w:rsidRPr="007378C7" w:rsidRDefault="007378C7" w:rsidP="007378C7">
            <w:pPr>
              <w:rPr>
                <w:b/>
                <w:bCs/>
                <w:color w:val="000000" w:themeColor="text1"/>
                <w:sz w:val="22"/>
                <w:szCs w:val="22"/>
              </w:rPr>
            </w:pPr>
            <w:r w:rsidRPr="007378C7">
              <w:rPr>
                <w:rFonts w:eastAsia="Calibri"/>
                <w:b/>
                <w:bCs/>
                <w:color w:val="000000" w:themeColor="text1"/>
                <w:sz w:val="22"/>
                <w:szCs w:val="22"/>
              </w:rPr>
              <w:t>Key Responsibilities</w:t>
            </w:r>
          </w:p>
        </w:tc>
      </w:tr>
      <w:tr w:rsidR="007378C7" w:rsidRPr="00E511CA" w14:paraId="7BBBD478" w14:textId="77777777" w:rsidTr="000F60DA">
        <w:tc>
          <w:tcPr>
            <w:tcW w:w="2400" w:type="dxa"/>
            <w:tcMar>
              <w:top w:w="100" w:type="dxa"/>
              <w:left w:w="120" w:type="dxa"/>
              <w:bottom w:w="100" w:type="dxa"/>
              <w:right w:w="120" w:type="dxa"/>
            </w:tcMar>
          </w:tcPr>
          <w:p w14:paraId="315E7AAE" w14:textId="78C792FE" w:rsidR="007378C7" w:rsidRPr="00E511CA" w:rsidRDefault="007378C7" w:rsidP="007378C7">
            <w:pPr>
              <w:rPr>
                <w:rFonts w:eastAsia="Calibri"/>
                <w:color w:val="000000" w:themeColor="text1"/>
              </w:rPr>
            </w:pPr>
            <w:r w:rsidRPr="00E511CA">
              <w:rPr>
                <w:rFonts w:eastAsia="Calibri"/>
                <w:color w:val="000000" w:themeColor="text1"/>
              </w:rPr>
              <w:t>Healthcare Facility Staff (Nurses, Pharmacists, Storekeepers)</w:t>
            </w:r>
          </w:p>
        </w:tc>
        <w:tc>
          <w:tcPr>
            <w:tcW w:w="3600" w:type="dxa"/>
            <w:tcMar>
              <w:top w:w="100" w:type="dxa"/>
              <w:left w:w="120" w:type="dxa"/>
              <w:bottom w:w="100" w:type="dxa"/>
              <w:right w:w="120" w:type="dxa"/>
            </w:tcMar>
          </w:tcPr>
          <w:p w14:paraId="10953CBB" w14:textId="1B5F2378" w:rsidR="007378C7" w:rsidRPr="00E511CA" w:rsidRDefault="007378C7" w:rsidP="007378C7">
            <w:pPr>
              <w:rPr>
                <w:rFonts w:eastAsia="Calibri"/>
                <w:color w:val="000000" w:themeColor="text1"/>
              </w:rPr>
            </w:pPr>
            <w:r w:rsidRPr="00E511CA">
              <w:rPr>
                <w:rFonts w:eastAsia="Calibri"/>
                <w:color w:val="000000" w:themeColor="text1"/>
              </w:rPr>
              <w:t>Perform day-to-day handling of vaccines and refrigeration units; respond to alerts.</w:t>
            </w:r>
          </w:p>
        </w:tc>
        <w:tc>
          <w:tcPr>
            <w:tcW w:w="3400" w:type="dxa"/>
            <w:tcMar>
              <w:top w:w="100" w:type="dxa"/>
              <w:left w:w="120" w:type="dxa"/>
              <w:bottom w:w="100" w:type="dxa"/>
              <w:right w:w="120" w:type="dxa"/>
            </w:tcMar>
          </w:tcPr>
          <w:p w14:paraId="48478B67" w14:textId="2BE07C8D" w:rsidR="007378C7" w:rsidRPr="00E511CA" w:rsidRDefault="007378C7" w:rsidP="007378C7">
            <w:pPr>
              <w:rPr>
                <w:rFonts w:eastAsia="Calibri"/>
                <w:color w:val="000000" w:themeColor="text1"/>
              </w:rPr>
            </w:pPr>
            <w:r w:rsidRPr="00E511CA">
              <w:rPr>
                <w:rFonts w:eastAsia="Calibri"/>
                <w:color w:val="000000" w:themeColor="text1"/>
              </w:rPr>
              <w:t>Monitor dashboards, acknowledge alerts, take immediate corrective action (e.g., relocate stock, restore power).</w:t>
            </w:r>
          </w:p>
        </w:tc>
      </w:tr>
      <w:tr w:rsidR="007378C7" w:rsidRPr="00E511CA" w14:paraId="3947D1B9" w14:textId="77777777" w:rsidTr="000F60DA">
        <w:tc>
          <w:tcPr>
            <w:tcW w:w="2400" w:type="dxa"/>
            <w:tcMar>
              <w:top w:w="100" w:type="dxa"/>
              <w:left w:w="120" w:type="dxa"/>
              <w:bottom w:w="100" w:type="dxa"/>
              <w:right w:w="120" w:type="dxa"/>
            </w:tcMar>
          </w:tcPr>
          <w:p w14:paraId="2E41897E" w14:textId="77777777" w:rsidR="007378C7" w:rsidRPr="00E511CA" w:rsidRDefault="007378C7" w:rsidP="007378C7">
            <w:pPr>
              <w:rPr>
                <w:color w:val="000000" w:themeColor="text1"/>
              </w:rPr>
            </w:pPr>
            <w:r w:rsidRPr="00E511CA">
              <w:rPr>
                <w:rFonts w:eastAsia="Calibri"/>
                <w:color w:val="000000" w:themeColor="text1"/>
              </w:rPr>
              <w:t>Facility / Cold-Chain Managers</w:t>
            </w:r>
          </w:p>
        </w:tc>
        <w:tc>
          <w:tcPr>
            <w:tcW w:w="3600" w:type="dxa"/>
            <w:tcMar>
              <w:top w:w="100" w:type="dxa"/>
              <w:left w:w="120" w:type="dxa"/>
              <w:bottom w:w="100" w:type="dxa"/>
              <w:right w:w="120" w:type="dxa"/>
            </w:tcMar>
          </w:tcPr>
          <w:p w14:paraId="23448197" w14:textId="77777777" w:rsidR="007378C7" w:rsidRPr="00E511CA" w:rsidRDefault="007378C7" w:rsidP="007378C7">
            <w:pPr>
              <w:rPr>
                <w:color w:val="000000" w:themeColor="text1"/>
              </w:rPr>
            </w:pPr>
            <w:r w:rsidRPr="00E511CA">
              <w:rPr>
                <w:rFonts w:eastAsia="Calibri"/>
                <w:color w:val="000000" w:themeColor="text1"/>
              </w:rPr>
              <w:t>Oversee cold-chain compliance for one or more facilities.</w:t>
            </w:r>
          </w:p>
        </w:tc>
        <w:tc>
          <w:tcPr>
            <w:tcW w:w="3400" w:type="dxa"/>
            <w:tcMar>
              <w:top w:w="100" w:type="dxa"/>
              <w:left w:w="120" w:type="dxa"/>
              <w:bottom w:w="100" w:type="dxa"/>
              <w:right w:w="120" w:type="dxa"/>
            </w:tcMar>
          </w:tcPr>
          <w:p w14:paraId="162C3707" w14:textId="77777777" w:rsidR="007378C7" w:rsidRPr="00E511CA" w:rsidRDefault="007378C7" w:rsidP="007378C7">
            <w:pPr>
              <w:rPr>
                <w:color w:val="000000" w:themeColor="text1"/>
              </w:rPr>
            </w:pPr>
            <w:r w:rsidRPr="00E511CA">
              <w:rPr>
                <w:rFonts w:eastAsia="Calibri"/>
                <w:color w:val="000000" w:themeColor="text1"/>
              </w:rPr>
              <w:t>Review historical logs, schedule maintenance, approve compliance reports, coordinate with vendors.</w:t>
            </w:r>
          </w:p>
        </w:tc>
      </w:tr>
      <w:tr w:rsidR="007378C7" w:rsidRPr="00E511CA" w14:paraId="73A1E9A8" w14:textId="77777777" w:rsidTr="000F60DA">
        <w:tc>
          <w:tcPr>
            <w:tcW w:w="2400" w:type="dxa"/>
            <w:tcMar>
              <w:top w:w="100" w:type="dxa"/>
              <w:left w:w="120" w:type="dxa"/>
              <w:bottom w:w="100" w:type="dxa"/>
              <w:right w:w="120" w:type="dxa"/>
            </w:tcMar>
          </w:tcPr>
          <w:p w14:paraId="1345794E" w14:textId="77777777" w:rsidR="007378C7" w:rsidRPr="00E511CA" w:rsidRDefault="007378C7" w:rsidP="007378C7">
            <w:pPr>
              <w:rPr>
                <w:color w:val="000000" w:themeColor="text1"/>
              </w:rPr>
            </w:pPr>
            <w:r w:rsidRPr="00E511CA">
              <w:rPr>
                <w:rFonts w:eastAsia="Calibri"/>
                <w:color w:val="000000" w:themeColor="text1"/>
              </w:rPr>
              <w:t>Biomedical / Maintenance Engineers</w:t>
            </w:r>
          </w:p>
        </w:tc>
        <w:tc>
          <w:tcPr>
            <w:tcW w:w="3600" w:type="dxa"/>
            <w:tcMar>
              <w:top w:w="100" w:type="dxa"/>
              <w:left w:w="120" w:type="dxa"/>
              <w:bottom w:w="100" w:type="dxa"/>
              <w:right w:w="120" w:type="dxa"/>
            </w:tcMar>
          </w:tcPr>
          <w:p w14:paraId="6B4B69AB" w14:textId="77777777" w:rsidR="007378C7" w:rsidRPr="00E511CA" w:rsidRDefault="007378C7" w:rsidP="007378C7">
            <w:pPr>
              <w:rPr>
                <w:color w:val="000000" w:themeColor="text1"/>
              </w:rPr>
            </w:pPr>
            <w:r w:rsidRPr="00E511CA">
              <w:rPr>
                <w:rFonts w:eastAsia="Calibri"/>
                <w:color w:val="000000" w:themeColor="text1"/>
              </w:rPr>
              <w:t>Maintain and repair refrigeration and IoT hardware.</w:t>
            </w:r>
          </w:p>
        </w:tc>
        <w:tc>
          <w:tcPr>
            <w:tcW w:w="3400" w:type="dxa"/>
            <w:tcMar>
              <w:top w:w="100" w:type="dxa"/>
              <w:left w:w="120" w:type="dxa"/>
              <w:bottom w:w="100" w:type="dxa"/>
              <w:right w:w="120" w:type="dxa"/>
            </w:tcMar>
          </w:tcPr>
          <w:p w14:paraId="4721B823" w14:textId="77777777" w:rsidR="007378C7" w:rsidRPr="00E511CA" w:rsidRDefault="007378C7" w:rsidP="007378C7">
            <w:pPr>
              <w:rPr>
                <w:color w:val="000000" w:themeColor="text1"/>
              </w:rPr>
            </w:pPr>
            <w:r w:rsidRPr="00E511CA">
              <w:rPr>
                <w:rFonts w:eastAsia="Calibri"/>
                <w:color w:val="000000" w:themeColor="text1"/>
              </w:rPr>
              <w:t>Respond to predictive-maintenance alerts, service equipment, update maintenance logs.</w:t>
            </w:r>
          </w:p>
        </w:tc>
      </w:tr>
      <w:tr w:rsidR="007378C7" w:rsidRPr="00E511CA" w14:paraId="52D24276" w14:textId="77777777" w:rsidTr="000F60DA">
        <w:tc>
          <w:tcPr>
            <w:tcW w:w="2400" w:type="dxa"/>
            <w:tcMar>
              <w:top w:w="100" w:type="dxa"/>
              <w:left w:w="120" w:type="dxa"/>
              <w:bottom w:w="100" w:type="dxa"/>
              <w:right w:w="120" w:type="dxa"/>
            </w:tcMar>
          </w:tcPr>
          <w:p w14:paraId="258DD528" w14:textId="77777777" w:rsidR="007378C7" w:rsidRPr="00E511CA" w:rsidRDefault="007378C7" w:rsidP="007378C7">
            <w:pPr>
              <w:rPr>
                <w:color w:val="000000" w:themeColor="text1"/>
              </w:rPr>
            </w:pPr>
            <w:r w:rsidRPr="00E511CA">
              <w:rPr>
                <w:rFonts w:eastAsia="Calibri"/>
                <w:color w:val="000000" w:themeColor="text1"/>
              </w:rPr>
              <w:t>Hospital / Organizational Administrators</w:t>
            </w:r>
          </w:p>
        </w:tc>
        <w:tc>
          <w:tcPr>
            <w:tcW w:w="3600" w:type="dxa"/>
            <w:tcMar>
              <w:top w:w="100" w:type="dxa"/>
              <w:left w:w="120" w:type="dxa"/>
              <w:bottom w:w="100" w:type="dxa"/>
              <w:right w:w="120" w:type="dxa"/>
            </w:tcMar>
          </w:tcPr>
          <w:p w14:paraId="4D373493" w14:textId="77777777" w:rsidR="007378C7" w:rsidRPr="00E511CA" w:rsidRDefault="007378C7" w:rsidP="007378C7">
            <w:pPr>
              <w:rPr>
                <w:color w:val="000000" w:themeColor="text1"/>
              </w:rPr>
            </w:pPr>
            <w:r w:rsidRPr="00E511CA">
              <w:rPr>
                <w:rFonts w:eastAsia="Calibri"/>
                <w:color w:val="000000" w:themeColor="text1"/>
              </w:rPr>
              <w:t>Manage budgets, staffing, and overall facility operations.</w:t>
            </w:r>
          </w:p>
        </w:tc>
        <w:tc>
          <w:tcPr>
            <w:tcW w:w="3400" w:type="dxa"/>
            <w:tcMar>
              <w:top w:w="100" w:type="dxa"/>
              <w:left w:w="120" w:type="dxa"/>
              <w:bottom w:w="100" w:type="dxa"/>
              <w:right w:w="120" w:type="dxa"/>
            </w:tcMar>
          </w:tcPr>
          <w:p w14:paraId="59E8CB76" w14:textId="77777777" w:rsidR="007378C7" w:rsidRPr="00E511CA" w:rsidRDefault="007378C7" w:rsidP="007378C7">
            <w:pPr>
              <w:rPr>
                <w:color w:val="000000" w:themeColor="text1"/>
              </w:rPr>
            </w:pPr>
            <w:r w:rsidRPr="00E511CA">
              <w:rPr>
                <w:rFonts w:eastAsia="Calibri"/>
                <w:color w:val="000000" w:themeColor="text1"/>
              </w:rPr>
              <w:t>Review aggregated reports, allocate resources, ensure policy compliance.</w:t>
            </w:r>
          </w:p>
        </w:tc>
      </w:tr>
      <w:tr w:rsidR="007378C7" w:rsidRPr="00E511CA" w14:paraId="51FFC8C9" w14:textId="77777777" w:rsidTr="000F60DA">
        <w:tc>
          <w:tcPr>
            <w:tcW w:w="2400" w:type="dxa"/>
            <w:tcMar>
              <w:top w:w="100" w:type="dxa"/>
              <w:left w:w="120" w:type="dxa"/>
              <w:bottom w:w="100" w:type="dxa"/>
              <w:right w:w="120" w:type="dxa"/>
            </w:tcMar>
          </w:tcPr>
          <w:p w14:paraId="674C857A" w14:textId="77777777" w:rsidR="007378C7" w:rsidRPr="00E511CA" w:rsidRDefault="007378C7" w:rsidP="007378C7">
            <w:pPr>
              <w:rPr>
                <w:color w:val="000000" w:themeColor="text1"/>
              </w:rPr>
            </w:pPr>
            <w:r w:rsidRPr="00E511CA">
              <w:rPr>
                <w:rFonts w:eastAsia="Calibri"/>
                <w:color w:val="000000" w:themeColor="text1"/>
              </w:rPr>
              <w:t>Regulatory / Health Authorities</w:t>
            </w:r>
          </w:p>
        </w:tc>
        <w:tc>
          <w:tcPr>
            <w:tcW w:w="3600" w:type="dxa"/>
            <w:tcMar>
              <w:top w:w="100" w:type="dxa"/>
              <w:left w:w="120" w:type="dxa"/>
              <w:bottom w:w="100" w:type="dxa"/>
              <w:right w:w="120" w:type="dxa"/>
            </w:tcMar>
          </w:tcPr>
          <w:p w14:paraId="7DA986A3" w14:textId="77777777" w:rsidR="007378C7" w:rsidRPr="00E511CA" w:rsidRDefault="007378C7" w:rsidP="007378C7">
            <w:pPr>
              <w:rPr>
                <w:color w:val="000000" w:themeColor="text1"/>
              </w:rPr>
            </w:pPr>
            <w:r w:rsidRPr="00E511CA">
              <w:rPr>
                <w:rFonts w:eastAsia="Calibri"/>
                <w:color w:val="000000" w:themeColor="text1"/>
              </w:rPr>
              <w:t>Enforce national and international cold-chain storage standards.</w:t>
            </w:r>
          </w:p>
        </w:tc>
        <w:tc>
          <w:tcPr>
            <w:tcW w:w="3400" w:type="dxa"/>
            <w:tcMar>
              <w:top w:w="100" w:type="dxa"/>
              <w:left w:w="120" w:type="dxa"/>
              <w:bottom w:w="100" w:type="dxa"/>
              <w:right w:w="120" w:type="dxa"/>
            </w:tcMar>
          </w:tcPr>
          <w:p w14:paraId="6B9F1BF0" w14:textId="77777777" w:rsidR="007378C7" w:rsidRPr="00E511CA" w:rsidRDefault="007378C7" w:rsidP="007378C7">
            <w:pPr>
              <w:rPr>
                <w:color w:val="000000" w:themeColor="text1"/>
              </w:rPr>
            </w:pPr>
            <w:r w:rsidRPr="00E511CA">
              <w:rPr>
                <w:rFonts w:eastAsia="Calibri"/>
                <w:color w:val="000000" w:themeColor="text1"/>
              </w:rPr>
              <w:t>Audit compliance reports, set thresholds and reporting requirements, conduct inspections.</w:t>
            </w:r>
          </w:p>
        </w:tc>
      </w:tr>
      <w:tr w:rsidR="007378C7" w:rsidRPr="00E511CA" w14:paraId="30DEBE5A" w14:textId="77777777" w:rsidTr="000F60DA">
        <w:tc>
          <w:tcPr>
            <w:tcW w:w="2400" w:type="dxa"/>
            <w:tcMar>
              <w:top w:w="100" w:type="dxa"/>
              <w:left w:w="120" w:type="dxa"/>
              <w:bottom w:w="100" w:type="dxa"/>
              <w:right w:w="120" w:type="dxa"/>
            </w:tcMar>
          </w:tcPr>
          <w:p w14:paraId="5CC6B7EF" w14:textId="77777777" w:rsidR="007378C7" w:rsidRPr="00E511CA" w:rsidRDefault="007378C7" w:rsidP="007378C7">
            <w:pPr>
              <w:rPr>
                <w:color w:val="000000" w:themeColor="text1"/>
              </w:rPr>
            </w:pPr>
            <w:r w:rsidRPr="00E511CA">
              <w:rPr>
                <w:rFonts w:eastAsia="Calibri"/>
                <w:color w:val="000000" w:themeColor="text1"/>
              </w:rPr>
              <w:t>Vaccine Manufacturers &amp; Distributors</w:t>
            </w:r>
          </w:p>
        </w:tc>
        <w:tc>
          <w:tcPr>
            <w:tcW w:w="3600" w:type="dxa"/>
            <w:tcMar>
              <w:top w:w="100" w:type="dxa"/>
              <w:left w:w="120" w:type="dxa"/>
              <w:bottom w:w="100" w:type="dxa"/>
              <w:right w:w="120" w:type="dxa"/>
            </w:tcMar>
          </w:tcPr>
          <w:p w14:paraId="4E8B41C3" w14:textId="77777777" w:rsidR="007378C7" w:rsidRPr="00E511CA" w:rsidRDefault="007378C7" w:rsidP="007378C7">
            <w:pPr>
              <w:rPr>
                <w:color w:val="000000" w:themeColor="text1"/>
              </w:rPr>
            </w:pPr>
            <w:r w:rsidRPr="00E511CA">
              <w:rPr>
                <w:rFonts w:eastAsia="Calibri"/>
                <w:color w:val="000000" w:themeColor="text1"/>
              </w:rPr>
              <w:t>Supply vaccines and define storage specifications.</w:t>
            </w:r>
          </w:p>
        </w:tc>
        <w:tc>
          <w:tcPr>
            <w:tcW w:w="3400" w:type="dxa"/>
            <w:tcMar>
              <w:top w:w="100" w:type="dxa"/>
              <w:left w:w="120" w:type="dxa"/>
              <w:bottom w:w="100" w:type="dxa"/>
              <w:right w:w="120" w:type="dxa"/>
            </w:tcMar>
          </w:tcPr>
          <w:p w14:paraId="4F66ABEF" w14:textId="77777777" w:rsidR="007378C7" w:rsidRPr="00E511CA" w:rsidRDefault="007378C7" w:rsidP="007378C7">
            <w:pPr>
              <w:rPr>
                <w:color w:val="000000" w:themeColor="text1"/>
              </w:rPr>
            </w:pPr>
            <w:r w:rsidRPr="00E511CA">
              <w:rPr>
                <w:rFonts w:eastAsia="Calibri"/>
                <w:color w:val="000000" w:themeColor="text1"/>
              </w:rPr>
              <w:t>Provide storage guidelines, receive traceability data for recalled or affected batches.</w:t>
            </w:r>
          </w:p>
        </w:tc>
      </w:tr>
      <w:tr w:rsidR="007378C7" w:rsidRPr="00E511CA" w14:paraId="3AC10F96" w14:textId="77777777" w:rsidTr="000F60DA">
        <w:tc>
          <w:tcPr>
            <w:tcW w:w="2400" w:type="dxa"/>
            <w:tcMar>
              <w:top w:w="100" w:type="dxa"/>
              <w:left w:w="120" w:type="dxa"/>
              <w:bottom w:w="100" w:type="dxa"/>
              <w:right w:w="120" w:type="dxa"/>
            </w:tcMar>
          </w:tcPr>
          <w:p w14:paraId="6C3943F5" w14:textId="77777777" w:rsidR="007378C7" w:rsidRPr="00E511CA" w:rsidRDefault="007378C7" w:rsidP="007378C7">
            <w:pPr>
              <w:rPr>
                <w:color w:val="000000" w:themeColor="text1"/>
              </w:rPr>
            </w:pPr>
            <w:r w:rsidRPr="00E511CA">
              <w:rPr>
                <w:rFonts w:eastAsia="Calibri"/>
                <w:color w:val="000000" w:themeColor="text1"/>
              </w:rPr>
              <w:t>IT / System Administrators</w:t>
            </w:r>
          </w:p>
        </w:tc>
        <w:tc>
          <w:tcPr>
            <w:tcW w:w="3600" w:type="dxa"/>
            <w:tcMar>
              <w:top w:w="100" w:type="dxa"/>
              <w:left w:w="120" w:type="dxa"/>
              <w:bottom w:w="100" w:type="dxa"/>
              <w:right w:w="120" w:type="dxa"/>
            </w:tcMar>
          </w:tcPr>
          <w:p w14:paraId="6BF0EFDC" w14:textId="77777777" w:rsidR="007378C7" w:rsidRPr="00E511CA" w:rsidRDefault="007378C7" w:rsidP="007378C7">
            <w:pPr>
              <w:rPr>
                <w:color w:val="000000" w:themeColor="text1"/>
              </w:rPr>
            </w:pPr>
            <w:r w:rsidRPr="00E511CA">
              <w:rPr>
                <w:rFonts w:eastAsia="Calibri"/>
                <w:color w:val="000000" w:themeColor="text1"/>
              </w:rPr>
              <w:t>Manage the software platform, network, and data security.</w:t>
            </w:r>
          </w:p>
        </w:tc>
        <w:tc>
          <w:tcPr>
            <w:tcW w:w="3400" w:type="dxa"/>
            <w:tcMar>
              <w:top w:w="100" w:type="dxa"/>
              <w:left w:w="120" w:type="dxa"/>
              <w:bottom w:w="100" w:type="dxa"/>
              <w:right w:w="120" w:type="dxa"/>
            </w:tcMar>
          </w:tcPr>
          <w:p w14:paraId="152EAD75" w14:textId="77777777" w:rsidR="007378C7" w:rsidRPr="00E511CA" w:rsidRDefault="007378C7" w:rsidP="007378C7">
            <w:pPr>
              <w:rPr>
                <w:color w:val="000000" w:themeColor="text1"/>
              </w:rPr>
            </w:pPr>
            <w:r w:rsidRPr="00E511CA">
              <w:rPr>
                <w:rFonts w:eastAsia="Calibri"/>
                <w:color w:val="000000" w:themeColor="text1"/>
              </w:rPr>
              <w:t>Configure system access, ensure uptime, manage integrations and cybersecurity.</w:t>
            </w:r>
          </w:p>
        </w:tc>
      </w:tr>
      <w:tr w:rsidR="007378C7" w:rsidRPr="00E511CA" w14:paraId="0F0ADA0D" w14:textId="77777777" w:rsidTr="000F60DA">
        <w:tc>
          <w:tcPr>
            <w:tcW w:w="2400" w:type="dxa"/>
            <w:tcMar>
              <w:top w:w="100" w:type="dxa"/>
              <w:left w:w="120" w:type="dxa"/>
              <w:bottom w:w="100" w:type="dxa"/>
              <w:right w:w="120" w:type="dxa"/>
            </w:tcMar>
          </w:tcPr>
          <w:p w14:paraId="1B7FBC2B" w14:textId="77777777" w:rsidR="007378C7" w:rsidRPr="00E511CA" w:rsidRDefault="007378C7" w:rsidP="007378C7">
            <w:pPr>
              <w:rPr>
                <w:color w:val="000000" w:themeColor="text1"/>
              </w:rPr>
            </w:pPr>
            <w:r w:rsidRPr="00E511CA">
              <w:rPr>
                <w:rFonts w:eastAsia="Calibri"/>
                <w:color w:val="000000" w:themeColor="text1"/>
              </w:rPr>
              <w:t>Patients / General Public</w:t>
            </w:r>
          </w:p>
        </w:tc>
        <w:tc>
          <w:tcPr>
            <w:tcW w:w="3600" w:type="dxa"/>
            <w:tcMar>
              <w:top w:w="100" w:type="dxa"/>
              <w:left w:w="120" w:type="dxa"/>
              <w:bottom w:w="100" w:type="dxa"/>
              <w:right w:w="120" w:type="dxa"/>
            </w:tcMar>
          </w:tcPr>
          <w:p w14:paraId="0E628CD3" w14:textId="77777777" w:rsidR="007378C7" w:rsidRPr="00E511CA" w:rsidRDefault="007378C7" w:rsidP="007378C7">
            <w:pPr>
              <w:rPr>
                <w:color w:val="000000" w:themeColor="text1"/>
              </w:rPr>
            </w:pPr>
            <w:r w:rsidRPr="00E511CA">
              <w:rPr>
                <w:rFonts w:eastAsia="Calibri"/>
                <w:color w:val="000000" w:themeColor="text1"/>
              </w:rPr>
              <w:t>End beneficiaries of safe, effective vaccines.</w:t>
            </w:r>
          </w:p>
        </w:tc>
        <w:tc>
          <w:tcPr>
            <w:tcW w:w="3400" w:type="dxa"/>
            <w:tcMar>
              <w:top w:w="100" w:type="dxa"/>
              <w:left w:w="120" w:type="dxa"/>
              <w:bottom w:w="100" w:type="dxa"/>
              <w:right w:w="120" w:type="dxa"/>
            </w:tcMar>
          </w:tcPr>
          <w:p w14:paraId="75C12DE6" w14:textId="77777777" w:rsidR="007378C7" w:rsidRPr="00E511CA" w:rsidRDefault="007378C7" w:rsidP="007378C7">
            <w:pPr>
              <w:rPr>
                <w:color w:val="000000" w:themeColor="text1"/>
              </w:rPr>
            </w:pPr>
            <w:r w:rsidRPr="00E511CA">
              <w:rPr>
                <w:rFonts w:eastAsia="Calibri"/>
                <w:color w:val="000000" w:themeColor="text1"/>
              </w:rPr>
              <w:t>Indirectly rely on system reliability for safe immunization outcomes.</w:t>
            </w:r>
          </w:p>
        </w:tc>
      </w:tr>
    </w:tbl>
    <w:p w14:paraId="2E5BE430" w14:textId="77777777" w:rsidR="00E511CA" w:rsidRPr="00E511CA" w:rsidRDefault="00E511CA" w:rsidP="00E511CA">
      <w:pPr>
        <w:spacing w:after="200"/>
        <w:rPr>
          <w:color w:val="000000" w:themeColor="text1"/>
        </w:rPr>
      </w:pPr>
    </w:p>
    <w:p w14:paraId="164DD983"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2.2 Major Challenges and Issues Faced by Stakeholders</w:t>
      </w:r>
    </w:p>
    <w:p w14:paraId="439E226C"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Delayed detection of temperature excursions: Facility staff often discover deviations only during routine manual checks, by which point vaccine stock may already be compromised.</w:t>
      </w:r>
    </w:p>
    <w:p w14:paraId="249B6D0A"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Fragmented data across facilities: Managers and administrators lack a unified, real-time view of cold-chain status across multiple locations, making oversight difficult.</w:t>
      </w:r>
    </w:p>
    <w:p w14:paraId="79B2F05F"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Reactive rather than preventive maintenance: Biomedical engineers typically respond to equipment failures after they occur, rather than being alerted to early warning signs.</w:t>
      </w:r>
    </w:p>
    <w:p w14:paraId="60BC6140"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Manual, error-prone compliance reporting: Regulatory bodies require detailed documentation, but manually compiling logs is time-consuming and susceptible to human error or falsification.</w:t>
      </w:r>
    </w:p>
    <w:p w14:paraId="35EBAE17"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lastRenderedPageBreak/>
        <w:t>Connectivity limitations: Rural or remote vaccination centers may experience intermittent internet access, complicating real-time data transmission.</w:t>
      </w:r>
    </w:p>
    <w:p w14:paraId="2D827A07"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Resource and training constraints: Smaller clinics may lack dedicated IT staff, making adoption of a technically sophisticated monitoring platform challenging without adequate training and support.</w:t>
      </w:r>
    </w:p>
    <w:p w14:paraId="019037F0"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Data security and privacy concerns: Storage and transmission of operational data must be protected against unauthorized access, particularly where facilities share infrastructure with patient health records.</w:t>
      </w:r>
    </w:p>
    <w:p w14:paraId="14BE9A0D" w14:textId="77777777" w:rsidR="00E511CA" w:rsidRPr="00E511CA" w:rsidRDefault="00E511CA" w:rsidP="00E511CA">
      <w:pPr>
        <w:rPr>
          <w:color w:val="000000" w:themeColor="text1"/>
        </w:rPr>
      </w:pPr>
      <w:r w:rsidRPr="00E511CA">
        <w:rPr>
          <w:color w:val="000000" w:themeColor="text1"/>
        </w:rPr>
        <w:br w:type="page"/>
      </w:r>
    </w:p>
    <w:p w14:paraId="6F28B079" w14:textId="77777777" w:rsidR="00E511CA" w:rsidRPr="00E511CA" w:rsidRDefault="00E511CA" w:rsidP="00E511CA">
      <w:pPr>
        <w:pStyle w:val="Heading1"/>
        <w:spacing w:before="360" w:after="200"/>
        <w:rPr>
          <w:color w:val="000000" w:themeColor="text1"/>
        </w:rPr>
      </w:pPr>
      <w:r w:rsidRPr="00E511CA">
        <w:rPr>
          <w:rFonts w:eastAsia="Calibri"/>
          <w:b/>
          <w:bCs/>
          <w:color w:val="000000" w:themeColor="text1"/>
        </w:rPr>
        <w:lastRenderedPageBreak/>
        <w:t>3. Analyze the Current Approach</w:t>
      </w:r>
    </w:p>
    <w:p w14:paraId="07070FCE"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3.1 Existing System / Current Process</w:t>
      </w:r>
    </w:p>
    <w:p w14:paraId="34F5F4AE"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In most healthcare facilities today, vaccine cold-chain monitoring follows a largely manual and semi-automated process. Refrigeration units are fitted, at best, with a simple thermometer or a stand-alone digital data logger that records temperature readings at fixed intervals. Staff are required to physically check and log these readings in a register two to three times a day. Some facilities use basic threshold alarms that sound locally when a refrigerator door is left open or when the internal temperature crosses a set limit, but these alarms are only effective if a staff member is present to hear them.</w:t>
      </w:r>
    </w:p>
    <w:p w14:paraId="5AB87C72"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Maintenance of refrigeration equipment is typically scheduled on a fixed periodic basis (e.g., quarterly) rather than being driven by the actual condition of the equipment. Compliance reporting is compiled manually at the end of each reporting cycle by extracting data from paper logs or exporting readings from stand-alone loggers into spreadsheets, which are then reviewed and signed off by a facility manager before submission to regulatory authorities.</w:t>
      </w:r>
    </w:p>
    <w:p w14:paraId="728AF4F5"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3.2 Strengths of the Existing Approach</w:t>
      </w:r>
    </w:p>
    <w:p w14:paraId="57E44926"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Low upfront cost, as basic thermometers and data loggers are inexpensive compared to a fully connected IoT platform.</w:t>
      </w:r>
    </w:p>
    <w:p w14:paraId="6BD7113E"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Simplicity of use, requiring minimal technical training for facility staff.</w:t>
      </w:r>
    </w:p>
    <w:p w14:paraId="34BD5A94"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Established, well-understood procedures that staff are already familiar with.</w:t>
      </w:r>
    </w:p>
    <w:p w14:paraId="5F48BEB3"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Independence from network connectivity, since stand-alone loggers can operate without continuous internet access.</w:t>
      </w:r>
    </w:p>
    <w:p w14:paraId="04C8B831"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3.3 Limitations of the Existing Approach</w:t>
      </w:r>
    </w:p>
    <w:p w14:paraId="234ED724"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Detection is reactive: deviations are noticed only during scheduled manual checks, which may occur hours after the deviation began.</w:t>
      </w:r>
    </w:p>
    <w:p w14:paraId="22A0416B"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No predictive capability: there is no mechanism to anticipate equipment failure before it happens.</w:t>
      </w:r>
    </w:p>
    <w:p w14:paraId="78FA6854"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No centralized visibility: each facility's data remains siloed, preventing organization-wide monitoring or trend analysis.</w:t>
      </w:r>
    </w:p>
    <w:p w14:paraId="39816324"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Manual logging is labor-intensive and prone to transcription errors or, in rare cases, falsified entries.</w:t>
      </w:r>
    </w:p>
    <w:p w14:paraId="33C52309"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Alerts, where they exist, depend on a staff member being physically present to notice them, particularly outside of working hours.</w:t>
      </w:r>
    </w:p>
    <w:p w14:paraId="2CDDEAA2"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Compliance reporting is slow and resource-intensive, increasing the administrative burden on facility managers.</w:t>
      </w:r>
    </w:p>
    <w:p w14:paraId="587F24F0"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3.4 Gaps That Need to Be Addressed</w:t>
      </w:r>
    </w:p>
    <w:p w14:paraId="7192DF90" w14:textId="68AE063B" w:rsidR="00E511CA" w:rsidRPr="00E511CA" w:rsidRDefault="00E511CA" w:rsidP="00C575AD">
      <w:pPr>
        <w:spacing w:after="160" w:line="276" w:lineRule="auto"/>
        <w:jc w:val="both"/>
        <w:rPr>
          <w:color w:val="000000" w:themeColor="text1"/>
        </w:rPr>
      </w:pPr>
      <w:r w:rsidRPr="00E511CA">
        <w:rPr>
          <w:rFonts w:eastAsia="Calibri"/>
          <w:color w:val="000000" w:themeColor="text1"/>
          <w:sz w:val="22"/>
          <w:szCs w:val="22"/>
        </w:rPr>
        <w:t>The comparison above highlights a clear gap between what the current approach can offer and what modern cold-chain management requires: continuous, automated, real-time monitoring; predictive maintenance rather than periodic servicing; centralized multi-facility visibility; instant multi-channel alerting; and automated, tamper-evident compliance documentation.</w:t>
      </w:r>
      <w:r w:rsidRPr="00E511CA">
        <w:rPr>
          <w:color w:val="000000" w:themeColor="text1"/>
        </w:rPr>
        <w:br w:type="page"/>
      </w:r>
    </w:p>
    <w:p w14:paraId="2A979724" w14:textId="77777777" w:rsidR="00E511CA" w:rsidRPr="00E511CA" w:rsidRDefault="00E511CA" w:rsidP="00E511CA">
      <w:pPr>
        <w:pStyle w:val="Heading1"/>
        <w:spacing w:before="360" w:after="200"/>
        <w:rPr>
          <w:color w:val="000000" w:themeColor="text1"/>
        </w:rPr>
      </w:pPr>
      <w:r w:rsidRPr="00E511CA">
        <w:rPr>
          <w:rFonts w:eastAsia="Calibri"/>
          <w:b/>
          <w:bCs/>
          <w:color w:val="000000" w:themeColor="text1"/>
        </w:rPr>
        <w:lastRenderedPageBreak/>
        <w:t>4. Proposed Solution Using Software Engineering Principles</w:t>
      </w:r>
    </w:p>
    <w:p w14:paraId="148E156D"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4.1 Solution Overview</w:t>
      </w:r>
    </w:p>
    <w:p w14:paraId="29D8A5CE"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The proposed system is an IoT-enabled, cloud-based Intelligent Vaccine Cold Storage Monitoring Platform. IoT sensor nodes installed inside refrigeration units continuously capture temperature, humidity, door-open/close status, and power-supply status. This data is transmitted over Wi-Fi, cellular (GSM/4G), or LPWAN connectivity to a cloud backend, where it is processed in real time by a rules-based anomaly detection engine and a machine-learning-based predictive maintenance engine. Detected anomalies or predicted failures trigger instant notifications to relevant personnel through a mobile application, SMS gateway, and email service, while every event is permanently recorded for audit and compliance purposes.</w:t>
      </w:r>
    </w:p>
    <w:p w14:paraId="775D93F1"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4.2 System Architecture</w:t>
      </w:r>
    </w:p>
    <w:p w14:paraId="5C018906"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The platform follows a layered, cloud-native architecture consisting of four logical tiers: the Device/Edge Layer, the Connectivity Layer, the Cloud Processing Layer, and the Application/Presentation Layer. This separation ensures that each tier can evolve, scale, and fail independently without compromising the system as a whole.</w:t>
      </w:r>
    </w:p>
    <w:p w14:paraId="41F28A6A"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The Device/Edge Layer consists of IoT sensor nodes (temperature, humidity, door, and power sensors) attached to each refrigeration unit, along with a local edge gateway/microcontroller that performs basic validation and temporarily buffers readings when network connectivity is unavailable. The Connectivity Layer transports this data securely to the cloud using Wi-Fi, cellular (GSM/4G/5G), or Low-Power Wide-Area Network (LPWAN) protocols such as MQTT over TLS, chosen for their low bandwidth requirements and reliability in constrained environments.</w:t>
      </w:r>
    </w:p>
    <w:p w14:paraId="10B4D92E"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The Cloud Processing Layer is the core of the platform and is organized as a set of independently deployable microservices: an ingestion service that receives and validates incoming sensor streams via a message broker (e.g., Kafka/MQTT broker); a rules-based anomaly detection service; a machine-learning-based predictive maintenance service; a notification/alerting service; an audit-logging service backed by a time-series database; and a compliance-reporting service. Each microservice communicates through well-defined APIs and shares data through a combination of a time-series database (for high-frequency sensor readings) and a relational database (for facility, user, and configuration data).</w:t>
      </w:r>
    </w:p>
    <w:p w14:paraId="04FC76EE" w14:textId="7AE516AF" w:rsidR="00E511CA" w:rsidRDefault="00E511CA" w:rsidP="00E511CA">
      <w:pPr>
        <w:spacing w:after="160" w:line="276" w:lineRule="auto"/>
        <w:jc w:val="both"/>
        <w:rPr>
          <w:rFonts w:eastAsia="Calibri"/>
          <w:color w:val="000000" w:themeColor="text1"/>
          <w:sz w:val="22"/>
          <w:szCs w:val="22"/>
        </w:rPr>
      </w:pPr>
      <w:r w:rsidRPr="00E511CA">
        <w:rPr>
          <w:rFonts w:eastAsia="Calibri"/>
          <w:color w:val="000000" w:themeColor="text1"/>
          <w:sz w:val="22"/>
          <w:szCs w:val="22"/>
        </w:rPr>
        <w:t>The Application/Presentation Layer exposes this functionality to end users through a responsive web dashboard for facility managers and administrators, and a mobile application for on-the-ground facility staff and maintenance engineers. All external access passes through an API gateway that enforces authentication, authorization, and rate-limiting before requests reach the underlying microservices.</w:t>
      </w:r>
    </w:p>
    <w:p w14:paraId="5067A838" w14:textId="77777777" w:rsidR="00C575AD" w:rsidRDefault="00C575AD" w:rsidP="00E511CA">
      <w:pPr>
        <w:spacing w:after="160" w:line="276" w:lineRule="auto"/>
        <w:jc w:val="both"/>
        <w:rPr>
          <w:rFonts w:eastAsia="Calibri"/>
          <w:color w:val="000000" w:themeColor="text1"/>
          <w:sz w:val="22"/>
          <w:szCs w:val="22"/>
        </w:rPr>
      </w:pPr>
    </w:p>
    <w:p w14:paraId="1AE2D9CF" w14:textId="77777777" w:rsidR="00C575AD" w:rsidRDefault="00C575AD" w:rsidP="00E511CA">
      <w:pPr>
        <w:spacing w:after="160" w:line="276" w:lineRule="auto"/>
        <w:jc w:val="both"/>
        <w:rPr>
          <w:rFonts w:eastAsia="Calibri"/>
          <w:color w:val="000000" w:themeColor="text1"/>
          <w:sz w:val="22"/>
          <w:szCs w:val="22"/>
        </w:rPr>
      </w:pPr>
    </w:p>
    <w:p w14:paraId="742E5D14" w14:textId="77777777" w:rsidR="00C575AD" w:rsidRDefault="00C575AD" w:rsidP="00E511CA">
      <w:pPr>
        <w:spacing w:after="160" w:line="276" w:lineRule="auto"/>
        <w:jc w:val="both"/>
        <w:rPr>
          <w:rFonts w:eastAsia="Calibri"/>
          <w:color w:val="000000" w:themeColor="text1"/>
          <w:sz w:val="22"/>
          <w:szCs w:val="22"/>
        </w:rPr>
      </w:pPr>
    </w:p>
    <w:p w14:paraId="2396AF69" w14:textId="77777777" w:rsidR="00C575AD" w:rsidRDefault="00C575AD" w:rsidP="00E511CA">
      <w:pPr>
        <w:spacing w:after="160" w:line="276" w:lineRule="auto"/>
        <w:jc w:val="both"/>
        <w:rPr>
          <w:rFonts w:eastAsia="Calibri"/>
          <w:color w:val="000000" w:themeColor="text1"/>
          <w:sz w:val="22"/>
          <w:szCs w:val="22"/>
        </w:rPr>
      </w:pPr>
    </w:p>
    <w:p w14:paraId="73E1C0F7" w14:textId="77777777" w:rsidR="00C575AD" w:rsidRDefault="00C575AD" w:rsidP="00E511CA">
      <w:pPr>
        <w:spacing w:after="160" w:line="276" w:lineRule="auto"/>
        <w:jc w:val="both"/>
        <w:rPr>
          <w:rFonts w:eastAsia="Calibri"/>
          <w:color w:val="000000" w:themeColor="text1"/>
          <w:sz w:val="22"/>
          <w:szCs w:val="22"/>
        </w:rPr>
      </w:pPr>
    </w:p>
    <w:p w14:paraId="5065D2A4" w14:textId="77777777" w:rsidR="00C575AD" w:rsidRPr="00C575AD" w:rsidRDefault="00C575AD" w:rsidP="00E511CA">
      <w:pPr>
        <w:spacing w:after="160" w:line="276" w:lineRule="auto"/>
        <w:jc w:val="both"/>
        <w:rPr>
          <w:rFonts w:eastAsia="Calibri"/>
          <w:color w:val="000000" w:themeColor="text1"/>
          <w:sz w:val="22"/>
          <w:szCs w:val="22"/>
        </w:rPr>
      </w:pPr>
    </w:p>
    <w:p w14:paraId="646B4B4C"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lastRenderedPageBreak/>
        <w:t>4.3 Major Functional Modules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9C0EC8" w:rsidRPr="00E511CA" w14:paraId="1B29EFCF" w14:textId="77777777" w:rsidTr="000F60DA">
        <w:tc>
          <w:tcPr>
            <w:tcW w:w="2600" w:type="dxa"/>
            <w:tcMar>
              <w:top w:w="100" w:type="dxa"/>
              <w:left w:w="120" w:type="dxa"/>
              <w:bottom w:w="100" w:type="dxa"/>
              <w:right w:w="120" w:type="dxa"/>
            </w:tcMar>
          </w:tcPr>
          <w:p w14:paraId="2C2BD53B" w14:textId="3CDA16A0" w:rsidR="009C0EC8" w:rsidRPr="00E511CA" w:rsidRDefault="009C0EC8" w:rsidP="009C0EC8">
            <w:pPr>
              <w:ind w:firstLine="720"/>
              <w:rPr>
                <w:rFonts w:eastAsia="Calibri"/>
                <w:color w:val="000000" w:themeColor="text1"/>
              </w:rPr>
            </w:pPr>
            <w:r w:rsidRPr="00E511CA">
              <w:rPr>
                <w:rFonts w:eastAsia="Calibri"/>
                <w:b/>
                <w:bCs/>
                <w:color w:val="000000" w:themeColor="text1"/>
              </w:rPr>
              <w:t>Module</w:t>
            </w:r>
          </w:p>
        </w:tc>
        <w:tc>
          <w:tcPr>
            <w:tcW w:w="6800" w:type="dxa"/>
            <w:tcMar>
              <w:top w:w="100" w:type="dxa"/>
              <w:left w:w="120" w:type="dxa"/>
              <w:bottom w:w="100" w:type="dxa"/>
              <w:right w:w="120" w:type="dxa"/>
            </w:tcMar>
          </w:tcPr>
          <w:p w14:paraId="289FF294" w14:textId="15A2DB09" w:rsidR="009C0EC8" w:rsidRPr="00E511CA" w:rsidRDefault="009C0EC8" w:rsidP="009C0EC8">
            <w:pPr>
              <w:jc w:val="center"/>
              <w:rPr>
                <w:rFonts w:eastAsia="Calibri"/>
                <w:color w:val="000000" w:themeColor="text1"/>
              </w:rPr>
            </w:pPr>
            <w:r w:rsidRPr="00E511CA">
              <w:rPr>
                <w:rFonts w:eastAsia="Calibri"/>
                <w:b/>
                <w:bCs/>
                <w:color w:val="000000" w:themeColor="text1"/>
              </w:rPr>
              <w:t>Description</w:t>
            </w:r>
          </w:p>
        </w:tc>
      </w:tr>
      <w:tr w:rsidR="009C0EC8" w:rsidRPr="00E511CA" w14:paraId="4CBDBEC8" w14:textId="77777777" w:rsidTr="000F60DA">
        <w:tc>
          <w:tcPr>
            <w:tcW w:w="2600" w:type="dxa"/>
            <w:tcMar>
              <w:top w:w="100" w:type="dxa"/>
              <w:left w:w="120" w:type="dxa"/>
              <w:bottom w:w="100" w:type="dxa"/>
              <w:right w:w="120" w:type="dxa"/>
            </w:tcMar>
          </w:tcPr>
          <w:p w14:paraId="05CA5B49" w14:textId="77777777" w:rsidR="009C0EC8" w:rsidRPr="00E511CA" w:rsidRDefault="009C0EC8" w:rsidP="009C0EC8">
            <w:pPr>
              <w:rPr>
                <w:color w:val="000000" w:themeColor="text1"/>
              </w:rPr>
            </w:pPr>
            <w:r w:rsidRPr="00E511CA">
              <w:rPr>
                <w:rFonts w:eastAsia="Calibri"/>
                <w:color w:val="000000" w:themeColor="text1"/>
              </w:rPr>
              <w:t>IoT Data Acquisition Module</w:t>
            </w:r>
          </w:p>
        </w:tc>
        <w:tc>
          <w:tcPr>
            <w:tcW w:w="6800" w:type="dxa"/>
            <w:tcMar>
              <w:top w:w="100" w:type="dxa"/>
              <w:left w:w="120" w:type="dxa"/>
              <w:bottom w:w="100" w:type="dxa"/>
              <w:right w:w="120" w:type="dxa"/>
            </w:tcMar>
          </w:tcPr>
          <w:p w14:paraId="3F1CBE4F" w14:textId="77777777" w:rsidR="009C0EC8" w:rsidRPr="00E511CA" w:rsidRDefault="009C0EC8" w:rsidP="009C0EC8">
            <w:pPr>
              <w:rPr>
                <w:color w:val="000000" w:themeColor="text1"/>
              </w:rPr>
            </w:pPr>
            <w:r w:rsidRPr="00E511CA">
              <w:rPr>
                <w:rFonts w:eastAsia="Calibri"/>
                <w:color w:val="000000" w:themeColor="text1"/>
              </w:rPr>
              <w:t>Interfaces with temperature, humidity, door, and power sensors on each storage unit; performs edge-level buffering when connectivity is lost and syncs once connectivity is restored.</w:t>
            </w:r>
          </w:p>
        </w:tc>
      </w:tr>
      <w:tr w:rsidR="009C0EC8" w:rsidRPr="00E511CA" w14:paraId="63061299" w14:textId="77777777" w:rsidTr="000F60DA">
        <w:tc>
          <w:tcPr>
            <w:tcW w:w="2600" w:type="dxa"/>
            <w:tcMar>
              <w:top w:w="100" w:type="dxa"/>
              <w:left w:w="120" w:type="dxa"/>
              <w:bottom w:w="100" w:type="dxa"/>
              <w:right w:w="120" w:type="dxa"/>
            </w:tcMar>
          </w:tcPr>
          <w:p w14:paraId="264CCF95" w14:textId="77777777" w:rsidR="009C0EC8" w:rsidRPr="00E511CA" w:rsidRDefault="009C0EC8" w:rsidP="009C0EC8">
            <w:pPr>
              <w:rPr>
                <w:color w:val="000000" w:themeColor="text1"/>
              </w:rPr>
            </w:pPr>
            <w:r w:rsidRPr="00E511CA">
              <w:rPr>
                <w:rFonts w:eastAsia="Calibri"/>
                <w:color w:val="000000" w:themeColor="text1"/>
              </w:rPr>
              <w:t>Real-Time Monitoring Dashboard</w:t>
            </w:r>
          </w:p>
        </w:tc>
        <w:tc>
          <w:tcPr>
            <w:tcW w:w="6800" w:type="dxa"/>
            <w:tcMar>
              <w:top w:w="100" w:type="dxa"/>
              <w:left w:w="120" w:type="dxa"/>
              <w:bottom w:w="100" w:type="dxa"/>
              <w:right w:w="120" w:type="dxa"/>
            </w:tcMar>
          </w:tcPr>
          <w:p w14:paraId="6BC44132" w14:textId="77777777" w:rsidR="009C0EC8" w:rsidRPr="00E511CA" w:rsidRDefault="009C0EC8" w:rsidP="009C0EC8">
            <w:pPr>
              <w:rPr>
                <w:color w:val="000000" w:themeColor="text1"/>
              </w:rPr>
            </w:pPr>
            <w:r w:rsidRPr="00E511CA">
              <w:rPr>
                <w:rFonts w:eastAsia="Calibri"/>
                <w:color w:val="000000" w:themeColor="text1"/>
              </w:rPr>
              <w:t>Web and mobile dashboard displaying live status of every storage unit across all connected facilities, with drill-down views by facility, unit, and time range.</w:t>
            </w:r>
          </w:p>
        </w:tc>
      </w:tr>
      <w:tr w:rsidR="009C0EC8" w:rsidRPr="00E511CA" w14:paraId="5BD360A4" w14:textId="77777777" w:rsidTr="000F60DA">
        <w:tc>
          <w:tcPr>
            <w:tcW w:w="2600" w:type="dxa"/>
            <w:tcMar>
              <w:top w:w="100" w:type="dxa"/>
              <w:left w:w="120" w:type="dxa"/>
              <w:bottom w:w="100" w:type="dxa"/>
              <w:right w:w="120" w:type="dxa"/>
            </w:tcMar>
          </w:tcPr>
          <w:p w14:paraId="7B046619" w14:textId="77777777" w:rsidR="009C0EC8" w:rsidRPr="00E511CA" w:rsidRDefault="009C0EC8" w:rsidP="009C0EC8">
            <w:pPr>
              <w:rPr>
                <w:color w:val="000000" w:themeColor="text1"/>
              </w:rPr>
            </w:pPr>
            <w:r w:rsidRPr="00E511CA">
              <w:rPr>
                <w:rFonts w:eastAsia="Calibri"/>
                <w:color w:val="000000" w:themeColor="text1"/>
              </w:rPr>
              <w:t>Anomaly Detection Engine</w:t>
            </w:r>
          </w:p>
        </w:tc>
        <w:tc>
          <w:tcPr>
            <w:tcW w:w="6800" w:type="dxa"/>
            <w:tcMar>
              <w:top w:w="100" w:type="dxa"/>
              <w:left w:w="120" w:type="dxa"/>
              <w:bottom w:w="100" w:type="dxa"/>
              <w:right w:w="120" w:type="dxa"/>
            </w:tcMar>
          </w:tcPr>
          <w:p w14:paraId="72CDCA36" w14:textId="77777777" w:rsidR="009C0EC8" w:rsidRPr="00E511CA" w:rsidRDefault="009C0EC8" w:rsidP="009C0EC8">
            <w:pPr>
              <w:rPr>
                <w:color w:val="000000" w:themeColor="text1"/>
              </w:rPr>
            </w:pPr>
            <w:r w:rsidRPr="00E511CA">
              <w:rPr>
                <w:rFonts w:eastAsia="Calibri"/>
                <w:color w:val="000000" w:themeColor="text1"/>
              </w:rPr>
              <w:t>Applies configurable threshold rules and statistical checks to detect temperature/humidity excursions, door-left-open events, and power loss in near real time.</w:t>
            </w:r>
          </w:p>
        </w:tc>
      </w:tr>
      <w:tr w:rsidR="009C0EC8" w:rsidRPr="00E511CA" w14:paraId="32ADD277" w14:textId="77777777" w:rsidTr="000F60DA">
        <w:tc>
          <w:tcPr>
            <w:tcW w:w="2600" w:type="dxa"/>
            <w:tcMar>
              <w:top w:w="100" w:type="dxa"/>
              <w:left w:w="120" w:type="dxa"/>
              <w:bottom w:w="100" w:type="dxa"/>
              <w:right w:w="120" w:type="dxa"/>
            </w:tcMar>
          </w:tcPr>
          <w:p w14:paraId="572F6A7D" w14:textId="77777777" w:rsidR="009C0EC8" w:rsidRPr="00E511CA" w:rsidRDefault="009C0EC8" w:rsidP="009C0EC8">
            <w:pPr>
              <w:rPr>
                <w:color w:val="000000" w:themeColor="text1"/>
              </w:rPr>
            </w:pPr>
            <w:r w:rsidRPr="00E511CA">
              <w:rPr>
                <w:rFonts w:eastAsia="Calibri"/>
                <w:color w:val="000000" w:themeColor="text1"/>
              </w:rPr>
              <w:t>Predictive Maintenance Engine (AI/ML)</w:t>
            </w:r>
          </w:p>
        </w:tc>
        <w:tc>
          <w:tcPr>
            <w:tcW w:w="6800" w:type="dxa"/>
            <w:tcMar>
              <w:top w:w="100" w:type="dxa"/>
              <w:left w:w="120" w:type="dxa"/>
              <w:bottom w:w="100" w:type="dxa"/>
              <w:right w:w="120" w:type="dxa"/>
            </w:tcMar>
          </w:tcPr>
          <w:p w14:paraId="5115215D" w14:textId="77777777" w:rsidR="009C0EC8" w:rsidRPr="00E511CA" w:rsidRDefault="009C0EC8" w:rsidP="009C0EC8">
            <w:pPr>
              <w:rPr>
                <w:color w:val="000000" w:themeColor="text1"/>
              </w:rPr>
            </w:pPr>
            <w:r w:rsidRPr="00E511CA">
              <w:rPr>
                <w:rFonts w:eastAsia="Calibri"/>
                <w:color w:val="000000" w:themeColor="text1"/>
              </w:rPr>
              <w:t>Uses historical sensor trends and equipment performance data to forecast probable refrigeration failures, flagging units that need preventive servicing.</w:t>
            </w:r>
          </w:p>
        </w:tc>
      </w:tr>
      <w:tr w:rsidR="009C0EC8" w:rsidRPr="00E511CA" w14:paraId="55B89CC3" w14:textId="77777777" w:rsidTr="000F60DA">
        <w:tc>
          <w:tcPr>
            <w:tcW w:w="2600" w:type="dxa"/>
            <w:tcMar>
              <w:top w:w="100" w:type="dxa"/>
              <w:left w:w="120" w:type="dxa"/>
              <w:bottom w:w="100" w:type="dxa"/>
              <w:right w:w="120" w:type="dxa"/>
            </w:tcMar>
          </w:tcPr>
          <w:p w14:paraId="516FE55D" w14:textId="77777777" w:rsidR="009C0EC8" w:rsidRPr="00E511CA" w:rsidRDefault="009C0EC8" w:rsidP="009C0EC8">
            <w:pPr>
              <w:rPr>
                <w:color w:val="000000" w:themeColor="text1"/>
              </w:rPr>
            </w:pPr>
            <w:r w:rsidRPr="00E511CA">
              <w:rPr>
                <w:rFonts w:eastAsia="Calibri"/>
                <w:color w:val="000000" w:themeColor="text1"/>
              </w:rPr>
              <w:t>Alert &amp; Notification Module</w:t>
            </w:r>
          </w:p>
        </w:tc>
        <w:tc>
          <w:tcPr>
            <w:tcW w:w="6800" w:type="dxa"/>
            <w:tcMar>
              <w:top w:w="100" w:type="dxa"/>
              <w:left w:w="120" w:type="dxa"/>
              <w:bottom w:w="100" w:type="dxa"/>
              <w:right w:w="120" w:type="dxa"/>
            </w:tcMar>
          </w:tcPr>
          <w:p w14:paraId="4CBEFB39" w14:textId="77777777" w:rsidR="009C0EC8" w:rsidRPr="00E511CA" w:rsidRDefault="009C0EC8" w:rsidP="009C0EC8">
            <w:pPr>
              <w:rPr>
                <w:color w:val="000000" w:themeColor="text1"/>
              </w:rPr>
            </w:pPr>
            <w:r w:rsidRPr="00E511CA">
              <w:rPr>
                <w:rFonts w:eastAsia="Calibri"/>
                <w:color w:val="000000" w:themeColor="text1"/>
              </w:rPr>
              <w:t>Sends multi-channel alerts (push notification, SMS, email) to designated personnel based on severity, escalating to secondary contacts if unacknowledged.</w:t>
            </w:r>
          </w:p>
        </w:tc>
      </w:tr>
      <w:tr w:rsidR="009C0EC8" w:rsidRPr="00E511CA" w14:paraId="781C0646" w14:textId="77777777" w:rsidTr="000F60DA">
        <w:tc>
          <w:tcPr>
            <w:tcW w:w="2600" w:type="dxa"/>
            <w:tcMar>
              <w:top w:w="100" w:type="dxa"/>
              <w:left w:w="120" w:type="dxa"/>
              <w:bottom w:w="100" w:type="dxa"/>
              <w:right w:w="120" w:type="dxa"/>
            </w:tcMar>
          </w:tcPr>
          <w:p w14:paraId="2662C3A0" w14:textId="77777777" w:rsidR="009C0EC8" w:rsidRPr="00E511CA" w:rsidRDefault="009C0EC8" w:rsidP="009C0EC8">
            <w:pPr>
              <w:rPr>
                <w:color w:val="000000" w:themeColor="text1"/>
              </w:rPr>
            </w:pPr>
            <w:r w:rsidRPr="00E511CA">
              <w:rPr>
                <w:rFonts w:eastAsia="Calibri"/>
                <w:color w:val="000000" w:themeColor="text1"/>
              </w:rPr>
              <w:t>Historical Logging &amp; Audit Trail Module</w:t>
            </w:r>
          </w:p>
        </w:tc>
        <w:tc>
          <w:tcPr>
            <w:tcW w:w="6800" w:type="dxa"/>
            <w:tcMar>
              <w:top w:w="100" w:type="dxa"/>
              <w:left w:w="120" w:type="dxa"/>
              <w:bottom w:w="100" w:type="dxa"/>
              <w:right w:w="120" w:type="dxa"/>
            </w:tcMar>
          </w:tcPr>
          <w:p w14:paraId="35F7A259" w14:textId="77777777" w:rsidR="009C0EC8" w:rsidRPr="00E511CA" w:rsidRDefault="009C0EC8" w:rsidP="009C0EC8">
            <w:pPr>
              <w:rPr>
                <w:color w:val="000000" w:themeColor="text1"/>
              </w:rPr>
            </w:pPr>
            <w:r w:rsidRPr="00E511CA">
              <w:rPr>
                <w:rFonts w:eastAsia="Calibri"/>
                <w:color w:val="000000" w:themeColor="text1"/>
              </w:rPr>
              <w:t>Stores time-stamped, immutable records of all sensor readings, alerts, acknowledgements, and maintenance actions for every storage unit.</w:t>
            </w:r>
          </w:p>
        </w:tc>
      </w:tr>
      <w:tr w:rsidR="009C0EC8" w:rsidRPr="00E511CA" w14:paraId="5D7543A8" w14:textId="77777777" w:rsidTr="000F60DA">
        <w:tc>
          <w:tcPr>
            <w:tcW w:w="2600" w:type="dxa"/>
            <w:tcMar>
              <w:top w:w="100" w:type="dxa"/>
              <w:left w:w="120" w:type="dxa"/>
              <w:bottom w:w="100" w:type="dxa"/>
              <w:right w:w="120" w:type="dxa"/>
            </w:tcMar>
          </w:tcPr>
          <w:p w14:paraId="66299261" w14:textId="77777777" w:rsidR="009C0EC8" w:rsidRPr="00E511CA" w:rsidRDefault="009C0EC8" w:rsidP="009C0EC8">
            <w:pPr>
              <w:rPr>
                <w:color w:val="000000" w:themeColor="text1"/>
              </w:rPr>
            </w:pPr>
            <w:r w:rsidRPr="00E511CA">
              <w:rPr>
                <w:rFonts w:eastAsia="Calibri"/>
                <w:color w:val="000000" w:themeColor="text1"/>
              </w:rPr>
              <w:t>Compliance Reporting Module</w:t>
            </w:r>
          </w:p>
        </w:tc>
        <w:tc>
          <w:tcPr>
            <w:tcW w:w="6800" w:type="dxa"/>
            <w:tcMar>
              <w:top w:w="100" w:type="dxa"/>
              <w:left w:w="120" w:type="dxa"/>
              <w:bottom w:w="100" w:type="dxa"/>
              <w:right w:w="120" w:type="dxa"/>
            </w:tcMar>
          </w:tcPr>
          <w:p w14:paraId="63E18341" w14:textId="77777777" w:rsidR="009C0EC8" w:rsidRPr="00E511CA" w:rsidRDefault="009C0EC8" w:rsidP="009C0EC8">
            <w:pPr>
              <w:rPr>
                <w:color w:val="000000" w:themeColor="text1"/>
              </w:rPr>
            </w:pPr>
            <w:r w:rsidRPr="00E511CA">
              <w:rPr>
                <w:rFonts w:eastAsia="Calibri"/>
                <w:color w:val="000000" w:themeColor="text1"/>
              </w:rPr>
              <w:t>Automatically generates periodic reports formatted to meet national and international cold-chain regulatory standards, ready for submission or audit.</w:t>
            </w:r>
          </w:p>
        </w:tc>
      </w:tr>
      <w:tr w:rsidR="009C0EC8" w:rsidRPr="00E511CA" w14:paraId="14BA6D40" w14:textId="77777777" w:rsidTr="000F60DA">
        <w:tc>
          <w:tcPr>
            <w:tcW w:w="2600" w:type="dxa"/>
            <w:tcMar>
              <w:top w:w="100" w:type="dxa"/>
              <w:left w:w="120" w:type="dxa"/>
              <w:bottom w:w="100" w:type="dxa"/>
              <w:right w:w="120" w:type="dxa"/>
            </w:tcMar>
          </w:tcPr>
          <w:p w14:paraId="76B16536" w14:textId="77777777" w:rsidR="009C0EC8" w:rsidRPr="00E511CA" w:rsidRDefault="009C0EC8" w:rsidP="009C0EC8">
            <w:pPr>
              <w:rPr>
                <w:color w:val="000000" w:themeColor="text1"/>
              </w:rPr>
            </w:pPr>
            <w:r w:rsidRPr="00E511CA">
              <w:rPr>
                <w:rFonts w:eastAsia="Calibri"/>
                <w:color w:val="000000" w:themeColor="text1"/>
              </w:rPr>
              <w:t>Maintenance Management Module</w:t>
            </w:r>
          </w:p>
        </w:tc>
        <w:tc>
          <w:tcPr>
            <w:tcW w:w="6800" w:type="dxa"/>
            <w:tcMar>
              <w:top w:w="100" w:type="dxa"/>
              <w:left w:w="120" w:type="dxa"/>
              <w:bottom w:w="100" w:type="dxa"/>
              <w:right w:w="120" w:type="dxa"/>
            </w:tcMar>
          </w:tcPr>
          <w:p w14:paraId="0E84B903" w14:textId="77777777" w:rsidR="009C0EC8" w:rsidRPr="00E511CA" w:rsidRDefault="009C0EC8" w:rsidP="009C0EC8">
            <w:pPr>
              <w:rPr>
                <w:color w:val="000000" w:themeColor="text1"/>
              </w:rPr>
            </w:pPr>
            <w:r w:rsidRPr="00E511CA">
              <w:rPr>
                <w:rFonts w:eastAsia="Calibri"/>
                <w:color w:val="000000" w:themeColor="text1"/>
              </w:rPr>
              <w:t>Tracks scheduled and predictive maintenance tasks, technician assignments, and service history for each refrigeration unit.</w:t>
            </w:r>
          </w:p>
        </w:tc>
      </w:tr>
      <w:tr w:rsidR="009C0EC8" w:rsidRPr="00E511CA" w14:paraId="24373D49" w14:textId="77777777" w:rsidTr="000F60DA">
        <w:tc>
          <w:tcPr>
            <w:tcW w:w="2600" w:type="dxa"/>
            <w:tcMar>
              <w:top w:w="100" w:type="dxa"/>
              <w:left w:w="120" w:type="dxa"/>
              <w:bottom w:w="100" w:type="dxa"/>
              <w:right w:w="120" w:type="dxa"/>
            </w:tcMar>
          </w:tcPr>
          <w:p w14:paraId="4EFDFCD3" w14:textId="77777777" w:rsidR="009C0EC8" w:rsidRPr="00E511CA" w:rsidRDefault="009C0EC8" w:rsidP="009C0EC8">
            <w:pPr>
              <w:rPr>
                <w:color w:val="000000" w:themeColor="text1"/>
              </w:rPr>
            </w:pPr>
            <w:r w:rsidRPr="00E511CA">
              <w:rPr>
                <w:rFonts w:eastAsia="Calibri"/>
                <w:color w:val="000000" w:themeColor="text1"/>
              </w:rPr>
              <w:t>User &amp; Access Management Module</w:t>
            </w:r>
          </w:p>
        </w:tc>
        <w:tc>
          <w:tcPr>
            <w:tcW w:w="6800" w:type="dxa"/>
            <w:tcMar>
              <w:top w:w="100" w:type="dxa"/>
              <w:left w:w="120" w:type="dxa"/>
              <w:bottom w:w="100" w:type="dxa"/>
              <w:right w:w="120" w:type="dxa"/>
            </w:tcMar>
          </w:tcPr>
          <w:p w14:paraId="00D91CEC" w14:textId="77777777" w:rsidR="009C0EC8" w:rsidRPr="00E511CA" w:rsidRDefault="009C0EC8" w:rsidP="009C0EC8">
            <w:pPr>
              <w:rPr>
                <w:color w:val="000000" w:themeColor="text1"/>
              </w:rPr>
            </w:pPr>
            <w:r w:rsidRPr="00E511CA">
              <w:rPr>
                <w:rFonts w:eastAsia="Calibri"/>
                <w:color w:val="000000" w:themeColor="text1"/>
              </w:rPr>
              <w:t>Manages role-based access control for facility staff, managers, engineers, administrators, and auditors.</w:t>
            </w:r>
          </w:p>
        </w:tc>
      </w:tr>
      <w:tr w:rsidR="009C0EC8" w:rsidRPr="00E511CA" w14:paraId="339B2A0B" w14:textId="77777777" w:rsidTr="000F60DA">
        <w:tc>
          <w:tcPr>
            <w:tcW w:w="2600" w:type="dxa"/>
            <w:tcMar>
              <w:top w:w="100" w:type="dxa"/>
              <w:left w:w="120" w:type="dxa"/>
              <w:bottom w:w="100" w:type="dxa"/>
              <w:right w:w="120" w:type="dxa"/>
            </w:tcMar>
          </w:tcPr>
          <w:p w14:paraId="7636F228" w14:textId="77777777" w:rsidR="009C0EC8" w:rsidRPr="00E511CA" w:rsidRDefault="009C0EC8" w:rsidP="009C0EC8">
            <w:pPr>
              <w:rPr>
                <w:color w:val="000000" w:themeColor="text1"/>
              </w:rPr>
            </w:pPr>
            <w:r w:rsidRPr="00E511CA">
              <w:rPr>
                <w:rFonts w:eastAsia="Calibri"/>
                <w:color w:val="000000" w:themeColor="text1"/>
              </w:rPr>
              <w:t>Analytics &amp; Reporting Dashboard</w:t>
            </w:r>
          </w:p>
        </w:tc>
        <w:tc>
          <w:tcPr>
            <w:tcW w:w="6800" w:type="dxa"/>
            <w:tcMar>
              <w:top w:w="100" w:type="dxa"/>
              <w:left w:w="120" w:type="dxa"/>
              <w:bottom w:w="100" w:type="dxa"/>
              <w:right w:w="120" w:type="dxa"/>
            </w:tcMar>
          </w:tcPr>
          <w:p w14:paraId="34F4EFAA" w14:textId="77777777" w:rsidR="009C0EC8" w:rsidRPr="00E511CA" w:rsidRDefault="009C0EC8" w:rsidP="009C0EC8">
            <w:pPr>
              <w:rPr>
                <w:color w:val="000000" w:themeColor="text1"/>
              </w:rPr>
            </w:pPr>
            <w:r w:rsidRPr="00E511CA">
              <w:rPr>
                <w:rFonts w:eastAsia="Calibri"/>
                <w:color w:val="000000" w:themeColor="text1"/>
              </w:rPr>
              <w:t>Provides trend analysis, wastage statistics, facility performance comparisons, and exportable summary reports for administrators.</w:t>
            </w:r>
          </w:p>
        </w:tc>
      </w:tr>
    </w:tbl>
    <w:p w14:paraId="62A8C74E" w14:textId="77777777" w:rsidR="00E511CA" w:rsidRPr="00E511CA" w:rsidRDefault="00E511CA" w:rsidP="00E511CA">
      <w:pPr>
        <w:spacing w:after="200"/>
        <w:rPr>
          <w:color w:val="000000" w:themeColor="text1"/>
        </w:rPr>
      </w:pPr>
    </w:p>
    <w:p w14:paraId="7FF2D6F8"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4.4 Functional Requirements</w:t>
      </w:r>
    </w:p>
    <w:p w14:paraId="222DEDEB"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The system shall capture temperature and humidity readings from each storage unit at a configurable interval (e.g., every 1–5 minutes).</w:t>
      </w:r>
    </w:p>
    <w:p w14:paraId="570D13BB"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The system shall trigger an alert within a defined threshold time (e.g., under 2 minutes) of detecting a temperature excursion.</w:t>
      </w:r>
    </w:p>
    <w:p w14:paraId="2BBAD217"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The system shall allow authorized users to configure alert thresholds per storage unit or vaccine type.</w:t>
      </w:r>
    </w:p>
    <w:p w14:paraId="391A7813"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The system shall provide a predictive maintenance score or risk indicator for each refrigeration unit based on historical trend analysis.</w:t>
      </w:r>
    </w:p>
    <w:p w14:paraId="477D41D3"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The system shall send notifications via mobile app, SMS, and email simultaneously for high-severity alerts.</w:t>
      </w:r>
    </w:p>
    <w:p w14:paraId="2B531C16"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 xml:space="preserve">The system shall maintain a complete, </w:t>
      </w:r>
      <w:proofErr w:type="spellStart"/>
      <w:r w:rsidRPr="00E511CA">
        <w:rPr>
          <w:rFonts w:eastAsia="Calibri"/>
          <w:color w:val="000000" w:themeColor="text1"/>
          <w:sz w:val="22"/>
          <w:szCs w:val="22"/>
        </w:rPr>
        <w:t>queryable</w:t>
      </w:r>
      <w:proofErr w:type="spellEnd"/>
      <w:r w:rsidRPr="00E511CA">
        <w:rPr>
          <w:rFonts w:eastAsia="Calibri"/>
          <w:color w:val="000000" w:themeColor="text1"/>
          <w:sz w:val="22"/>
          <w:szCs w:val="22"/>
        </w:rPr>
        <w:t xml:space="preserve"> historical log of all readings and events for a minimum retention period defined by regulatory requirements.</w:t>
      </w:r>
    </w:p>
    <w:p w14:paraId="2E694911"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The system shall generate compliance reports automatically on a configurable schedule (daily, weekly, monthly).</w:t>
      </w:r>
    </w:p>
    <w:p w14:paraId="1824D92F"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lastRenderedPageBreak/>
        <w:t>The system shall support role-based access so that different stakeholder groups see information relevant to their responsibilities.</w:t>
      </w:r>
    </w:p>
    <w:p w14:paraId="58ACA8E7"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The system shall allow facility staff to acknowledge alerts and log corrective actions taken.</w:t>
      </w:r>
    </w:p>
    <w:p w14:paraId="72D89509"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The system shall support onboarding of new facilities and storage units without requiring system downtime.</w:t>
      </w:r>
    </w:p>
    <w:p w14:paraId="79DA626B"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The system shall allow administrators to export historical data and reports in standard formats such as PDF and CSV.</w:t>
      </w:r>
    </w:p>
    <w:p w14:paraId="49FE8F4B"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The system shall support escalation rules so that unacknowledged critical alerts are automatically forwarded to a secondary contact after a configurable timeout.</w:t>
      </w:r>
    </w:p>
    <w:p w14:paraId="45CC03CB"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The system shall allow tagging of storage units with the specific vaccine types they hold, so that alert thresholds can be tailored accordingly.</w:t>
      </w:r>
    </w:p>
    <w:p w14:paraId="3EBA4A87"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4.5 Non-Functional Requirements</w:t>
      </w:r>
    </w:p>
    <w:p w14:paraId="0BC9F756"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Reliability: The platform shall maintain at least 99.9% uptime for monitoring and alerting services, given the safety-critical nature of the application.</w:t>
      </w:r>
    </w:p>
    <w:p w14:paraId="5E224CFF"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Scalability: The architecture shall support scaling from a handful of storage units to tens of thousands across hundreds of facilities without redesign.</w:t>
      </w:r>
    </w:p>
    <w:p w14:paraId="64F0B9A9"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Security: All data in transit and at rest shall be encrypted; access shall be protected through authentication and role-based authorization.</w:t>
      </w:r>
    </w:p>
    <w:p w14:paraId="020F7F3C"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Usability: Dashboards and mobile interfaces shall be intuitive enough for non-technical healthcare staff to use with minimal training.</w:t>
      </w:r>
    </w:p>
    <w:p w14:paraId="2790D76C"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Maintainability: The system shall be built using modular components that can be updated, patched, or replaced independently.</w:t>
      </w:r>
    </w:p>
    <w:p w14:paraId="7AA50DAB"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Interoperability: The system shall support integration with existing hospital information systems and vaccine inventory management systems.</w:t>
      </w:r>
    </w:p>
    <w:p w14:paraId="290A5C3F"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Performance: The system shall process and display incoming sensor data with a latency of no more than a few seconds under normal load.</w:t>
      </w:r>
    </w:p>
    <w:p w14:paraId="0D81B1EF" w14:textId="77777777" w:rsidR="00E511CA" w:rsidRPr="00344DC1"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Availability under low connectivity: Edge devices shall buffer data locally and resynchronize automatically once connectivity is restored.</w:t>
      </w:r>
    </w:p>
    <w:p w14:paraId="65F9A3D1" w14:textId="77777777" w:rsidR="00344DC1" w:rsidRDefault="00344DC1" w:rsidP="00344DC1">
      <w:pPr>
        <w:spacing w:after="100" w:line="276" w:lineRule="auto"/>
        <w:rPr>
          <w:color w:val="000000" w:themeColor="text1"/>
        </w:rPr>
      </w:pPr>
    </w:p>
    <w:p w14:paraId="750FBE5F" w14:textId="77777777" w:rsidR="00344DC1" w:rsidRDefault="00344DC1" w:rsidP="00344DC1">
      <w:pPr>
        <w:spacing w:after="100" w:line="276" w:lineRule="auto"/>
        <w:rPr>
          <w:color w:val="000000" w:themeColor="text1"/>
        </w:rPr>
      </w:pPr>
    </w:p>
    <w:p w14:paraId="4985F901" w14:textId="77777777" w:rsidR="00344DC1" w:rsidRDefault="00344DC1" w:rsidP="00344DC1">
      <w:pPr>
        <w:spacing w:after="100" w:line="276" w:lineRule="auto"/>
        <w:rPr>
          <w:color w:val="000000" w:themeColor="text1"/>
        </w:rPr>
      </w:pPr>
    </w:p>
    <w:p w14:paraId="45C4E9B8" w14:textId="77777777" w:rsidR="00344DC1" w:rsidRDefault="00344DC1" w:rsidP="00344DC1">
      <w:pPr>
        <w:spacing w:after="100" w:line="276" w:lineRule="auto"/>
        <w:rPr>
          <w:color w:val="000000" w:themeColor="text1"/>
        </w:rPr>
      </w:pPr>
    </w:p>
    <w:p w14:paraId="77FCB28D" w14:textId="77777777" w:rsidR="00344DC1" w:rsidRDefault="00344DC1" w:rsidP="00344DC1">
      <w:pPr>
        <w:spacing w:after="100" w:line="276" w:lineRule="auto"/>
        <w:rPr>
          <w:color w:val="000000" w:themeColor="text1"/>
        </w:rPr>
      </w:pPr>
    </w:p>
    <w:p w14:paraId="1BBC1504" w14:textId="77777777" w:rsidR="00344DC1" w:rsidRDefault="00344DC1" w:rsidP="00344DC1">
      <w:pPr>
        <w:spacing w:after="100" w:line="276" w:lineRule="auto"/>
        <w:rPr>
          <w:color w:val="000000" w:themeColor="text1"/>
        </w:rPr>
      </w:pPr>
    </w:p>
    <w:p w14:paraId="39EFC1CB" w14:textId="77777777" w:rsidR="00344DC1" w:rsidRDefault="00344DC1" w:rsidP="00344DC1">
      <w:pPr>
        <w:spacing w:after="100" w:line="276" w:lineRule="auto"/>
        <w:rPr>
          <w:color w:val="000000" w:themeColor="text1"/>
        </w:rPr>
      </w:pPr>
    </w:p>
    <w:p w14:paraId="600C31BF" w14:textId="77777777" w:rsidR="00344DC1" w:rsidRDefault="00344DC1" w:rsidP="00344DC1">
      <w:pPr>
        <w:spacing w:after="100" w:line="276" w:lineRule="auto"/>
        <w:rPr>
          <w:color w:val="000000" w:themeColor="text1"/>
        </w:rPr>
      </w:pPr>
    </w:p>
    <w:p w14:paraId="1AF2C433" w14:textId="77777777" w:rsidR="00344DC1" w:rsidRPr="00344DC1" w:rsidRDefault="00344DC1" w:rsidP="00344DC1">
      <w:pPr>
        <w:spacing w:after="100" w:line="276" w:lineRule="auto"/>
        <w:rPr>
          <w:color w:val="000000" w:themeColor="text1"/>
        </w:rPr>
      </w:pPr>
    </w:p>
    <w:p w14:paraId="4393D785"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lastRenderedPageBreak/>
        <w:t>4.6 Technology Stack</w:t>
      </w:r>
    </w:p>
    <w:p w14:paraId="0D9A97CC" w14:textId="2E099DD1" w:rsidR="00344DC1" w:rsidRPr="00344DC1" w:rsidRDefault="00E511CA" w:rsidP="00E511CA">
      <w:pPr>
        <w:spacing w:after="160" w:line="276" w:lineRule="auto"/>
        <w:jc w:val="both"/>
        <w:rPr>
          <w:rFonts w:eastAsia="Calibri"/>
          <w:color w:val="000000" w:themeColor="text1"/>
          <w:sz w:val="22"/>
          <w:szCs w:val="22"/>
        </w:rPr>
      </w:pPr>
      <w:r w:rsidRPr="00E511CA">
        <w:rPr>
          <w:rFonts w:eastAsia="Calibri"/>
          <w:color w:val="000000" w:themeColor="text1"/>
          <w:sz w:val="22"/>
          <w:szCs w:val="22"/>
        </w:rPr>
        <w:t>While the final technology choices would be refined during detailed design, the following stack is representative of the tools and platforms suited to building and operating this system at scale.</w:t>
      </w:r>
    </w:p>
    <w:p w14:paraId="5EB2CF23" w14:textId="77777777" w:rsidR="00344DC1" w:rsidRPr="00E511CA" w:rsidRDefault="00344DC1" w:rsidP="00E511CA">
      <w:pPr>
        <w:spacing w:after="160" w:line="276" w:lineRule="auto"/>
        <w:jc w:val="both"/>
        <w:rPr>
          <w:color w:val="000000" w:themeColor="text1"/>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9C0EC8" w:rsidRPr="00E511CA" w14:paraId="68B38116" w14:textId="77777777" w:rsidTr="000F60DA">
        <w:tc>
          <w:tcPr>
            <w:tcW w:w="2600" w:type="dxa"/>
            <w:tcMar>
              <w:top w:w="100" w:type="dxa"/>
              <w:left w:w="120" w:type="dxa"/>
              <w:bottom w:w="100" w:type="dxa"/>
              <w:right w:w="120" w:type="dxa"/>
            </w:tcMar>
          </w:tcPr>
          <w:p w14:paraId="3A44AF02" w14:textId="39094454" w:rsidR="009C0EC8" w:rsidRPr="00344DC1" w:rsidRDefault="00344DC1" w:rsidP="009C0EC8">
            <w:pPr>
              <w:ind w:firstLine="720"/>
              <w:rPr>
                <w:rFonts w:eastAsia="Calibri"/>
                <w:b/>
                <w:bCs/>
                <w:color w:val="000000" w:themeColor="text1"/>
                <w:sz w:val="22"/>
                <w:szCs w:val="22"/>
              </w:rPr>
            </w:pPr>
            <w:r w:rsidRPr="00344DC1">
              <w:rPr>
                <w:rFonts w:eastAsia="Calibri"/>
                <w:b/>
                <w:bCs/>
                <w:color w:val="000000" w:themeColor="text1"/>
                <w:sz w:val="22"/>
                <w:szCs w:val="22"/>
              </w:rPr>
              <w:t>LAYER</w:t>
            </w:r>
          </w:p>
        </w:tc>
        <w:tc>
          <w:tcPr>
            <w:tcW w:w="6800" w:type="dxa"/>
            <w:tcMar>
              <w:top w:w="100" w:type="dxa"/>
              <w:left w:w="120" w:type="dxa"/>
              <w:bottom w:w="100" w:type="dxa"/>
              <w:right w:w="120" w:type="dxa"/>
            </w:tcMar>
          </w:tcPr>
          <w:p w14:paraId="77FAB9B6" w14:textId="4ADEBE0A" w:rsidR="009C0EC8" w:rsidRPr="00344DC1" w:rsidRDefault="00344DC1" w:rsidP="00344DC1">
            <w:pPr>
              <w:jc w:val="center"/>
              <w:rPr>
                <w:rFonts w:eastAsia="Calibri"/>
                <w:b/>
                <w:bCs/>
                <w:color w:val="000000" w:themeColor="text1"/>
                <w:sz w:val="22"/>
                <w:szCs w:val="22"/>
              </w:rPr>
            </w:pPr>
            <w:r w:rsidRPr="00344DC1">
              <w:rPr>
                <w:rFonts w:eastAsia="Calibri"/>
                <w:b/>
                <w:bCs/>
                <w:color w:val="000000" w:themeColor="text1"/>
                <w:sz w:val="22"/>
                <w:szCs w:val="22"/>
              </w:rPr>
              <w:t>Representative Technologies</w:t>
            </w:r>
          </w:p>
        </w:tc>
      </w:tr>
      <w:tr w:rsidR="00E511CA" w:rsidRPr="00E511CA" w14:paraId="578E3C48" w14:textId="77777777" w:rsidTr="000F60DA">
        <w:tc>
          <w:tcPr>
            <w:tcW w:w="2600" w:type="dxa"/>
            <w:tcMar>
              <w:top w:w="100" w:type="dxa"/>
              <w:left w:w="120" w:type="dxa"/>
              <w:bottom w:w="100" w:type="dxa"/>
              <w:right w:w="120" w:type="dxa"/>
            </w:tcMar>
          </w:tcPr>
          <w:p w14:paraId="4369D665" w14:textId="77777777" w:rsidR="00E511CA" w:rsidRPr="00E511CA" w:rsidRDefault="00E511CA" w:rsidP="000F60DA">
            <w:pPr>
              <w:rPr>
                <w:color w:val="000000" w:themeColor="text1"/>
              </w:rPr>
            </w:pPr>
            <w:r w:rsidRPr="00E511CA">
              <w:rPr>
                <w:rFonts w:eastAsia="Calibri"/>
                <w:color w:val="000000" w:themeColor="text1"/>
              </w:rPr>
              <w:t>IoT Sensors &amp; Edge Hardware</w:t>
            </w:r>
          </w:p>
        </w:tc>
        <w:tc>
          <w:tcPr>
            <w:tcW w:w="6800" w:type="dxa"/>
            <w:tcMar>
              <w:top w:w="100" w:type="dxa"/>
              <w:left w:w="120" w:type="dxa"/>
              <w:bottom w:w="100" w:type="dxa"/>
              <w:right w:w="120" w:type="dxa"/>
            </w:tcMar>
          </w:tcPr>
          <w:p w14:paraId="4E52BFA0" w14:textId="77777777" w:rsidR="00E511CA" w:rsidRPr="00E511CA" w:rsidRDefault="00E511CA" w:rsidP="000F60DA">
            <w:pPr>
              <w:rPr>
                <w:color w:val="000000" w:themeColor="text1"/>
              </w:rPr>
            </w:pPr>
            <w:r w:rsidRPr="00E511CA">
              <w:rPr>
                <w:rFonts w:eastAsia="Calibri"/>
                <w:color w:val="000000" w:themeColor="text1"/>
              </w:rPr>
              <w:t>Digital temperature/humidity sensors (e.g., DHT22, DS18B20 class), door-contact sensors, power-monitoring modules, and a low-power microcontroller/gateway (e.g., ESP32 or industrial IoT gateway) for edge buffering.</w:t>
            </w:r>
          </w:p>
        </w:tc>
      </w:tr>
      <w:tr w:rsidR="00E511CA" w:rsidRPr="00E511CA" w14:paraId="72A484D1" w14:textId="77777777" w:rsidTr="000F60DA">
        <w:tc>
          <w:tcPr>
            <w:tcW w:w="2600" w:type="dxa"/>
            <w:tcMar>
              <w:top w:w="100" w:type="dxa"/>
              <w:left w:w="120" w:type="dxa"/>
              <w:bottom w:w="100" w:type="dxa"/>
              <w:right w:w="120" w:type="dxa"/>
            </w:tcMar>
          </w:tcPr>
          <w:p w14:paraId="06AB8A39" w14:textId="77777777" w:rsidR="00E511CA" w:rsidRPr="00E511CA" w:rsidRDefault="00E511CA" w:rsidP="000F60DA">
            <w:pPr>
              <w:rPr>
                <w:color w:val="000000" w:themeColor="text1"/>
              </w:rPr>
            </w:pPr>
            <w:r w:rsidRPr="00E511CA">
              <w:rPr>
                <w:rFonts w:eastAsia="Calibri"/>
                <w:color w:val="000000" w:themeColor="text1"/>
              </w:rPr>
              <w:t>Connectivity Protocol</w:t>
            </w:r>
          </w:p>
        </w:tc>
        <w:tc>
          <w:tcPr>
            <w:tcW w:w="6800" w:type="dxa"/>
            <w:tcMar>
              <w:top w:w="100" w:type="dxa"/>
              <w:left w:w="120" w:type="dxa"/>
              <w:bottom w:w="100" w:type="dxa"/>
              <w:right w:w="120" w:type="dxa"/>
            </w:tcMar>
          </w:tcPr>
          <w:p w14:paraId="7DE26E0B" w14:textId="77777777" w:rsidR="00E511CA" w:rsidRPr="00E511CA" w:rsidRDefault="00E511CA" w:rsidP="000F60DA">
            <w:pPr>
              <w:rPr>
                <w:color w:val="000000" w:themeColor="text1"/>
              </w:rPr>
            </w:pPr>
            <w:r w:rsidRPr="00E511CA">
              <w:rPr>
                <w:rFonts w:eastAsia="Calibri"/>
                <w:color w:val="000000" w:themeColor="text1"/>
              </w:rPr>
              <w:t>MQTT over TLS for lightweight, low-bandwidth, publish-subscribe messaging between edge devices and the cloud; HTTPS/REST for dashboard and mobile app APIs.</w:t>
            </w:r>
          </w:p>
        </w:tc>
      </w:tr>
      <w:tr w:rsidR="00E511CA" w:rsidRPr="00E511CA" w14:paraId="38BCAB18" w14:textId="77777777" w:rsidTr="000F60DA">
        <w:tc>
          <w:tcPr>
            <w:tcW w:w="2600" w:type="dxa"/>
            <w:tcMar>
              <w:top w:w="100" w:type="dxa"/>
              <w:left w:w="120" w:type="dxa"/>
              <w:bottom w:w="100" w:type="dxa"/>
              <w:right w:w="120" w:type="dxa"/>
            </w:tcMar>
          </w:tcPr>
          <w:p w14:paraId="2C884AA0" w14:textId="77777777" w:rsidR="00E511CA" w:rsidRPr="00E511CA" w:rsidRDefault="00E511CA" w:rsidP="000F60DA">
            <w:pPr>
              <w:rPr>
                <w:color w:val="000000" w:themeColor="text1"/>
              </w:rPr>
            </w:pPr>
            <w:r w:rsidRPr="00E511CA">
              <w:rPr>
                <w:rFonts w:eastAsia="Calibri"/>
                <w:color w:val="000000" w:themeColor="text1"/>
              </w:rPr>
              <w:t>Cloud Platform</w:t>
            </w:r>
          </w:p>
        </w:tc>
        <w:tc>
          <w:tcPr>
            <w:tcW w:w="6800" w:type="dxa"/>
            <w:tcMar>
              <w:top w:w="100" w:type="dxa"/>
              <w:left w:w="120" w:type="dxa"/>
              <w:bottom w:w="100" w:type="dxa"/>
              <w:right w:w="120" w:type="dxa"/>
            </w:tcMar>
          </w:tcPr>
          <w:p w14:paraId="03A3A9FB" w14:textId="77777777" w:rsidR="00E511CA" w:rsidRPr="00E511CA" w:rsidRDefault="00E511CA" w:rsidP="000F60DA">
            <w:pPr>
              <w:rPr>
                <w:color w:val="000000" w:themeColor="text1"/>
              </w:rPr>
            </w:pPr>
            <w:r w:rsidRPr="00E511CA">
              <w:rPr>
                <w:rFonts w:eastAsia="Calibri"/>
                <w:color w:val="000000" w:themeColor="text1"/>
              </w:rPr>
              <w:t>A public cloud provider (e.g., AWS, Azure, or GCP) offering managed IoT ingestion, container orchestration, and managed database services.</w:t>
            </w:r>
          </w:p>
        </w:tc>
      </w:tr>
      <w:tr w:rsidR="00E511CA" w:rsidRPr="00E511CA" w14:paraId="350BA350" w14:textId="77777777" w:rsidTr="000F60DA">
        <w:tc>
          <w:tcPr>
            <w:tcW w:w="2600" w:type="dxa"/>
            <w:tcMar>
              <w:top w:w="100" w:type="dxa"/>
              <w:left w:w="120" w:type="dxa"/>
              <w:bottom w:w="100" w:type="dxa"/>
              <w:right w:w="120" w:type="dxa"/>
            </w:tcMar>
          </w:tcPr>
          <w:p w14:paraId="38FC984D" w14:textId="77777777" w:rsidR="00E511CA" w:rsidRPr="00E511CA" w:rsidRDefault="00E511CA" w:rsidP="000F60DA">
            <w:pPr>
              <w:rPr>
                <w:color w:val="000000" w:themeColor="text1"/>
              </w:rPr>
            </w:pPr>
            <w:r w:rsidRPr="00E511CA">
              <w:rPr>
                <w:rFonts w:eastAsia="Calibri"/>
                <w:color w:val="000000" w:themeColor="text1"/>
              </w:rPr>
              <w:t>Backend Services</w:t>
            </w:r>
          </w:p>
        </w:tc>
        <w:tc>
          <w:tcPr>
            <w:tcW w:w="6800" w:type="dxa"/>
            <w:tcMar>
              <w:top w:w="100" w:type="dxa"/>
              <w:left w:w="120" w:type="dxa"/>
              <w:bottom w:w="100" w:type="dxa"/>
              <w:right w:w="120" w:type="dxa"/>
            </w:tcMar>
          </w:tcPr>
          <w:p w14:paraId="4D6BA0FB" w14:textId="77777777" w:rsidR="00E511CA" w:rsidRPr="00E511CA" w:rsidRDefault="00E511CA" w:rsidP="000F60DA">
            <w:pPr>
              <w:rPr>
                <w:color w:val="000000" w:themeColor="text1"/>
              </w:rPr>
            </w:pPr>
            <w:r w:rsidRPr="00E511CA">
              <w:rPr>
                <w:rFonts w:eastAsia="Calibri"/>
                <w:color w:val="000000" w:themeColor="text1"/>
              </w:rPr>
              <w:t>Microservices built with a language/framework such as Node.js, Java (Spring Boot), or Python (</w:t>
            </w:r>
            <w:proofErr w:type="spellStart"/>
            <w:r w:rsidRPr="00E511CA">
              <w:rPr>
                <w:rFonts w:eastAsia="Calibri"/>
                <w:color w:val="000000" w:themeColor="text1"/>
              </w:rPr>
              <w:t>FastAPI</w:t>
            </w:r>
            <w:proofErr w:type="spellEnd"/>
            <w:r w:rsidRPr="00E511CA">
              <w:rPr>
                <w:rFonts w:eastAsia="Calibri"/>
                <w:color w:val="000000" w:themeColor="text1"/>
              </w:rPr>
              <w:t>), containerized with Docker and orchestrated using Kubernetes.</w:t>
            </w:r>
          </w:p>
        </w:tc>
      </w:tr>
      <w:tr w:rsidR="00E511CA" w:rsidRPr="00E511CA" w14:paraId="4C393FF8" w14:textId="77777777" w:rsidTr="000F60DA">
        <w:tc>
          <w:tcPr>
            <w:tcW w:w="2600" w:type="dxa"/>
            <w:tcMar>
              <w:top w:w="100" w:type="dxa"/>
              <w:left w:w="120" w:type="dxa"/>
              <w:bottom w:w="100" w:type="dxa"/>
              <w:right w:w="120" w:type="dxa"/>
            </w:tcMar>
          </w:tcPr>
          <w:p w14:paraId="1A84FDA5" w14:textId="77777777" w:rsidR="00E511CA" w:rsidRPr="00E511CA" w:rsidRDefault="00E511CA" w:rsidP="000F60DA">
            <w:pPr>
              <w:rPr>
                <w:color w:val="000000" w:themeColor="text1"/>
              </w:rPr>
            </w:pPr>
            <w:r w:rsidRPr="00E511CA">
              <w:rPr>
                <w:rFonts w:eastAsia="Calibri"/>
                <w:color w:val="000000" w:themeColor="text1"/>
              </w:rPr>
              <w:t>Data Storage</w:t>
            </w:r>
          </w:p>
        </w:tc>
        <w:tc>
          <w:tcPr>
            <w:tcW w:w="6800" w:type="dxa"/>
            <w:tcMar>
              <w:top w:w="100" w:type="dxa"/>
              <w:left w:w="120" w:type="dxa"/>
              <w:bottom w:w="100" w:type="dxa"/>
              <w:right w:w="120" w:type="dxa"/>
            </w:tcMar>
          </w:tcPr>
          <w:p w14:paraId="7B0364A6" w14:textId="77777777" w:rsidR="00E511CA" w:rsidRPr="00E511CA" w:rsidRDefault="00E511CA" w:rsidP="000F60DA">
            <w:pPr>
              <w:rPr>
                <w:color w:val="000000" w:themeColor="text1"/>
              </w:rPr>
            </w:pPr>
            <w:r w:rsidRPr="00E511CA">
              <w:rPr>
                <w:rFonts w:eastAsia="Calibri"/>
                <w:color w:val="000000" w:themeColor="text1"/>
              </w:rPr>
              <w:t xml:space="preserve">A time-series database (e.g., </w:t>
            </w:r>
            <w:proofErr w:type="spellStart"/>
            <w:r w:rsidRPr="00E511CA">
              <w:rPr>
                <w:rFonts w:eastAsia="Calibri"/>
                <w:color w:val="000000" w:themeColor="text1"/>
              </w:rPr>
              <w:t>InfluxDB</w:t>
            </w:r>
            <w:proofErr w:type="spellEnd"/>
            <w:r w:rsidRPr="00E511CA">
              <w:rPr>
                <w:rFonts w:eastAsia="Calibri"/>
                <w:color w:val="000000" w:themeColor="text1"/>
              </w:rPr>
              <w:t xml:space="preserve"> or </w:t>
            </w:r>
            <w:proofErr w:type="spellStart"/>
            <w:r w:rsidRPr="00E511CA">
              <w:rPr>
                <w:rFonts w:eastAsia="Calibri"/>
                <w:color w:val="000000" w:themeColor="text1"/>
              </w:rPr>
              <w:t>TimescaleDB</w:t>
            </w:r>
            <w:proofErr w:type="spellEnd"/>
            <w:r w:rsidRPr="00E511CA">
              <w:rPr>
                <w:rFonts w:eastAsia="Calibri"/>
                <w:color w:val="000000" w:themeColor="text1"/>
              </w:rPr>
              <w:t>) for high-frequency sensor readings, and a relational database (e.g., PostgreSQL) for facility, user, and configuration data.</w:t>
            </w:r>
          </w:p>
        </w:tc>
      </w:tr>
      <w:tr w:rsidR="00E511CA" w:rsidRPr="00E511CA" w14:paraId="5C12C129" w14:textId="77777777" w:rsidTr="000F60DA">
        <w:tc>
          <w:tcPr>
            <w:tcW w:w="2600" w:type="dxa"/>
            <w:tcMar>
              <w:top w:w="100" w:type="dxa"/>
              <w:left w:w="120" w:type="dxa"/>
              <w:bottom w:w="100" w:type="dxa"/>
              <w:right w:w="120" w:type="dxa"/>
            </w:tcMar>
          </w:tcPr>
          <w:p w14:paraId="4B57FD1C" w14:textId="77777777" w:rsidR="00E511CA" w:rsidRPr="00E511CA" w:rsidRDefault="00E511CA" w:rsidP="000F60DA">
            <w:pPr>
              <w:rPr>
                <w:color w:val="000000" w:themeColor="text1"/>
              </w:rPr>
            </w:pPr>
            <w:r w:rsidRPr="00E511CA">
              <w:rPr>
                <w:rFonts w:eastAsia="Calibri"/>
                <w:color w:val="000000" w:themeColor="text1"/>
              </w:rPr>
              <w:t>Machine Learning</w:t>
            </w:r>
          </w:p>
        </w:tc>
        <w:tc>
          <w:tcPr>
            <w:tcW w:w="6800" w:type="dxa"/>
            <w:tcMar>
              <w:top w:w="100" w:type="dxa"/>
              <w:left w:w="120" w:type="dxa"/>
              <w:bottom w:w="100" w:type="dxa"/>
              <w:right w:w="120" w:type="dxa"/>
            </w:tcMar>
          </w:tcPr>
          <w:p w14:paraId="09960A38" w14:textId="77777777" w:rsidR="00E511CA" w:rsidRPr="00E511CA" w:rsidRDefault="00E511CA" w:rsidP="000F60DA">
            <w:pPr>
              <w:rPr>
                <w:color w:val="000000" w:themeColor="text1"/>
              </w:rPr>
            </w:pPr>
            <w:r w:rsidRPr="00E511CA">
              <w:rPr>
                <w:rFonts w:eastAsia="Calibri"/>
                <w:color w:val="000000" w:themeColor="text1"/>
              </w:rPr>
              <w:t>Python-based ML stack (e.g., scikit-learn, TensorFlow) for the predictive maintenance model, retrained periodically using an automated pipeline.</w:t>
            </w:r>
          </w:p>
        </w:tc>
      </w:tr>
      <w:tr w:rsidR="00E511CA" w:rsidRPr="00E511CA" w14:paraId="0703A094" w14:textId="77777777" w:rsidTr="000F60DA">
        <w:tc>
          <w:tcPr>
            <w:tcW w:w="2600" w:type="dxa"/>
            <w:tcMar>
              <w:top w:w="100" w:type="dxa"/>
              <w:left w:w="120" w:type="dxa"/>
              <w:bottom w:w="100" w:type="dxa"/>
              <w:right w:w="120" w:type="dxa"/>
            </w:tcMar>
          </w:tcPr>
          <w:p w14:paraId="56893249" w14:textId="77777777" w:rsidR="00E511CA" w:rsidRPr="00E511CA" w:rsidRDefault="00E511CA" w:rsidP="000F60DA">
            <w:pPr>
              <w:rPr>
                <w:color w:val="000000" w:themeColor="text1"/>
              </w:rPr>
            </w:pPr>
            <w:r w:rsidRPr="00E511CA">
              <w:rPr>
                <w:rFonts w:eastAsia="Calibri"/>
                <w:color w:val="000000" w:themeColor="text1"/>
              </w:rPr>
              <w:t>Notification Services</w:t>
            </w:r>
          </w:p>
        </w:tc>
        <w:tc>
          <w:tcPr>
            <w:tcW w:w="6800" w:type="dxa"/>
            <w:tcMar>
              <w:top w:w="100" w:type="dxa"/>
              <w:left w:w="120" w:type="dxa"/>
              <w:bottom w:w="100" w:type="dxa"/>
              <w:right w:w="120" w:type="dxa"/>
            </w:tcMar>
          </w:tcPr>
          <w:p w14:paraId="685B060A" w14:textId="77777777" w:rsidR="00E511CA" w:rsidRPr="00E511CA" w:rsidRDefault="00E511CA" w:rsidP="000F60DA">
            <w:pPr>
              <w:rPr>
                <w:color w:val="000000" w:themeColor="text1"/>
              </w:rPr>
            </w:pPr>
            <w:r w:rsidRPr="00E511CA">
              <w:rPr>
                <w:rFonts w:eastAsia="Calibri"/>
                <w:color w:val="000000" w:themeColor="text1"/>
              </w:rPr>
              <w:t>Push notification service for the mobile app, an SMS gateway provider, and an email delivery service integrated through the alerting microservice.</w:t>
            </w:r>
          </w:p>
        </w:tc>
      </w:tr>
      <w:tr w:rsidR="00E511CA" w:rsidRPr="00E511CA" w14:paraId="60AD5CE3" w14:textId="77777777" w:rsidTr="000F60DA">
        <w:tc>
          <w:tcPr>
            <w:tcW w:w="2600" w:type="dxa"/>
            <w:tcMar>
              <w:top w:w="100" w:type="dxa"/>
              <w:left w:w="120" w:type="dxa"/>
              <w:bottom w:w="100" w:type="dxa"/>
              <w:right w:w="120" w:type="dxa"/>
            </w:tcMar>
          </w:tcPr>
          <w:p w14:paraId="3133F34E" w14:textId="77777777" w:rsidR="00E511CA" w:rsidRPr="00E511CA" w:rsidRDefault="00E511CA" w:rsidP="000F60DA">
            <w:pPr>
              <w:rPr>
                <w:color w:val="000000" w:themeColor="text1"/>
              </w:rPr>
            </w:pPr>
            <w:r w:rsidRPr="00E511CA">
              <w:rPr>
                <w:rFonts w:eastAsia="Calibri"/>
                <w:color w:val="000000" w:themeColor="text1"/>
              </w:rPr>
              <w:t>Front-End</w:t>
            </w:r>
          </w:p>
        </w:tc>
        <w:tc>
          <w:tcPr>
            <w:tcW w:w="6800" w:type="dxa"/>
            <w:tcMar>
              <w:top w:w="100" w:type="dxa"/>
              <w:left w:w="120" w:type="dxa"/>
              <w:bottom w:w="100" w:type="dxa"/>
              <w:right w:w="120" w:type="dxa"/>
            </w:tcMar>
          </w:tcPr>
          <w:p w14:paraId="3109D140" w14:textId="77777777" w:rsidR="00E511CA" w:rsidRPr="00E511CA" w:rsidRDefault="00E511CA" w:rsidP="000F60DA">
            <w:pPr>
              <w:rPr>
                <w:color w:val="000000" w:themeColor="text1"/>
              </w:rPr>
            </w:pPr>
            <w:r w:rsidRPr="00E511CA">
              <w:rPr>
                <w:rFonts w:eastAsia="Calibri"/>
                <w:color w:val="000000" w:themeColor="text1"/>
              </w:rPr>
              <w:t>A responsive web dashboard built with a modern framework (e.g., React) and a cross-platform mobile application (e.g., Flutter or React Native).</w:t>
            </w:r>
          </w:p>
        </w:tc>
      </w:tr>
      <w:tr w:rsidR="00E511CA" w:rsidRPr="00E511CA" w14:paraId="174206E2" w14:textId="77777777" w:rsidTr="000F60DA">
        <w:tc>
          <w:tcPr>
            <w:tcW w:w="2600" w:type="dxa"/>
            <w:tcMar>
              <w:top w:w="100" w:type="dxa"/>
              <w:left w:w="120" w:type="dxa"/>
              <w:bottom w:w="100" w:type="dxa"/>
              <w:right w:w="120" w:type="dxa"/>
            </w:tcMar>
          </w:tcPr>
          <w:p w14:paraId="75D16C18" w14:textId="77777777" w:rsidR="00E511CA" w:rsidRPr="00E511CA" w:rsidRDefault="00E511CA" w:rsidP="000F60DA">
            <w:pPr>
              <w:rPr>
                <w:color w:val="000000" w:themeColor="text1"/>
              </w:rPr>
            </w:pPr>
            <w:r w:rsidRPr="00E511CA">
              <w:rPr>
                <w:rFonts w:eastAsia="Calibri"/>
                <w:color w:val="000000" w:themeColor="text1"/>
              </w:rPr>
              <w:t>DevOps &amp; Monitoring</w:t>
            </w:r>
          </w:p>
        </w:tc>
        <w:tc>
          <w:tcPr>
            <w:tcW w:w="6800" w:type="dxa"/>
            <w:tcMar>
              <w:top w:w="100" w:type="dxa"/>
              <w:left w:w="120" w:type="dxa"/>
              <w:bottom w:w="100" w:type="dxa"/>
              <w:right w:w="120" w:type="dxa"/>
            </w:tcMar>
          </w:tcPr>
          <w:p w14:paraId="7E2CC9AE" w14:textId="77777777" w:rsidR="00E511CA" w:rsidRPr="00E511CA" w:rsidRDefault="00E511CA" w:rsidP="000F60DA">
            <w:pPr>
              <w:rPr>
                <w:color w:val="000000" w:themeColor="text1"/>
              </w:rPr>
            </w:pPr>
            <w:r w:rsidRPr="00E511CA">
              <w:rPr>
                <w:rFonts w:eastAsia="Calibri"/>
                <w:color w:val="000000" w:themeColor="text1"/>
              </w:rPr>
              <w:t>CI/CD pipelines (e.g., GitHub Actions/Jenkins) for automated build, test, and deployment; monitoring and logging via tools such as Prometheus and Grafana.</w:t>
            </w:r>
          </w:p>
        </w:tc>
      </w:tr>
    </w:tbl>
    <w:p w14:paraId="5B0ECA84" w14:textId="77777777" w:rsidR="00E511CA" w:rsidRPr="00E511CA" w:rsidRDefault="00E511CA" w:rsidP="00E511CA">
      <w:pPr>
        <w:spacing w:after="200"/>
        <w:rPr>
          <w:color w:val="000000" w:themeColor="text1"/>
        </w:rPr>
      </w:pPr>
    </w:p>
    <w:p w14:paraId="617C0F8E"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4.7 Incorporating Core Software Engineering Principles</w:t>
      </w:r>
    </w:p>
    <w:p w14:paraId="6F6DA01C"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The proposed solution is deliberately architected around core software engineering principles to ensure it remains robust, extensible, and trustworthy in a healthcare context.</w:t>
      </w:r>
    </w:p>
    <w:p w14:paraId="5BA45718"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Modularity: The system is decomposed into loosely coupled modules — data acquisition, anomaly detection, predictive maintenance, alerting, logging, compliance, and access management — each independently developed, tested, and deployed via a microservices architecture. This allows individual modules to be updated (for example, retraining the predictive-maintenance model) without disrupting the rest of the platform.</w:t>
      </w:r>
    </w:p>
    <w:p w14:paraId="4AAE168D"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Scalability: A cloud-native, microservices-based architecture combined with a message-queue (e.g., MQTT/Kafka) for sensor data ingestion allows the platform to horizontally scale as the number of connected facilities and sensors grows, without degradation in alerting speed.</w:t>
      </w:r>
    </w:p>
    <w:p w14:paraId="13A3E91B"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lastRenderedPageBreak/>
        <w:t>Maintainability: Clear separation of concerns, well-documented APIs between modules, and automated test suites reduce the cost and risk of future enhancements, bug fixes, or regulatory updates.</w:t>
      </w:r>
    </w:p>
    <w:p w14:paraId="12326809"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Reliability: Redundant cloud infrastructure, automated failover, and edge-level data buffering ensure that transient network or server issues do not result in missed alerts or lost data — critical in a safety-sensitive domain.</w:t>
      </w:r>
    </w:p>
    <w:p w14:paraId="32CDCFBA"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Usability: A role-tailored, intuitive dashboard and mobile application ensure that healthcare staff with limited technical background can monitor status and respond to alerts effectively.</w:t>
      </w:r>
    </w:p>
    <w:p w14:paraId="1CA6DDBA"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Security: End-to-end encryption, role-based access control, secure device authentication for IoT sensors, and detailed audit logging protect the integrity and confidentiality of operational and compliance data.</w:t>
      </w:r>
    </w:p>
    <w:p w14:paraId="4894E32A" w14:textId="77777777" w:rsidR="00E511CA" w:rsidRPr="00E511CA" w:rsidRDefault="00E511CA" w:rsidP="00E511CA">
      <w:pPr>
        <w:rPr>
          <w:color w:val="000000" w:themeColor="text1"/>
        </w:rPr>
      </w:pPr>
      <w:r w:rsidRPr="00E511CA">
        <w:rPr>
          <w:color w:val="000000" w:themeColor="text1"/>
        </w:rPr>
        <w:br w:type="page"/>
      </w:r>
    </w:p>
    <w:p w14:paraId="12DB9DC0" w14:textId="77777777" w:rsidR="00E511CA" w:rsidRPr="00E511CA" w:rsidRDefault="00E511CA" w:rsidP="00E511CA">
      <w:pPr>
        <w:pStyle w:val="Heading1"/>
        <w:spacing w:before="360" w:after="200"/>
        <w:rPr>
          <w:color w:val="000000" w:themeColor="text1"/>
        </w:rPr>
      </w:pPr>
      <w:r w:rsidRPr="00E511CA">
        <w:rPr>
          <w:rFonts w:eastAsia="Calibri"/>
          <w:b/>
          <w:bCs/>
          <w:color w:val="000000" w:themeColor="text1"/>
        </w:rPr>
        <w:lastRenderedPageBreak/>
        <w:t>5. Justify the Chosen Methodology/Framework</w:t>
      </w:r>
    </w:p>
    <w:p w14:paraId="0E3F79E9"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5.1 Selected SDLC Model: Agile (Scrum Framework)</w:t>
      </w:r>
    </w:p>
    <w:p w14:paraId="3434AB19"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The Agile Scrum methodology, supported by DevOps practices for continuous integration and deployment, is selected as the most suitable development framework for the Intelligent Vaccine Cold Storage Monitoring System.</w:t>
      </w:r>
    </w:p>
    <w:p w14:paraId="6394B48C"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5.2 Justification for Choosing Agile/Scrum</w:t>
      </w:r>
    </w:p>
    <w:p w14:paraId="5ADF5039"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This project combines several characteristics that make Agile Scrum particularly well suited compared to a purely sequential model such as Waterfall:</w:t>
      </w:r>
    </w:p>
    <w:p w14:paraId="44159417"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 xml:space="preserve">Evolving requirements: Regulatory reporting formats, alert thresholds, and integration requirements with hospital information systems can change during development as more stakeholder feedback becomes available. </w:t>
      </w:r>
      <w:proofErr w:type="spellStart"/>
      <w:r w:rsidRPr="00E511CA">
        <w:rPr>
          <w:rFonts w:eastAsia="Calibri"/>
          <w:color w:val="000000" w:themeColor="text1"/>
          <w:sz w:val="22"/>
          <w:szCs w:val="22"/>
        </w:rPr>
        <w:t>Agile's</w:t>
      </w:r>
      <w:proofErr w:type="spellEnd"/>
      <w:r w:rsidRPr="00E511CA">
        <w:rPr>
          <w:rFonts w:eastAsia="Calibri"/>
          <w:color w:val="000000" w:themeColor="text1"/>
          <w:sz w:val="22"/>
          <w:szCs w:val="22"/>
        </w:rPr>
        <w:t xml:space="preserve"> iterative sprints allow such changes to be incorporated without derailing the overall project.</w:t>
      </w:r>
    </w:p>
    <w:p w14:paraId="0ADF1A17"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Multiple independent modules: Since the system is composed of clearly separable functional modules (data acquisition, anomaly detection, predictive maintenance, alerting, compliance reporting), these can be developed, tested, and delivered incrementally in parallel sprints, enabling early stakeholder feedback on working increments.</w:t>
      </w:r>
    </w:p>
    <w:p w14:paraId="2BF88EC4"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Need for early and continuous stakeholder validation: Because healthcare staff, compliance officers, and biomedical engineers all interact with the system differently, releasing working increments every 2–3 weeks allows their feedback to shape the product before large-scale rollout, reducing the risk of a mismatched final product.</w:t>
      </w:r>
    </w:p>
    <w:p w14:paraId="7989C7B2"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 xml:space="preserve">High reliability and safety requirements: </w:t>
      </w:r>
      <w:proofErr w:type="spellStart"/>
      <w:r w:rsidRPr="00E511CA">
        <w:rPr>
          <w:rFonts w:eastAsia="Calibri"/>
          <w:color w:val="000000" w:themeColor="text1"/>
          <w:sz w:val="22"/>
          <w:szCs w:val="22"/>
        </w:rPr>
        <w:t>Agile's</w:t>
      </w:r>
      <w:proofErr w:type="spellEnd"/>
      <w:r w:rsidRPr="00E511CA">
        <w:rPr>
          <w:rFonts w:eastAsia="Calibri"/>
          <w:color w:val="000000" w:themeColor="text1"/>
          <w:sz w:val="22"/>
          <w:szCs w:val="22"/>
        </w:rPr>
        <w:t xml:space="preserve"> emphasis on continuous testing, and DevOps' emphasis on continuous integration/continuous deployment (CI/CD) with automated regression testing, ensures that safety-critical alerting logic is validated frequently rather than only at the end of a long development cycle.</w:t>
      </w:r>
    </w:p>
    <w:p w14:paraId="35BEF758"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 xml:space="preserve">Machine learning component: The predictive maintenance model benefits from iterative refinement as more real-world sensor and failure data becomes available after deployment — a pattern that aligns naturally with </w:t>
      </w:r>
      <w:proofErr w:type="spellStart"/>
      <w:r w:rsidRPr="00E511CA">
        <w:rPr>
          <w:rFonts w:eastAsia="Calibri"/>
          <w:color w:val="000000" w:themeColor="text1"/>
          <w:sz w:val="22"/>
          <w:szCs w:val="22"/>
        </w:rPr>
        <w:t>Agile's</w:t>
      </w:r>
      <w:proofErr w:type="spellEnd"/>
      <w:r w:rsidRPr="00E511CA">
        <w:rPr>
          <w:rFonts w:eastAsia="Calibri"/>
          <w:color w:val="000000" w:themeColor="text1"/>
          <w:sz w:val="22"/>
          <w:szCs w:val="22"/>
        </w:rPr>
        <w:t xml:space="preserve"> iterative delivery and DevOps' continuous monitoring and retraining pipelines.</w:t>
      </w:r>
    </w:p>
    <w:p w14:paraId="7A23B239"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5.3 How the Methodology Supports Successful Development and Maintenance</w:t>
      </w:r>
    </w:p>
    <w:p w14:paraId="46792AF2"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Under this framework, the project would be organized into a product backlog prioritized by stakeholder value — for instance, delivering core temperature monitoring and alerting in the first few sprints, followed by predictive maintenance, and then automated compliance reporting. Each sprint concludes with a demonstrable increment reviewed with representative stakeholders (facility staff, compliance officers), ensuring continuous alignment between what is being built and what is actually needed.</w:t>
      </w:r>
    </w:p>
    <w:p w14:paraId="317151AB"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DevOps practices — automated build pipelines, containerized deployment (e.g., via Docker/Kubernetes), and continuous monitoring in production — further support the long-term maintenance of the system, allowing new facilities to be onboarded, bug fixes to be deployed rapidly, and the predictive maintenance model to be retrained and redeployed as new data accumulates, all with minimal disruption to facilities that depend on uninterrupted monitoring.</w:t>
      </w:r>
    </w:p>
    <w:p w14:paraId="6356D919"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lastRenderedPageBreak/>
        <w:t>5.4 Testing Strategy</w:t>
      </w:r>
    </w:p>
    <w:p w14:paraId="15D374F8"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Given the safety-critical nature of the platform, testing is treated as a continuous activity embedded within every sprint rather than a phase reserved for the end of development. A multi-layered testing strategy is adopted:</w:t>
      </w:r>
    </w:p>
    <w:p w14:paraId="6C3AFC3F"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Unit Testing: Individual functions and services (e.g., threshold-checking logic, alert routing) are covered by automated unit tests run on every code commit.</w:t>
      </w:r>
    </w:p>
    <w:p w14:paraId="2DEBF8E5"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Integration Testing: Verifies that microservices — ingestion, anomaly detection, notification, and reporting — correctly exchange data through defined APIs and message queues.</w:t>
      </w:r>
    </w:p>
    <w:p w14:paraId="50B83458"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System Testing: End-to-end scenarios simulate a full excursion event, from a sensor reading crossing a threshold to an alert reaching a staff member's phone, to validate the complete pipeline.</w:t>
      </w:r>
    </w:p>
    <w:p w14:paraId="45BCF4ED"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Hardware-in-the-Loop Testing: Physical IoT sensor nodes and gateways are tested under simulated failure conditions (e.g., power loss, network drop) to verify edge-buffering and resynchronization behavior.</w:t>
      </w:r>
    </w:p>
    <w:p w14:paraId="7D0D0395"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Performance and Load Testing: The platform is tested under simulated loads representing thousands of concurrently reporting storage units to validate latency and scalability targets.</w:t>
      </w:r>
    </w:p>
    <w:p w14:paraId="774F6303"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Security Testing: Penetration testing and vulnerability scanning are performed on APIs, authentication mechanisms, and data storage to identify and remediate weaknesses before deployment.</w:t>
      </w:r>
    </w:p>
    <w:p w14:paraId="3B965BE8"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User Acceptance Testing (UAT): Representative facility staff, managers, and compliance officers validate each major release against real-world workflows before it is rolled out broadly.</w:t>
      </w:r>
    </w:p>
    <w:p w14:paraId="1250A9D4" w14:textId="77777777" w:rsidR="00E511CA" w:rsidRPr="00E511CA" w:rsidRDefault="00E511CA" w:rsidP="00E511CA">
      <w:pPr>
        <w:rPr>
          <w:color w:val="000000" w:themeColor="text1"/>
        </w:rPr>
      </w:pPr>
      <w:r w:rsidRPr="00E511CA">
        <w:rPr>
          <w:color w:val="000000" w:themeColor="text1"/>
        </w:rPr>
        <w:br w:type="page"/>
      </w:r>
    </w:p>
    <w:p w14:paraId="3B8FD5A0" w14:textId="77777777" w:rsidR="00E511CA" w:rsidRPr="00E511CA" w:rsidRDefault="00E511CA" w:rsidP="00E511CA">
      <w:pPr>
        <w:pStyle w:val="Heading1"/>
        <w:spacing w:before="360" w:after="200"/>
        <w:rPr>
          <w:color w:val="000000" w:themeColor="text1"/>
        </w:rPr>
      </w:pPr>
      <w:r w:rsidRPr="00E511CA">
        <w:rPr>
          <w:rFonts w:eastAsia="Calibri"/>
          <w:b/>
          <w:bCs/>
          <w:color w:val="000000" w:themeColor="text1"/>
        </w:rPr>
        <w:lastRenderedPageBreak/>
        <w:t>6. Discuss Expected Outcomes and Limitations</w:t>
      </w:r>
    </w:p>
    <w:p w14:paraId="18032A07"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6.1 Expected Benefits</w:t>
      </w:r>
    </w:p>
    <w:p w14:paraId="4C700C49"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Significant reduction in vaccine wastage due to early detection of temperature excursions, preventing spoilage before it occurs.</w:t>
      </w:r>
    </w:p>
    <w:p w14:paraId="019419C6"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Improved regulatory compliance through automated, accurate, and tamper-evident reporting, reducing administrative burden on staff.</w:t>
      </w:r>
    </w:p>
    <w:p w14:paraId="29AD7ED2"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Faster response to equipment failures through predictive maintenance alerts, minimizing downtime of critical refrigeration units.</w:t>
      </w:r>
    </w:p>
    <w:p w14:paraId="7FE71979"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Enhanced visibility for administrators and managers across multiple facilities via a centralized real-time dashboard.</w:t>
      </w:r>
    </w:p>
    <w:p w14:paraId="5FC944D5"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Reduced operational costs over time from fewer discarded vaccine doses and more efficient, condition-based equipment maintenance.</w:t>
      </w:r>
    </w:p>
    <w:p w14:paraId="47628A00"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Increased patient safety and public health outcomes, as a more reliable cold chain ensures vaccines retain full potency when administered.</w:t>
      </w:r>
    </w:p>
    <w:p w14:paraId="2A550E0C"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A reliable, auditable historical record that simplifies inspections and builds trust with regulatory authorities.</w:t>
      </w:r>
    </w:p>
    <w:p w14:paraId="1C08B95B" w14:textId="77777777" w:rsidR="00E511CA" w:rsidRPr="00E511CA" w:rsidRDefault="00E511CA" w:rsidP="00E511CA">
      <w:pPr>
        <w:pStyle w:val="ListParagraph"/>
        <w:numPr>
          <w:ilvl w:val="0"/>
          <w:numId w:val="6"/>
        </w:numPr>
        <w:spacing w:after="100" w:line="276" w:lineRule="auto"/>
        <w:rPr>
          <w:color w:val="000000" w:themeColor="text1"/>
        </w:rPr>
      </w:pPr>
      <w:r w:rsidRPr="00E511CA">
        <w:rPr>
          <w:rFonts w:eastAsia="Calibri"/>
          <w:color w:val="000000" w:themeColor="text1"/>
          <w:sz w:val="22"/>
          <w:szCs w:val="22"/>
        </w:rPr>
        <w:t>A scalable platform that can extend cold-chain monitoring benefits to a growing number of healthcare facilities, including remote and underserved areas.</w:t>
      </w:r>
    </w:p>
    <w:p w14:paraId="15BB871E"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6.2 How the Solution Addresses Identified Challenges</w:t>
      </w:r>
    </w:p>
    <w:p w14:paraId="563B4012" w14:textId="77777777" w:rsidR="00E511CA" w:rsidRDefault="00E511CA" w:rsidP="00E511CA">
      <w:pPr>
        <w:spacing w:after="160" w:line="276" w:lineRule="auto"/>
        <w:jc w:val="both"/>
        <w:rPr>
          <w:rFonts w:eastAsia="Calibri"/>
          <w:color w:val="000000" w:themeColor="text1"/>
          <w:sz w:val="22"/>
          <w:szCs w:val="22"/>
        </w:rPr>
      </w:pPr>
      <w:r w:rsidRPr="00E511CA">
        <w:rPr>
          <w:rFonts w:eastAsia="Calibri"/>
          <w:color w:val="000000" w:themeColor="text1"/>
          <w:sz w:val="22"/>
          <w:szCs w:val="22"/>
        </w:rPr>
        <w:t>The proposed platform directly targets the gaps identified in the current-system analysis. Continuous IoT monitoring replaces periodic manual checks, closing the detection-delay gap. Centralized dashboards give managers and administrators the multi-facility visibility that siloed paper logs and stand-alone loggers cannot provide. The predictive maintenance engine shifts biomedical engineers from a reactive to a preventive maintenance posture. Automated compliance reporting removes the manual, error-prone burden from facility managers, while edge-level data buffering addresses the connectivity limitations faced by remote vaccination centers.</w:t>
      </w:r>
    </w:p>
    <w:p w14:paraId="75E2A92A" w14:textId="77777777" w:rsidR="000E08D5" w:rsidRDefault="000E08D5" w:rsidP="00E511CA">
      <w:pPr>
        <w:spacing w:after="160" w:line="276" w:lineRule="auto"/>
        <w:jc w:val="both"/>
        <w:rPr>
          <w:rFonts w:eastAsia="Calibri"/>
          <w:color w:val="000000" w:themeColor="text1"/>
          <w:sz w:val="22"/>
          <w:szCs w:val="22"/>
        </w:rPr>
      </w:pPr>
    </w:p>
    <w:p w14:paraId="477D98F7" w14:textId="77777777" w:rsidR="000E08D5" w:rsidRDefault="000E08D5" w:rsidP="00E511CA">
      <w:pPr>
        <w:spacing w:after="160" w:line="276" w:lineRule="auto"/>
        <w:jc w:val="both"/>
        <w:rPr>
          <w:rFonts w:eastAsia="Calibri"/>
          <w:color w:val="000000" w:themeColor="text1"/>
          <w:sz w:val="22"/>
          <w:szCs w:val="22"/>
        </w:rPr>
      </w:pPr>
    </w:p>
    <w:p w14:paraId="24138889" w14:textId="77777777" w:rsidR="000E08D5" w:rsidRDefault="000E08D5" w:rsidP="00E511CA">
      <w:pPr>
        <w:spacing w:after="160" w:line="276" w:lineRule="auto"/>
        <w:jc w:val="both"/>
        <w:rPr>
          <w:rFonts w:eastAsia="Calibri"/>
          <w:color w:val="000000" w:themeColor="text1"/>
          <w:sz w:val="22"/>
          <w:szCs w:val="22"/>
        </w:rPr>
      </w:pPr>
    </w:p>
    <w:p w14:paraId="1D4946CF" w14:textId="77777777" w:rsidR="000E08D5" w:rsidRDefault="000E08D5" w:rsidP="00E511CA">
      <w:pPr>
        <w:spacing w:after="160" w:line="276" w:lineRule="auto"/>
        <w:jc w:val="both"/>
        <w:rPr>
          <w:rFonts w:eastAsia="Calibri"/>
          <w:color w:val="000000" w:themeColor="text1"/>
          <w:sz w:val="22"/>
          <w:szCs w:val="22"/>
        </w:rPr>
      </w:pPr>
    </w:p>
    <w:p w14:paraId="4AED113B" w14:textId="77777777" w:rsidR="000E08D5" w:rsidRDefault="000E08D5" w:rsidP="00E511CA">
      <w:pPr>
        <w:spacing w:after="160" w:line="276" w:lineRule="auto"/>
        <w:jc w:val="both"/>
        <w:rPr>
          <w:rFonts w:eastAsia="Calibri"/>
          <w:color w:val="000000" w:themeColor="text1"/>
          <w:sz w:val="22"/>
          <w:szCs w:val="22"/>
        </w:rPr>
      </w:pPr>
    </w:p>
    <w:p w14:paraId="34C83FC4" w14:textId="77777777" w:rsidR="000E08D5" w:rsidRDefault="000E08D5" w:rsidP="00E511CA">
      <w:pPr>
        <w:spacing w:after="160" w:line="276" w:lineRule="auto"/>
        <w:jc w:val="both"/>
        <w:rPr>
          <w:rFonts w:eastAsia="Calibri"/>
          <w:color w:val="000000" w:themeColor="text1"/>
          <w:sz w:val="22"/>
          <w:szCs w:val="22"/>
        </w:rPr>
      </w:pPr>
    </w:p>
    <w:p w14:paraId="025BF46E" w14:textId="77777777" w:rsidR="000E08D5" w:rsidRDefault="000E08D5" w:rsidP="00E511CA">
      <w:pPr>
        <w:spacing w:after="160" w:line="276" w:lineRule="auto"/>
        <w:jc w:val="both"/>
        <w:rPr>
          <w:rFonts w:eastAsia="Calibri"/>
          <w:color w:val="000000" w:themeColor="text1"/>
          <w:sz w:val="22"/>
          <w:szCs w:val="22"/>
        </w:rPr>
      </w:pPr>
    </w:p>
    <w:p w14:paraId="10144EE0" w14:textId="77777777" w:rsidR="000E08D5" w:rsidRDefault="000E08D5" w:rsidP="00E511CA">
      <w:pPr>
        <w:spacing w:after="160" w:line="276" w:lineRule="auto"/>
        <w:jc w:val="both"/>
        <w:rPr>
          <w:rFonts w:eastAsia="Calibri"/>
          <w:color w:val="000000" w:themeColor="text1"/>
          <w:sz w:val="22"/>
          <w:szCs w:val="22"/>
        </w:rPr>
      </w:pPr>
    </w:p>
    <w:p w14:paraId="28BC7D62" w14:textId="77777777" w:rsidR="000E08D5" w:rsidRPr="00E511CA" w:rsidRDefault="000E08D5" w:rsidP="00E511CA">
      <w:pPr>
        <w:spacing w:after="160" w:line="276" w:lineRule="auto"/>
        <w:jc w:val="both"/>
        <w:rPr>
          <w:color w:val="000000" w:themeColor="text1"/>
        </w:rPr>
      </w:pPr>
    </w:p>
    <w:p w14:paraId="3A15D8E4"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lastRenderedPageBreak/>
        <w:t>6.3 Risk Management: Potential Risks, Implementation Challenges, and Limitations</w:t>
      </w:r>
    </w:p>
    <w:p w14:paraId="732E814F" w14:textId="77777777" w:rsidR="00E511CA" w:rsidRDefault="00E511CA" w:rsidP="00E511CA">
      <w:pPr>
        <w:spacing w:after="160" w:line="276" w:lineRule="auto"/>
        <w:jc w:val="both"/>
        <w:rPr>
          <w:rFonts w:eastAsia="Calibri"/>
          <w:color w:val="000000" w:themeColor="text1"/>
          <w:sz w:val="22"/>
          <w:szCs w:val="22"/>
        </w:rPr>
      </w:pPr>
      <w:r w:rsidRPr="00E511CA">
        <w:rPr>
          <w:rFonts w:eastAsia="Calibri"/>
          <w:color w:val="000000" w:themeColor="text1"/>
          <w:sz w:val="22"/>
          <w:szCs w:val="22"/>
        </w:rPr>
        <w:t>The table below summarizes the principal risks associated with implementing the platform, along with their likelihood, potential impact, and proposed mitigation strategy.</w:t>
      </w:r>
    </w:p>
    <w:p w14:paraId="47ED3479" w14:textId="77777777" w:rsidR="000E08D5" w:rsidRPr="00E511CA" w:rsidRDefault="000E08D5" w:rsidP="00E511CA">
      <w:pPr>
        <w:spacing w:after="160" w:line="276" w:lineRule="auto"/>
        <w:jc w:val="both"/>
        <w:rPr>
          <w:color w:val="000000" w:themeColor="text1"/>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3400"/>
      </w:tblGrid>
      <w:tr w:rsidR="00344DC1" w:rsidRPr="00E511CA" w14:paraId="4B0C4693" w14:textId="77777777" w:rsidTr="000F60DA">
        <w:tc>
          <w:tcPr>
            <w:tcW w:w="2600" w:type="dxa"/>
            <w:tcMar>
              <w:top w:w="100" w:type="dxa"/>
              <w:left w:w="120" w:type="dxa"/>
              <w:bottom w:w="100" w:type="dxa"/>
              <w:right w:w="120" w:type="dxa"/>
            </w:tcMar>
          </w:tcPr>
          <w:p w14:paraId="08888E78" w14:textId="3DD4774C" w:rsidR="00344DC1" w:rsidRPr="00E511CA" w:rsidRDefault="00344DC1" w:rsidP="00344DC1">
            <w:pPr>
              <w:rPr>
                <w:color w:val="000000" w:themeColor="text1"/>
              </w:rPr>
            </w:pPr>
            <w:r w:rsidRPr="00E511CA">
              <w:rPr>
                <w:rFonts w:eastAsia="Calibri"/>
                <w:b/>
                <w:bCs/>
                <w:color w:val="000000" w:themeColor="text1"/>
              </w:rPr>
              <w:t>Risk / Challenge</w:t>
            </w:r>
          </w:p>
        </w:tc>
        <w:tc>
          <w:tcPr>
            <w:tcW w:w="1400" w:type="dxa"/>
            <w:tcMar>
              <w:top w:w="100" w:type="dxa"/>
              <w:left w:w="120" w:type="dxa"/>
              <w:bottom w:w="100" w:type="dxa"/>
              <w:right w:w="120" w:type="dxa"/>
            </w:tcMar>
          </w:tcPr>
          <w:p w14:paraId="79CE576C" w14:textId="1AF17D2C" w:rsidR="00344DC1" w:rsidRPr="00E511CA" w:rsidRDefault="00344DC1" w:rsidP="00344DC1">
            <w:pPr>
              <w:rPr>
                <w:color w:val="000000" w:themeColor="text1"/>
              </w:rPr>
            </w:pPr>
            <w:r w:rsidRPr="00E511CA">
              <w:rPr>
                <w:rFonts w:eastAsia="Calibri"/>
                <w:b/>
                <w:bCs/>
                <w:color w:val="000000" w:themeColor="text1"/>
              </w:rPr>
              <w:t>Likelihood</w:t>
            </w:r>
          </w:p>
        </w:tc>
        <w:tc>
          <w:tcPr>
            <w:tcW w:w="1400" w:type="dxa"/>
            <w:tcMar>
              <w:top w:w="100" w:type="dxa"/>
              <w:left w:w="120" w:type="dxa"/>
              <w:bottom w:w="100" w:type="dxa"/>
              <w:right w:w="120" w:type="dxa"/>
            </w:tcMar>
          </w:tcPr>
          <w:p w14:paraId="7BFCD586" w14:textId="3D5BBD4D" w:rsidR="00344DC1" w:rsidRPr="00E511CA" w:rsidRDefault="00344DC1" w:rsidP="00344DC1">
            <w:pPr>
              <w:rPr>
                <w:color w:val="000000" w:themeColor="text1"/>
              </w:rPr>
            </w:pPr>
            <w:r w:rsidRPr="00E511CA">
              <w:rPr>
                <w:rFonts w:eastAsia="Calibri"/>
                <w:b/>
                <w:bCs/>
                <w:color w:val="000000" w:themeColor="text1"/>
              </w:rPr>
              <w:t>Impact</w:t>
            </w:r>
          </w:p>
        </w:tc>
        <w:tc>
          <w:tcPr>
            <w:tcW w:w="3400" w:type="dxa"/>
            <w:tcMar>
              <w:top w:w="100" w:type="dxa"/>
              <w:left w:w="120" w:type="dxa"/>
              <w:bottom w:w="100" w:type="dxa"/>
              <w:right w:w="120" w:type="dxa"/>
            </w:tcMar>
          </w:tcPr>
          <w:p w14:paraId="2D98694C" w14:textId="037A1548" w:rsidR="00344DC1" w:rsidRPr="00E511CA" w:rsidRDefault="00344DC1" w:rsidP="00344DC1">
            <w:pPr>
              <w:rPr>
                <w:color w:val="000000" w:themeColor="text1"/>
              </w:rPr>
            </w:pPr>
            <w:r w:rsidRPr="00E511CA">
              <w:rPr>
                <w:rFonts w:eastAsia="Calibri"/>
                <w:b/>
                <w:bCs/>
                <w:color w:val="000000" w:themeColor="text1"/>
              </w:rPr>
              <w:t>Mitigation Strategy</w:t>
            </w:r>
          </w:p>
        </w:tc>
      </w:tr>
      <w:tr w:rsidR="00344DC1" w:rsidRPr="00E511CA" w14:paraId="1997541B" w14:textId="77777777" w:rsidTr="000F60DA">
        <w:tc>
          <w:tcPr>
            <w:tcW w:w="2600" w:type="dxa"/>
            <w:tcMar>
              <w:top w:w="100" w:type="dxa"/>
              <w:left w:w="120" w:type="dxa"/>
              <w:bottom w:w="100" w:type="dxa"/>
              <w:right w:w="120" w:type="dxa"/>
            </w:tcMar>
          </w:tcPr>
          <w:p w14:paraId="6DC33CC8" w14:textId="5374503A" w:rsidR="00344DC1" w:rsidRPr="00E511CA" w:rsidRDefault="00344DC1" w:rsidP="00344DC1">
            <w:pPr>
              <w:rPr>
                <w:rFonts w:eastAsia="Calibri"/>
                <w:color w:val="000000" w:themeColor="text1"/>
              </w:rPr>
            </w:pPr>
            <w:r w:rsidRPr="00E511CA">
              <w:rPr>
                <w:rFonts w:eastAsia="Calibri"/>
                <w:color w:val="000000" w:themeColor="text1"/>
              </w:rPr>
              <w:t>High initial capital and installation cost of IoT sensors and gateways</w:t>
            </w:r>
          </w:p>
        </w:tc>
        <w:tc>
          <w:tcPr>
            <w:tcW w:w="1400" w:type="dxa"/>
            <w:tcMar>
              <w:top w:w="100" w:type="dxa"/>
              <w:left w:w="120" w:type="dxa"/>
              <w:bottom w:w="100" w:type="dxa"/>
              <w:right w:w="120" w:type="dxa"/>
            </w:tcMar>
          </w:tcPr>
          <w:p w14:paraId="75FFABE8" w14:textId="3036A001" w:rsidR="00344DC1" w:rsidRPr="00E511CA" w:rsidRDefault="00344DC1" w:rsidP="00344DC1">
            <w:pPr>
              <w:rPr>
                <w:rFonts w:eastAsia="Calibri"/>
                <w:color w:val="000000" w:themeColor="text1"/>
              </w:rPr>
            </w:pPr>
            <w:r w:rsidRPr="00E511CA">
              <w:rPr>
                <w:rFonts w:eastAsia="Calibri"/>
                <w:color w:val="000000" w:themeColor="text1"/>
              </w:rPr>
              <w:t>Medium</w:t>
            </w:r>
          </w:p>
        </w:tc>
        <w:tc>
          <w:tcPr>
            <w:tcW w:w="1400" w:type="dxa"/>
            <w:tcMar>
              <w:top w:w="100" w:type="dxa"/>
              <w:left w:w="120" w:type="dxa"/>
              <w:bottom w:w="100" w:type="dxa"/>
              <w:right w:w="120" w:type="dxa"/>
            </w:tcMar>
          </w:tcPr>
          <w:p w14:paraId="6C72C8CF" w14:textId="3AA52586" w:rsidR="00344DC1" w:rsidRPr="00E511CA" w:rsidRDefault="00344DC1" w:rsidP="00344DC1">
            <w:pPr>
              <w:rPr>
                <w:rFonts w:eastAsia="Calibri"/>
                <w:color w:val="000000" w:themeColor="text1"/>
              </w:rPr>
            </w:pPr>
            <w:r w:rsidRPr="00E511CA">
              <w:rPr>
                <w:rFonts w:eastAsia="Calibri"/>
                <w:color w:val="000000" w:themeColor="text1"/>
              </w:rPr>
              <w:t>High</w:t>
            </w:r>
          </w:p>
        </w:tc>
        <w:tc>
          <w:tcPr>
            <w:tcW w:w="3400" w:type="dxa"/>
            <w:tcMar>
              <w:top w:w="100" w:type="dxa"/>
              <w:left w:w="120" w:type="dxa"/>
              <w:bottom w:w="100" w:type="dxa"/>
              <w:right w:w="120" w:type="dxa"/>
            </w:tcMar>
          </w:tcPr>
          <w:p w14:paraId="0A8E8BD6" w14:textId="6C9D5361" w:rsidR="00344DC1" w:rsidRPr="00E511CA" w:rsidRDefault="00344DC1" w:rsidP="00344DC1">
            <w:pPr>
              <w:rPr>
                <w:rFonts w:eastAsia="Calibri"/>
                <w:color w:val="000000" w:themeColor="text1"/>
              </w:rPr>
            </w:pPr>
            <w:r w:rsidRPr="00E511CA">
              <w:rPr>
                <w:rFonts w:eastAsia="Calibri"/>
                <w:color w:val="000000" w:themeColor="text1"/>
              </w:rPr>
              <w:t>Phased rollout starting with high-risk facilities; explore subsidized hardware or leasing models for smaller clinics.</w:t>
            </w:r>
          </w:p>
        </w:tc>
      </w:tr>
      <w:tr w:rsidR="00344DC1" w:rsidRPr="00E511CA" w14:paraId="58B05446" w14:textId="77777777" w:rsidTr="000F60DA">
        <w:tc>
          <w:tcPr>
            <w:tcW w:w="2600" w:type="dxa"/>
            <w:tcMar>
              <w:top w:w="100" w:type="dxa"/>
              <w:left w:w="120" w:type="dxa"/>
              <w:bottom w:w="100" w:type="dxa"/>
              <w:right w:w="120" w:type="dxa"/>
            </w:tcMar>
          </w:tcPr>
          <w:p w14:paraId="30FC578F" w14:textId="77777777" w:rsidR="00344DC1" w:rsidRPr="00E511CA" w:rsidRDefault="00344DC1" w:rsidP="00344DC1">
            <w:pPr>
              <w:rPr>
                <w:color w:val="000000" w:themeColor="text1"/>
              </w:rPr>
            </w:pPr>
            <w:r w:rsidRPr="00E511CA">
              <w:rPr>
                <w:rFonts w:eastAsia="Calibri"/>
                <w:color w:val="000000" w:themeColor="text1"/>
              </w:rPr>
              <w:t>Dependence on network connectivity for real-time alerting</w:t>
            </w:r>
          </w:p>
        </w:tc>
        <w:tc>
          <w:tcPr>
            <w:tcW w:w="1400" w:type="dxa"/>
            <w:tcMar>
              <w:top w:w="100" w:type="dxa"/>
              <w:left w:w="120" w:type="dxa"/>
              <w:bottom w:w="100" w:type="dxa"/>
              <w:right w:w="120" w:type="dxa"/>
            </w:tcMar>
          </w:tcPr>
          <w:p w14:paraId="5BB7E0D7" w14:textId="77777777" w:rsidR="00344DC1" w:rsidRPr="00E511CA" w:rsidRDefault="00344DC1" w:rsidP="00344DC1">
            <w:pPr>
              <w:rPr>
                <w:color w:val="000000" w:themeColor="text1"/>
              </w:rPr>
            </w:pPr>
            <w:r w:rsidRPr="00E511CA">
              <w:rPr>
                <w:rFonts w:eastAsia="Calibri"/>
                <w:color w:val="000000" w:themeColor="text1"/>
              </w:rPr>
              <w:t>Medium</w:t>
            </w:r>
          </w:p>
        </w:tc>
        <w:tc>
          <w:tcPr>
            <w:tcW w:w="1400" w:type="dxa"/>
            <w:tcMar>
              <w:top w:w="100" w:type="dxa"/>
              <w:left w:w="120" w:type="dxa"/>
              <w:bottom w:w="100" w:type="dxa"/>
              <w:right w:w="120" w:type="dxa"/>
            </w:tcMar>
          </w:tcPr>
          <w:p w14:paraId="3839746B" w14:textId="77777777" w:rsidR="00344DC1" w:rsidRPr="00E511CA" w:rsidRDefault="00344DC1" w:rsidP="00344DC1">
            <w:pPr>
              <w:rPr>
                <w:color w:val="000000" w:themeColor="text1"/>
              </w:rPr>
            </w:pPr>
            <w:r w:rsidRPr="00E511CA">
              <w:rPr>
                <w:rFonts w:eastAsia="Calibri"/>
                <w:color w:val="000000" w:themeColor="text1"/>
              </w:rPr>
              <w:t>Medium</w:t>
            </w:r>
          </w:p>
        </w:tc>
        <w:tc>
          <w:tcPr>
            <w:tcW w:w="3400" w:type="dxa"/>
            <w:tcMar>
              <w:top w:w="100" w:type="dxa"/>
              <w:left w:w="120" w:type="dxa"/>
              <w:bottom w:w="100" w:type="dxa"/>
              <w:right w:w="120" w:type="dxa"/>
            </w:tcMar>
          </w:tcPr>
          <w:p w14:paraId="0F33FE52" w14:textId="77777777" w:rsidR="00344DC1" w:rsidRPr="00E511CA" w:rsidRDefault="00344DC1" w:rsidP="00344DC1">
            <w:pPr>
              <w:rPr>
                <w:color w:val="000000" w:themeColor="text1"/>
              </w:rPr>
            </w:pPr>
            <w:r w:rsidRPr="00E511CA">
              <w:rPr>
                <w:rFonts w:eastAsia="Calibri"/>
                <w:color w:val="000000" w:themeColor="text1"/>
              </w:rPr>
              <w:t>Edge-level buffering and local alarms ensure basic protection continues during outages; prioritize LPWAN in low-connectivity areas.</w:t>
            </w:r>
          </w:p>
        </w:tc>
      </w:tr>
      <w:tr w:rsidR="00344DC1" w:rsidRPr="00E511CA" w14:paraId="18D57EB9" w14:textId="77777777" w:rsidTr="000F60DA">
        <w:tc>
          <w:tcPr>
            <w:tcW w:w="2600" w:type="dxa"/>
            <w:tcMar>
              <w:top w:w="100" w:type="dxa"/>
              <w:left w:w="120" w:type="dxa"/>
              <w:bottom w:w="100" w:type="dxa"/>
              <w:right w:w="120" w:type="dxa"/>
            </w:tcMar>
          </w:tcPr>
          <w:p w14:paraId="7F9DDC04" w14:textId="77777777" w:rsidR="00344DC1" w:rsidRPr="00E511CA" w:rsidRDefault="00344DC1" w:rsidP="00344DC1">
            <w:pPr>
              <w:rPr>
                <w:color w:val="000000" w:themeColor="text1"/>
              </w:rPr>
            </w:pPr>
            <w:r w:rsidRPr="00E511CA">
              <w:rPr>
                <w:rFonts w:eastAsia="Calibri"/>
                <w:color w:val="000000" w:themeColor="text1"/>
              </w:rPr>
              <w:t>Data security and privacy risks from connected healthcare infrastructure</w:t>
            </w:r>
          </w:p>
        </w:tc>
        <w:tc>
          <w:tcPr>
            <w:tcW w:w="1400" w:type="dxa"/>
            <w:tcMar>
              <w:top w:w="100" w:type="dxa"/>
              <w:left w:w="120" w:type="dxa"/>
              <w:bottom w:w="100" w:type="dxa"/>
              <w:right w:w="120" w:type="dxa"/>
            </w:tcMar>
          </w:tcPr>
          <w:p w14:paraId="660E7671" w14:textId="77777777" w:rsidR="00344DC1" w:rsidRPr="00E511CA" w:rsidRDefault="00344DC1" w:rsidP="00344DC1">
            <w:pPr>
              <w:rPr>
                <w:color w:val="000000" w:themeColor="text1"/>
              </w:rPr>
            </w:pPr>
            <w:r w:rsidRPr="00E511CA">
              <w:rPr>
                <w:rFonts w:eastAsia="Calibri"/>
                <w:color w:val="000000" w:themeColor="text1"/>
              </w:rPr>
              <w:t>Low</w:t>
            </w:r>
          </w:p>
        </w:tc>
        <w:tc>
          <w:tcPr>
            <w:tcW w:w="1400" w:type="dxa"/>
            <w:tcMar>
              <w:top w:w="100" w:type="dxa"/>
              <w:left w:w="120" w:type="dxa"/>
              <w:bottom w:w="100" w:type="dxa"/>
              <w:right w:w="120" w:type="dxa"/>
            </w:tcMar>
          </w:tcPr>
          <w:p w14:paraId="53E2C9F5" w14:textId="77777777" w:rsidR="00344DC1" w:rsidRPr="00E511CA" w:rsidRDefault="00344DC1" w:rsidP="00344DC1">
            <w:pPr>
              <w:rPr>
                <w:color w:val="000000" w:themeColor="text1"/>
              </w:rPr>
            </w:pPr>
            <w:r w:rsidRPr="00E511CA">
              <w:rPr>
                <w:rFonts w:eastAsia="Calibri"/>
                <w:color w:val="000000" w:themeColor="text1"/>
              </w:rPr>
              <w:t>High</w:t>
            </w:r>
          </w:p>
        </w:tc>
        <w:tc>
          <w:tcPr>
            <w:tcW w:w="3400" w:type="dxa"/>
            <w:tcMar>
              <w:top w:w="100" w:type="dxa"/>
              <w:left w:w="120" w:type="dxa"/>
              <w:bottom w:w="100" w:type="dxa"/>
              <w:right w:w="120" w:type="dxa"/>
            </w:tcMar>
          </w:tcPr>
          <w:p w14:paraId="3E6A8DFA" w14:textId="77777777" w:rsidR="00344DC1" w:rsidRPr="00E511CA" w:rsidRDefault="00344DC1" w:rsidP="00344DC1">
            <w:pPr>
              <w:rPr>
                <w:color w:val="000000" w:themeColor="text1"/>
              </w:rPr>
            </w:pPr>
            <w:r w:rsidRPr="00E511CA">
              <w:rPr>
                <w:rFonts w:eastAsia="Calibri"/>
                <w:color w:val="000000" w:themeColor="text1"/>
              </w:rPr>
              <w:t>End-to-end encryption, regular penetration testing, and strict role-based access control.</w:t>
            </w:r>
          </w:p>
        </w:tc>
      </w:tr>
      <w:tr w:rsidR="00344DC1" w:rsidRPr="00E511CA" w14:paraId="5BB05A1F" w14:textId="77777777" w:rsidTr="000F60DA">
        <w:tc>
          <w:tcPr>
            <w:tcW w:w="2600" w:type="dxa"/>
            <w:tcMar>
              <w:top w:w="100" w:type="dxa"/>
              <w:left w:w="120" w:type="dxa"/>
              <w:bottom w:w="100" w:type="dxa"/>
              <w:right w:w="120" w:type="dxa"/>
            </w:tcMar>
          </w:tcPr>
          <w:p w14:paraId="516B3CF2" w14:textId="77777777" w:rsidR="00344DC1" w:rsidRPr="00E511CA" w:rsidRDefault="00344DC1" w:rsidP="00344DC1">
            <w:pPr>
              <w:rPr>
                <w:color w:val="000000" w:themeColor="text1"/>
              </w:rPr>
            </w:pPr>
            <w:r w:rsidRPr="00E511CA">
              <w:rPr>
                <w:rFonts w:eastAsia="Calibri"/>
                <w:color w:val="000000" w:themeColor="text1"/>
              </w:rPr>
              <w:t>Staff resistance to change from manual to automated processes</w:t>
            </w:r>
          </w:p>
        </w:tc>
        <w:tc>
          <w:tcPr>
            <w:tcW w:w="1400" w:type="dxa"/>
            <w:tcMar>
              <w:top w:w="100" w:type="dxa"/>
              <w:left w:w="120" w:type="dxa"/>
              <w:bottom w:w="100" w:type="dxa"/>
              <w:right w:w="120" w:type="dxa"/>
            </w:tcMar>
          </w:tcPr>
          <w:p w14:paraId="1A0E0388" w14:textId="77777777" w:rsidR="00344DC1" w:rsidRPr="00E511CA" w:rsidRDefault="00344DC1" w:rsidP="00344DC1">
            <w:pPr>
              <w:rPr>
                <w:color w:val="000000" w:themeColor="text1"/>
              </w:rPr>
            </w:pPr>
            <w:r w:rsidRPr="00E511CA">
              <w:rPr>
                <w:rFonts w:eastAsia="Calibri"/>
                <w:color w:val="000000" w:themeColor="text1"/>
              </w:rPr>
              <w:t>Medium</w:t>
            </w:r>
          </w:p>
        </w:tc>
        <w:tc>
          <w:tcPr>
            <w:tcW w:w="1400" w:type="dxa"/>
            <w:tcMar>
              <w:top w:w="100" w:type="dxa"/>
              <w:left w:w="120" w:type="dxa"/>
              <w:bottom w:w="100" w:type="dxa"/>
              <w:right w:w="120" w:type="dxa"/>
            </w:tcMar>
          </w:tcPr>
          <w:p w14:paraId="26AA364D" w14:textId="77777777" w:rsidR="00344DC1" w:rsidRPr="00E511CA" w:rsidRDefault="00344DC1" w:rsidP="00344DC1">
            <w:pPr>
              <w:rPr>
                <w:color w:val="000000" w:themeColor="text1"/>
              </w:rPr>
            </w:pPr>
            <w:r w:rsidRPr="00E511CA">
              <w:rPr>
                <w:rFonts w:eastAsia="Calibri"/>
                <w:color w:val="000000" w:themeColor="text1"/>
              </w:rPr>
              <w:t>Medium</w:t>
            </w:r>
          </w:p>
        </w:tc>
        <w:tc>
          <w:tcPr>
            <w:tcW w:w="3400" w:type="dxa"/>
            <w:tcMar>
              <w:top w:w="100" w:type="dxa"/>
              <w:left w:w="120" w:type="dxa"/>
              <w:bottom w:w="100" w:type="dxa"/>
              <w:right w:w="120" w:type="dxa"/>
            </w:tcMar>
          </w:tcPr>
          <w:p w14:paraId="6AF1DCCB" w14:textId="77777777" w:rsidR="00344DC1" w:rsidRPr="00E511CA" w:rsidRDefault="00344DC1" w:rsidP="00344DC1">
            <w:pPr>
              <w:rPr>
                <w:color w:val="000000" w:themeColor="text1"/>
              </w:rPr>
            </w:pPr>
            <w:r w:rsidRPr="00E511CA">
              <w:rPr>
                <w:rFonts w:eastAsia="Calibri"/>
                <w:color w:val="000000" w:themeColor="text1"/>
              </w:rPr>
              <w:t>Structured training programs, phased onboarding, and clear communication of benefits to frontline staff.</w:t>
            </w:r>
          </w:p>
        </w:tc>
      </w:tr>
      <w:tr w:rsidR="00344DC1" w:rsidRPr="00E511CA" w14:paraId="6DF36941" w14:textId="77777777" w:rsidTr="000F60DA">
        <w:tc>
          <w:tcPr>
            <w:tcW w:w="2600" w:type="dxa"/>
            <w:tcMar>
              <w:top w:w="100" w:type="dxa"/>
              <w:left w:w="120" w:type="dxa"/>
              <w:bottom w:w="100" w:type="dxa"/>
              <w:right w:w="120" w:type="dxa"/>
            </w:tcMar>
          </w:tcPr>
          <w:p w14:paraId="177E3334" w14:textId="77777777" w:rsidR="00344DC1" w:rsidRPr="00E511CA" w:rsidRDefault="00344DC1" w:rsidP="00344DC1">
            <w:pPr>
              <w:rPr>
                <w:color w:val="000000" w:themeColor="text1"/>
              </w:rPr>
            </w:pPr>
            <w:r w:rsidRPr="00E511CA">
              <w:rPr>
                <w:rFonts w:eastAsia="Calibri"/>
                <w:color w:val="000000" w:themeColor="text1"/>
              </w:rPr>
              <w:t>Predictive maintenance model inaccuracy during early deployment</w:t>
            </w:r>
          </w:p>
        </w:tc>
        <w:tc>
          <w:tcPr>
            <w:tcW w:w="1400" w:type="dxa"/>
            <w:tcMar>
              <w:top w:w="100" w:type="dxa"/>
              <w:left w:w="120" w:type="dxa"/>
              <w:bottom w:w="100" w:type="dxa"/>
              <w:right w:w="120" w:type="dxa"/>
            </w:tcMar>
          </w:tcPr>
          <w:p w14:paraId="5F7F007F" w14:textId="77777777" w:rsidR="00344DC1" w:rsidRPr="00E511CA" w:rsidRDefault="00344DC1" w:rsidP="00344DC1">
            <w:pPr>
              <w:rPr>
                <w:color w:val="000000" w:themeColor="text1"/>
              </w:rPr>
            </w:pPr>
            <w:r w:rsidRPr="00E511CA">
              <w:rPr>
                <w:rFonts w:eastAsia="Calibri"/>
                <w:color w:val="000000" w:themeColor="text1"/>
              </w:rPr>
              <w:t>High</w:t>
            </w:r>
          </w:p>
        </w:tc>
        <w:tc>
          <w:tcPr>
            <w:tcW w:w="1400" w:type="dxa"/>
            <w:tcMar>
              <w:top w:w="100" w:type="dxa"/>
              <w:left w:w="120" w:type="dxa"/>
              <w:bottom w:w="100" w:type="dxa"/>
              <w:right w:w="120" w:type="dxa"/>
            </w:tcMar>
          </w:tcPr>
          <w:p w14:paraId="2642E13A" w14:textId="77777777" w:rsidR="00344DC1" w:rsidRPr="00E511CA" w:rsidRDefault="00344DC1" w:rsidP="00344DC1">
            <w:pPr>
              <w:rPr>
                <w:color w:val="000000" w:themeColor="text1"/>
              </w:rPr>
            </w:pPr>
            <w:r w:rsidRPr="00E511CA">
              <w:rPr>
                <w:rFonts w:eastAsia="Calibri"/>
                <w:color w:val="000000" w:themeColor="text1"/>
              </w:rPr>
              <w:t>Low</w:t>
            </w:r>
          </w:p>
        </w:tc>
        <w:tc>
          <w:tcPr>
            <w:tcW w:w="3400" w:type="dxa"/>
            <w:tcMar>
              <w:top w:w="100" w:type="dxa"/>
              <w:left w:w="120" w:type="dxa"/>
              <w:bottom w:w="100" w:type="dxa"/>
              <w:right w:w="120" w:type="dxa"/>
            </w:tcMar>
          </w:tcPr>
          <w:p w14:paraId="6EC746C8" w14:textId="77777777" w:rsidR="00344DC1" w:rsidRPr="00E511CA" w:rsidRDefault="00344DC1" w:rsidP="00344DC1">
            <w:pPr>
              <w:rPr>
                <w:color w:val="000000" w:themeColor="text1"/>
              </w:rPr>
            </w:pPr>
            <w:r w:rsidRPr="00E511CA">
              <w:rPr>
                <w:rFonts w:eastAsia="Calibri"/>
                <w:color w:val="000000" w:themeColor="text1"/>
              </w:rPr>
              <w:t>Combine ML predictions with rules-based thresholds initially; retrain models as more failure data accumulates.</w:t>
            </w:r>
          </w:p>
        </w:tc>
      </w:tr>
      <w:tr w:rsidR="00344DC1" w:rsidRPr="00E511CA" w14:paraId="43794341" w14:textId="77777777" w:rsidTr="000F60DA">
        <w:tc>
          <w:tcPr>
            <w:tcW w:w="2600" w:type="dxa"/>
            <w:tcMar>
              <w:top w:w="100" w:type="dxa"/>
              <w:left w:w="120" w:type="dxa"/>
              <w:bottom w:w="100" w:type="dxa"/>
              <w:right w:w="120" w:type="dxa"/>
            </w:tcMar>
          </w:tcPr>
          <w:p w14:paraId="2E19D388" w14:textId="77777777" w:rsidR="00344DC1" w:rsidRPr="00E511CA" w:rsidRDefault="00344DC1" w:rsidP="00344DC1">
            <w:pPr>
              <w:rPr>
                <w:color w:val="000000" w:themeColor="text1"/>
              </w:rPr>
            </w:pPr>
            <w:r w:rsidRPr="00E511CA">
              <w:rPr>
                <w:rFonts w:eastAsia="Calibri"/>
                <w:color w:val="000000" w:themeColor="text1"/>
              </w:rPr>
              <w:t>Integration complexity with legacy hospital information systems</w:t>
            </w:r>
          </w:p>
        </w:tc>
        <w:tc>
          <w:tcPr>
            <w:tcW w:w="1400" w:type="dxa"/>
            <w:tcMar>
              <w:top w:w="100" w:type="dxa"/>
              <w:left w:w="120" w:type="dxa"/>
              <w:bottom w:w="100" w:type="dxa"/>
              <w:right w:w="120" w:type="dxa"/>
            </w:tcMar>
          </w:tcPr>
          <w:p w14:paraId="2FD4D80E" w14:textId="77777777" w:rsidR="00344DC1" w:rsidRPr="00E511CA" w:rsidRDefault="00344DC1" w:rsidP="00344DC1">
            <w:pPr>
              <w:rPr>
                <w:color w:val="000000" w:themeColor="text1"/>
              </w:rPr>
            </w:pPr>
            <w:r w:rsidRPr="00E511CA">
              <w:rPr>
                <w:rFonts w:eastAsia="Calibri"/>
                <w:color w:val="000000" w:themeColor="text1"/>
              </w:rPr>
              <w:t>Medium</w:t>
            </w:r>
          </w:p>
        </w:tc>
        <w:tc>
          <w:tcPr>
            <w:tcW w:w="1400" w:type="dxa"/>
            <w:tcMar>
              <w:top w:w="100" w:type="dxa"/>
              <w:left w:w="120" w:type="dxa"/>
              <w:bottom w:w="100" w:type="dxa"/>
              <w:right w:w="120" w:type="dxa"/>
            </w:tcMar>
          </w:tcPr>
          <w:p w14:paraId="13716E26" w14:textId="77777777" w:rsidR="00344DC1" w:rsidRPr="00E511CA" w:rsidRDefault="00344DC1" w:rsidP="00344DC1">
            <w:pPr>
              <w:rPr>
                <w:color w:val="000000" w:themeColor="text1"/>
              </w:rPr>
            </w:pPr>
            <w:r w:rsidRPr="00E511CA">
              <w:rPr>
                <w:rFonts w:eastAsia="Calibri"/>
                <w:color w:val="000000" w:themeColor="text1"/>
              </w:rPr>
              <w:t>Medium</w:t>
            </w:r>
          </w:p>
        </w:tc>
        <w:tc>
          <w:tcPr>
            <w:tcW w:w="3400" w:type="dxa"/>
            <w:tcMar>
              <w:top w:w="100" w:type="dxa"/>
              <w:left w:w="120" w:type="dxa"/>
              <w:bottom w:w="100" w:type="dxa"/>
              <w:right w:w="120" w:type="dxa"/>
            </w:tcMar>
          </w:tcPr>
          <w:p w14:paraId="019B7236" w14:textId="77777777" w:rsidR="00344DC1" w:rsidRPr="00E511CA" w:rsidRDefault="00344DC1" w:rsidP="00344DC1">
            <w:pPr>
              <w:rPr>
                <w:color w:val="000000" w:themeColor="text1"/>
              </w:rPr>
            </w:pPr>
            <w:r w:rsidRPr="00E511CA">
              <w:rPr>
                <w:rFonts w:eastAsia="Calibri"/>
                <w:color w:val="000000" w:themeColor="text1"/>
              </w:rPr>
              <w:t>Use standardized APIs and middleware adapters; prioritize integration requirements early in the backlog.</w:t>
            </w:r>
          </w:p>
        </w:tc>
      </w:tr>
    </w:tbl>
    <w:p w14:paraId="1E15F2F4" w14:textId="77777777" w:rsidR="00E511CA" w:rsidRPr="00E511CA" w:rsidRDefault="00E511CA" w:rsidP="00E511CA">
      <w:pPr>
        <w:spacing w:after="200"/>
        <w:rPr>
          <w:color w:val="000000" w:themeColor="text1"/>
        </w:rPr>
      </w:pPr>
    </w:p>
    <w:p w14:paraId="4B162D84"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t>6.4 Cost-Benefit Analysis</w:t>
      </w:r>
    </w:p>
    <w:p w14:paraId="2CDD079B"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A preliminary cost-benefit view supports the case for adopting the proposed platform over continued reliance on manual monitoring. On the cost side, the primary investments are one-time IoT hardware and installation costs per storage unit, recurring cloud infrastructure and connectivity fees, software development and maintenance costs, and staff training. These are partially offset from the outset by reduced labor hours spent on manual logging and manual compliance-report preparation.</w:t>
      </w:r>
    </w:p>
    <w:p w14:paraId="3679994E"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On the benefit side, the most significant financial impact comes from reduced vaccine wastage: even a modest reduction in spoiled doses can offset a substantial portion of annual operating costs, given the value of vaccine stock typically held at a mid-sized facility. Additional savings arise from condition-based rather than fixed-schedule maintenance, which reduces unnecessary service visits while extending equipment lifespan through early fault detection. Faster compliance reporting further reduces administrative overhead and lowers the risk of regulatory penalties associated with late or inaccurate submissions.</w:t>
      </w:r>
    </w:p>
    <w:p w14:paraId="71FB1090"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While exact figures would depend on facility scale and regional cost structures, the qualitative pattern is consistent: upfront and recurring technology costs are recovered over time through reduced wastage, lower maintenance costs, and reduced administrative burden, with the added — and harder to quantify — benefit of improved patient safety and public trust in the vaccination program.</w:t>
      </w:r>
    </w:p>
    <w:p w14:paraId="47B74C3D" w14:textId="77777777" w:rsidR="00E511CA" w:rsidRPr="00E511CA" w:rsidRDefault="00E511CA" w:rsidP="00E511CA">
      <w:pPr>
        <w:pStyle w:val="Heading2"/>
        <w:spacing w:before="260" w:after="140"/>
        <w:rPr>
          <w:color w:val="000000" w:themeColor="text1"/>
        </w:rPr>
      </w:pPr>
      <w:r w:rsidRPr="00E511CA">
        <w:rPr>
          <w:rFonts w:eastAsia="Calibri"/>
          <w:b/>
          <w:bCs/>
          <w:color w:val="000000" w:themeColor="text1"/>
        </w:rPr>
        <w:lastRenderedPageBreak/>
        <w:t>Suggested Future Enhancements</w:t>
      </w:r>
    </w:p>
    <w:p w14:paraId="5DF4979A"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Integration with vaccine inventory management systems to automatically flag and quarantine specific batches affected by a detected excursion.</w:t>
      </w:r>
    </w:p>
    <w:p w14:paraId="0B68C7D0"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Use of blockchain or similar tamper-proof ledger technology to further strengthen the integrity of compliance audit trails.</w:t>
      </w:r>
    </w:p>
    <w:p w14:paraId="4DC63A5F"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Expansion of the predictive analytics engine to optimize preventive maintenance scheduling across facilities based on aggregated failure patterns.</w:t>
      </w:r>
    </w:p>
    <w:p w14:paraId="48BA371D"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Solar-powered or battery-backed IoT sensor nodes to improve resilience in facilities with unreliable power supply.</w:t>
      </w:r>
    </w:p>
    <w:p w14:paraId="2AE11CE4" w14:textId="77777777" w:rsidR="00E511CA" w:rsidRPr="00E511CA" w:rsidRDefault="00E511CA" w:rsidP="00E511CA">
      <w:pPr>
        <w:pStyle w:val="ListParagraph"/>
        <w:numPr>
          <w:ilvl w:val="0"/>
          <w:numId w:val="7"/>
        </w:numPr>
        <w:spacing w:after="100" w:line="276" w:lineRule="auto"/>
        <w:rPr>
          <w:color w:val="000000" w:themeColor="text1"/>
        </w:rPr>
      </w:pPr>
      <w:r w:rsidRPr="00E511CA">
        <w:rPr>
          <w:rFonts w:eastAsia="Calibri"/>
          <w:color w:val="000000" w:themeColor="text1"/>
          <w:sz w:val="22"/>
          <w:szCs w:val="22"/>
        </w:rPr>
        <w:t>A citizen-facing transparency layer that allows the public to verify that vaccines administered at a facility were stored within compliant conditions.</w:t>
      </w:r>
    </w:p>
    <w:p w14:paraId="191E2A00" w14:textId="77777777" w:rsidR="00E511CA" w:rsidRPr="00E511CA" w:rsidRDefault="00E511CA" w:rsidP="00E511CA">
      <w:pPr>
        <w:pStyle w:val="Heading1"/>
        <w:spacing w:before="360" w:after="200"/>
        <w:rPr>
          <w:color w:val="000000" w:themeColor="text1"/>
        </w:rPr>
      </w:pPr>
      <w:r w:rsidRPr="00E511CA">
        <w:rPr>
          <w:rFonts w:eastAsia="Calibri"/>
          <w:b/>
          <w:bCs/>
          <w:color w:val="000000" w:themeColor="text1"/>
        </w:rPr>
        <w:t>7. Conclusion</w:t>
      </w:r>
    </w:p>
    <w:p w14:paraId="353E0D4E"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The Intelligent Vaccine Cold Storage Monitoring System addresses a pressing real-world problem at the intersection of healthcare and technology. By replacing manual, reactive cold-chain monitoring with a connected, AI-driven, and proactive platform, the proposed solution is designed to reduce vaccine wastage, strengthen regulatory compliance, and, most importantly, safeguard public health outcomes. Grounded in sound software engineering principles — modularity, scalability, maintainability, reliability, usability, and security — and developed using an Agile Scrum and DevOps approach, the system is well positioned to evolve alongside the operational and regulatory needs of the healthcare facilities it serves.</w:t>
      </w:r>
    </w:p>
    <w:p w14:paraId="289131DE"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Overall, the case study demonstrates how the systematic application of software engineering practices — from requirements analysis and architectural design through methodology selection and risk management — can transform a persistent, high-stakes operational problem into a well-structured, implementable software solution.</w:t>
      </w:r>
    </w:p>
    <w:p w14:paraId="6532E4E4" w14:textId="77777777" w:rsidR="00E511CA" w:rsidRPr="00E511CA" w:rsidRDefault="00E511CA" w:rsidP="00E511CA">
      <w:pPr>
        <w:pStyle w:val="Heading1"/>
        <w:spacing w:before="360" w:after="200"/>
        <w:rPr>
          <w:color w:val="000000" w:themeColor="text1"/>
        </w:rPr>
      </w:pPr>
      <w:r w:rsidRPr="00E511CA">
        <w:rPr>
          <w:rFonts w:eastAsia="Calibri"/>
          <w:b/>
          <w:bCs/>
          <w:color w:val="000000" w:themeColor="text1"/>
        </w:rPr>
        <w:t>References</w:t>
      </w:r>
    </w:p>
    <w:p w14:paraId="6C83F776"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World Health Organization. Effective Vaccine Management (EVM) and cold chain guidance publications.</w:t>
      </w:r>
    </w:p>
    <w:p w14:paraId="1DB954A4"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Sommerville, I. Software Engineering (10th Edition). Pearson Education.</w:t>
      </w:r>
    </w:p>
    <w:p w14:paraId="69F0EB45"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Pressman, R. S., &amp; Maxim, B. R. Software Engineering: A Practitioner's Approach. McGraw-Hill Education.</w:t>
      </w:r>
    </w:p>
    <w:p w14:paraId="5A7EB225"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Schwaber, K., &amp; Sutherland, J. The Scrum Guide — The Definitive Guide to Scrum: The Rules of the Game.</w:t>
      </w:r>
    </w:p>
    <w:p w14:paraId="49852DDA"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National and international cold-chain and vaccine storage regulatory standards and guidelines relevant to the healthcare sector.</w:t>
      </w:r>
    </w:p>
    <w:p w14:paraId="153CDA11" w14:textId="77777777" w:rsidR="00E511CA" w:rsidRPr="00E511CA" w:rsidRDefault="00E511CA" w:rsidP="00E511CA">
      <w:pPr>
        <w:spacing w:after="160" w:line="276" w:lineRule="auto"/>
        <w:jc w:val="both"/>
        <w:rPr>
          <w:color w:val="000000" w:themeColor="text1"/>
        </w:rPr>
      </w:pPr>
      <w:r w:rsidRPr="00E511CA">
        <w:rPr>
          <w:rFonts w:eastAsia="Calibri"/>
          <w:color w:val="000000" w:themeColor="text1"/>
          <w:sz w:val="22"/>
          <w:szCs w:val="22"/>
        </w:rPr>
        <w:t>General industry literature on IoT-based environmental monitoring, predictive maintenance, and cloud-native microservice architecture.</w:t>
      </w:r>
    </w:p>
    <w:p w14:paraId="7ACACDB6" w14:textId="481380B0" w:rsidR="00C065B9" w:rsidRPr="00E511CA" w:rsidRDefault="00C065B9" w:rsidP="00E511CA">
      <w:pPr>
        <w:rPr>
          <w:color w:val="000000" w:themeColor="text1"/>
        </w:rPr>
      </w:pPr>
    </w:p>
    <w:sectPr w:rsidR="00C065B9" w:rsidRPr="00E511CA">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D15BD" w14:textId="77777777" w:rsidR="006E4C9F" w:rsidRDefault="006E4C9F">
      <w:r>
        <w:separator/>
      </w:r>
    </w:p>
  </w:endnote>
  <w:endnote w:type="continuationSeparator" w:id="0">
    <w:p w14:paraId="73166DD8" w14:textId="77777777" w:rsidR="006E4C9F" w:rsidRDefault="006E4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912382"/>
      <w:docPartObj>
        <w:docPartGallery w:val="Page Numbers (Bottom of Page)"/>
        <w:docPartUnique/>
      </w:docPartObj>
    </w:sdtPr>
    <w:sdtEndPr>
      <w:rPr>
        <w:noProof/>
      </w:rPr>
    </w:sdtEndPr>
    <w:sdtContent>
      <w:p w14:paraId="75A8CBA0" w14:textId="7242EC69" w:rsidR="0076707B" w:rsidRDefault="007670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CACDB8" w14:textId="6160FC59" w:rsidR="00C065B9" w:rsidRPr="00ED17BE" w:rsidRDefault="00C065B9" w:rsidP="00ED1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F807E" w14:textId="77777777" w:rsidR="006E4C9F" w:rsidRDefault="006E4C9F">
      <w:r>
        <w:separator/>
      </w:r>
    </w:p>
  </w:footnote>
  <w:footnote w:type="continuationSeparator" w:id="0">
    <w:p w14:paraId="78A93FD5" w14:textId="77777777" w:rsidR="006E4C9F" w:rsidRDefault="006E4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CDB7" w14:textId="6E1AD751" w:rsidR="00C065B9" w:rsidRDefault="00C065B9" w:rsidP="00F205F0">
    <w:pPr>
      <w:pStyle w:val="Header"/>
    </w:pPr>
  </w:p>
  <w:p w14:paraId="571C0824" w14:textId="77777777" w:rsidR="00F205F0" w:rsidRPr="00F205F0" w:rsidRDefault="00F205F0" w:rsidP="00F205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7BE1"/>
    <w:multiLevelType w:val="hybridMultilevel"/>
    <w:tmpl w:val="7414B334"/>
    <w:lvl w:ilvl="0" w:tplc="4F4A62DA">
      <w:start w:val="1"/>
      <w:numFmt w:val="bullet"/>
      <w:lvlText w:val="•"/>
      <w:lvlJc w:val="left"/>
      <w:pPr>
        <w:ind w:left="460" w:hanging="260"/>
      </w:pPr>
    </w:lvl>
    <w:lvl w:ilvl="1" w:tplc="CE2E6600">
      <w:start w:val="1"/>
      <w:numFmt w:val="bullet"/>
      <w:lvlText w:val="○"/>
      <w:lvlJc w:val="left"/>
      <w:pPr>
        <w:ind w:left="820" w:hanging="260"/>
      </w:pPr>
    </w:lvl>
    <w:lvl w:ilvl="2" w:tplc="7EF641B8">
      <w:numFmt w:val="decimal"/>
      <w:lvlText w:val=""/>
      <w:lvlJc w:val="left"/>
    </w:lvl>
    <w:lvl w:ilvl="3" w:tplc="C55E52FC">
      <w:numFmt w:val="decimal"/>
      <w:lvlText w:val=""/>
      <w:lvlJc w:val="left"/>
    </w:lvl>
    <w:lvl w:ilvl="4" w:tplc="12DCE4A0">
      <w:numFmt w:val="decimal"/>
      <w:lvlText w:val=""/>
      <w:lvlJc w:val="left"/>
    </w:lvl>
    <w:lvl w:ilvl="5" w:tplc="9386F946">
      <w:numFmt w:val="decimal"/>
      <w:lvlText w:val=""/>
      <w:lvlJc w:val="left"/>
    </w:lvl>
    <w:lvl w:ilvl="6" w:tplc="A8E859FA">
      <w:numFmt w:val="decimal"/>
      <w:lvlText w:val=""/>
      <w:lvlJc w:val="left"/>
    </w:lvl>
    <w:lvl w:ilvl="7" w:tplc="389C3D42">
      <w:numFmt w:val="decimal"/>
      <w:lvlText w:val=""/>
      <w:lvlJc w:val="left"/>
    </w:lvl>
    <w:lvl w:ilvl="8" w:tplc="902EA69A">
      <w:numFmt w:val="decimal"/>
      <w:lvlText w:val=""/>
      <w:lvlJc w:val="left"/>
    </w:lvl>
  </w:abstractNum>
  <w:abstractNum w:abstractNumId="1" w15:restartNumberingAfterBreak="0">
    <w:nsid w:val="44E840A9"/>
    <w:multiLevelType w:val="hybridMultilevel"/>
    <w:tmpl w:val="B1E8BA80"/>
    <w:lvl w:ilvl="0" w:tplc="72A82F6A">
      <w:start w:val="1"/>
      <w:numFmt w:val="bullet"/>
      <w:lvlText w:val="•"/>
      <w:lvlJc w:val="left"/>
      <w:pPr>
        <w:ind w:left="460" w:hanging="260"/>
      </w:pPr>
    </w:lvl>
    <w:lvl w:ilvl="1" w:tplc="74485A7E">
      <w:start w:val="1"/>
      <w:numFmt w:val="bullet"/>
      <w:lvlText w:val="○"/>
      <w:lvlJc w:val="left"/>
      <w:pPr>
        <w:ind w:left="820" w:hanging="260"/>
      </w:pPr>
    </w:lvl>
    <w:lvl w:ilvl="2" w:tplc="F4C83594">
      <w:numFmt w:val="decimal"/>
      <w:lvlText w:val=""/>
      <w:lvlJc w:val="left"/>
    </w:lvl>
    <w:lvl w:ilvl="3" w:tplc="BF9A050A">
      <w:numFmt w:val="decimal"/>
      <w:lvlText w:val=""/>
      <w:lvlJc w:val="left"/>
    </w:lvl>
    <w:lvl w:ilvl="4" w:tplc="88D600CC">
      <w:numFmt w:val="decimal"/>
      <w:lvlText w:val=""/>
      <w:lvlJc w:val="left"/>
    </w:lvl>
    <w:lvl w:ilvl="5" w:tplc="14DA3F64">
      <w:numFmt w:val="decimal"/>
      <w:lvlText w:val=""/>
      <w:lvlJc w:val="left"/>
    </w:lvl>
    <w:lvl w:ilvl="6" w:tplc="59745214">
      <w:numFmt w:val="decimal"/>
      <w:lvlText w:val=""/>
      <w:lvlJc w:val="left"/>
    </w:lvl>
    <w:lvl w:ilvl="7" w:tplc="1BACDE26">
      <w:numFmt w:val="decimal"/>
      <w:lvlText w:val=""/>
      <w:lvlJc w:val="left"/>
    </w:lvl>
    <w:lvl w:ilvl="8" w:tplc="FF305A1A">
      <w:numFmt w:val="decimal"/>
      <w:lvlText w:val=""/>
      <w:lvlJc w:val="left"/>
    </w:lvl>
  </w:abstractNum>
  <w:abstractNum w:abstractNumId="2" w15:restartNumberingAfterBreak="0">
    <w:nsid w:val="4F8B3F93"/>
    <w:multiLevelType w:val="hybridMultilevel"/>
    <w:tmpl w:val="6C3800D6"/>
    <w:lvl w:ilvl="0" w:tplc="5DD4F380">
      <w:start w:val="1"/>
      <w:numFmt w:val="decimal"/>
      <w:lvlText w:val="%1."/>
      <w:lvlJc w:val="left"/>
      <w:pPr>
        <w:ind w:left="460" w:hanging="260"/>
      </w:pPr>
    </w:lvl>
    <w:lvl w:ilvl="1" w:tplc="F618921C">
      <w:numFmt w:val="decimal"/>
      <w:lvlText w:val=""/>
      <w:lvlJc w:val="left"/>
    </w:lvl>
    <w:lvl w:ilvl="2" w:tplc="DE2CDFFC">
      <w:numFmt w:val="decimal"/>
      <w:lvlText w:val=""/>
      <w:lvlJc w:val="left"/>
    </w:lvl>
    <w:lvl w:ilvl="3" w:tplc="8028F2A0">
      <w:numFmt w:val="decimal"/>
      <w:lvlText w:val=""/>
      <w:lvlJc w:val="left"/>
    </w:lvl>
    <w:lvl w:ilvl="4" w:tplc="90520452">
      <w:numFmt w:val="decimal"/>
      <w:lvlText w:val=""/>
      <w:lvlJc w:val="left"/>
    </w:lvl>
    <w:lvl w:ilvl="5" w:tplc="13A29D0A">
      <w:numFmt w:val="decimal"/>
      <w:lvlText w:val=""/>
      <w:lvlJc w:val="left"/>
    </w:lvl>
    <w:lvl w:ilvl="6" w:tplc="1D74459E">
      <w:numFmt w:val="decimal"/>
      <w:lvlText w:val=""/>
      <w:lvlJc w:val="left"/>
    </w:lvl>
    <w:lvl w:ilvl="7" w:tplc="18641FD8">
      <w:numFmt w:val="decimal"/>
      <w:lvlText w:val=""/>
      <w:lvlJc w:val="left"/>
    </w:lvl>
    <w:lvl w:ilvl="8" w:tplc="F93AB09C">
      <w:numFmt w:val="decimal"/>
      <w:lvlText w:val=""/>
      <w:lvlJc w:val="left"/>
    </w:lvl>
  </w:abstractNum>
  <w:abstractNum w:abstractNumId="3" w15:restartNumberingAfterBreak="0">
    <w:nsid w:val="4FCD3E42"/>
    <w:multiLevelType w:val="hybridMultilevel"/>
    <w:tmpl w:val="351E4416"/>
    <w:lvl w:ilvl="0" w:tplc="8FDA18FE">
      <w:start w:val="1"/>
      <w:numFmt w:val="decimal"/>
      <w:lvlText w:val="%1."/>
      <w:lvlJc w:val="left"/>
      <w:pPr>
        <w:ind w:left="460" w:hanging="260"/>
      </w:pPr>
    </w:lvl>
    <w:lvl w:ilvl="1" w:tplc="40241AFA">
      <w:numFmt w:val="decimal"/>
      <w:lvlText w:val=""/>
      <w:lvlJc w:val="left"/>
    </w:lvl>
    <w:lvl w:ilvl="2" w:tplc="3208D2B0">
      <w:numFmt w:val="decimal"/>
      <w:lvlText w:val=""/>
      <w:lvlJc w:val="left"/>
    </w:lvl>
    <w:lvl w:ilvl="3" w:tplc="5E4AC44A">
      <w:numFmt w:val="decimal"/>
      <w:lvlText w:val=""/>
      <w:lvlJc w:val="left"/>
    </w:lvl>
    <w:lvl w:ilvl="4" w:tplc="035C5966">
      <w:numFmt w:val="decimal"/>
      <w:lvlText w:val=""/>
      <w:lvlJc w:val="left"/>
    </w:lvl>
    <w:lvl w:ilvl="5" w:tplc="F690AA5C">
      <w:numFmt w:val="decimal"/>
      <w:lvlText w:val=""/>
      <w:lvlJc w:val="left"/>
    </w:lvl>
    <w:lvl w:ilvl="6" w:tplc="0DF23F96">
      <w:numFmt w:val="decimal"/>
      <w:lvlText w:val=""/>
      <w:lvlJc w:val="left"/>
    </w:lvl>
    <w:lvl w:ilvl="7" w:tplc="D828382C">
      <w:numFmt w:val="decimal"/>
      <w:lvlText w:val=""/>
      <w:lvlJc w:val="left"/>
    </w:lvl>
    <w:lvl w:ilvl="8" w:tplc="7D7462B8">
      <w:numFmt w:val="decimal"/>
      <w:lvlText w:val=""/>
      <w:lvlJc w:val="left"/>
    </w:lvl>
  </w:abstractNum>
  <w:abstractNum w:abstractNumId="4" w15:restartNumberingAfterBreak="0">
    <w:nsid w:val="51224AB4"/>
    <w:multiLevelType w:val="hybridMultilevel"/>
    <w:tmpl w:val="251636B6"/>
    <w:lvl w:ilvl="0" w:tplc="50D8D602">
      <w:start w:val="1"/>
      <w:numFmt w:val="bullet"/>
      <w:lvlText w:val="●"/>
      <w:lvlJc w:val="left"/>
      <w:pPr>
        <w:ind w:left="720" w:hanging="360"/>
      </w:pPr>
    </w:lvl>
    <w:lvl w:ilvl="1" w:tplc="C480E956">
      <w:start w:val="1"/>
      <w:numFmt w:val="bullet"/>
      <w:lvlText w:val="○"/>
      <w:lvlJc w:val="left"/>
      <w:pPr>
        <w:ind w:left="1440" w:hanging="360"/>
      </w:pPr>
    </w:lvl>
    <w:lvl w:ilvl="2" w:tplc="0AD85994">
      <w:start w:val="1"/>
      <w:numFmt w:val="bullet"/>
      <w:lvlText w:val="■"/>
      <w:lvlJc w:val="left"/>
      <w:pPr>
        <w:ind w:left="2160" w:hanging="360"/>
      </w:pPr>
    </w:lvl>
    <w:lvl w:ilvl="3" w:tplc="DF9604AA">
      <w:start w:val="1"/>
      <w:numFmt w:val="bullet"/>
      <w:lvlText w:val="●"/>
      <w:lvlJc w:val="left"/>
      <w:pPr>
        <w:ind w:left="2880" w:hanging="360"/>
      </w:pPr>
    </w:lvl>
    <w:lvl w:ilvl="4" w:tplc="6778D188">
      <w:start w:val="1"/>
      <w:numFmt w:val="bullet"/>
      <w:lvlText w:val="○"/>
      <w:lvlJc w:val="left"/>
      <w:pPr>
        <w:ind w:left="3600" w:hanging="360"/>
      </w:pPr>
    </w:lvl>
    <w:lvl w:ilvl="5" w:tplc="F0BACAEA">
      <w:start w:val="1"/>
      <w:numFmt w:val="bullet"/>
      <w:lvlText w:val="■"/>
      <w:lvlJc w:val="left"/>
      <w:pPr>
        <w:ind w:left="4320" w:hanging="360"/>
      </w:pPr>
    </w:lvl>
    <w:lvl w:ilvl="6" w:tplc="0942A04A">
      <w:start w:val="1"/>
      <w:numFmt w:val="bullet"/>
      <w:lvlText w:val="●"/>
      <w:lvlJc w:val="left"/>
      <w:pPr>
        <w:ind w:left="5040" w:hanging="360"/>
      </w:pPr>
    </w:lvl>
    <w:lvl w:ilvl="7" w:tplc="BF2EDE26">
      <w:start w:val="1"/>
      <w:numFmt w:val="bullet"/>
      <w:lvlText w:val="●"/>
      <w:lvlJc w:val="left"/>
      <w:pPr>
        <w:ind w:left="5760" w:hanging="360"/>
      </w:pPr>
    </w:lvl>
    <w:lvl w:ilvl="8" w:tplc="14149D86">
      <w:start w:val="1"/>
      <w:numFmt w:val="bullet"/>
      <w:lvlText w:val="●"/>
      <w:lvlJc w:val="left"/>
      <w:pPr>
        <w:ind w:left="6480" w:hanging="360"/>
      </w:pPr>
    </w:lvl>
  </w:abstractNum>
  <w:abstractNum w:abstractNumId="5" w15:restartNumberingAfterBreak="0">
    <w:nsid w:val="61315F05"/>
    <w:multiLevelType w:val="hybridMultilevel"/>
    <w:tmpl w:val="23F03106"/>
    <w:lvl w:ilvl="0" w:tplc="0409000F">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6" w15:restartNumberingAfterBreak="0">
    <w:nsid w:val="628F410B"/>
    <w:multiLevelType w:val="hybridMultilevel"/>
    <w:tmpl w:val="ED7AED7C"/>
    <w:lvl w:ilvl="0" w:tplc="0409000F">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num w:numId="1" w16cid:durableId="1385371603">
    <w:abstractNumId w:val="4"/>
    <w:lvlOverride w:ilvl="0">
      <w:startOverride w:val="1"/>
    </w:lvlOverride>
  </w:num>
  <w:num w:numId="2" w16cid:durableId="552085776">
    <w:abstractNumId w:val="2"/>
    <w:lvlOverride w:ilvl="0">
      <w:startOverride w:val="1"/>
    </w:lvlOverride>
  </w:num>
  <w:num w:numId="3" w16cid:durableId="1997763172">
    <w:abstractNumId w:val="1"/>
    <w:lvlOverride w:ilvl="0">
      <w:startOverride w:val="1"/>
    </w:lvlOverride>
  </w:num>
  <w:num w:numId="4" w16cid:durableId="1895382986">
    <w:abstractNumId w:val="5"/>
  </w:num>
  <w:num w:numId="5" w16cid:durableId="639195007">
    <w:abstractNumId w:val="6"/>
  </w:num>
  <w:num w:numId="6" w16cid:durableId="137695975">
    <w:abstractNumId w:val="3"/>
    <w:lvlOverride w:ilvl="0">
      <w:startOverride w:val="1"/>
    </w:lvlOverride>
  </w:num>
  <w:num w:numId="7" w16cid:durableId="1837910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5B9"/>
    <w:rsid w:val="00005F44"/>
    <w:rsid w:val="00061BC1"/>
    <w:rsid w:val="000E08D5"/>
    <w:rsid w:val="001B3F7D"/>
    <w:rsid w:val="00287FDC"/>
    <w:rsid w:val="002B27CB"/>
    <w:rsid w:val="002B6136"/>
    <w:rsid w:val="002D4553"/>
    <w:rsid w:val="003277B1"/>
    <w:rsid w:val="00344DC1"/>
    <w:rsid w:val="003B2248"/>
    <w:rsid w:val="003B2CD9"/>
    <w:rsid w:val="004F30DE"/>
    <w:rsid w:val="0051262F"/>
    <w:rsid w:val="0067593E"/>
    <w:rsid w:val="006E4C9F"/>
    <w:rsid w:val="007378C7"/>
    <w:rsid w:val="0076707B"/>
    <w:rsid w:val="008F7F3E"/>
    <w:rsid w:val="009C0EC8"/>
    <w:rsid w:val="009F71B6"/>
    <w:rsid w:val="00A05531"/>
    <w:rsid w:val="00B03965"/>
    <w:rsid w:val="00B60991"/>
    <w:rsid w:val="00B80473"/>
    <w:rsid w:val="00C065B9"/>
    <w:rsid w:val="00C575AD"/>
    <w:rsid w:val="00D12527"/>
    <w:rsid w:val="00D21D79"/>
    <w:rsid w:val="00E511CA"/>
    <w:rsid w:val="00ED17BE"/>
    <w:rsid w:val="00F205F0"/>
    <w:rsid w:val="00F87D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CCE3"/>
  <w15:docId w15:val="{F5D98F52-B9B9-4BF3-AEF6-7E59D44C3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05F0"/>
    <w:pPr>
      <w:tabs>
        <w:tab w:val="center" w:pos="4680"/>
        <w:tab w:val="right" w:pos="9360"/>
      </w:tabs>
    </w:pPr>
  </w:style>
  <w:style w:type="character" w:customStyle="1" w:styleId="HeaderChar">
    <w:name w:val="Header Char"/>
    <w:basedOn w:val="DefaultParagraphFont"/>
    <w:link w:val="Header"/>
    <w:uiPriority w:val="99"/>
    <w:rsid w:val="00F205F0"/>
  </w:style>
  <w:style w:type="paragraph" w:styleId="Footer">
    <w:name w:val="footer"/>
    <w:basedOn w:val="Normal"/>
    <w:link w:val="FooterChar"/>
    <w:uiPriority w:val="99"/>
    <w:unhideWhenUsed/>
    <w:rsid w:val="00F205F0"/>
    <w:pPr>
      <w:tabs>
        <w:tab w:val="center" w:pos="4680"/>
        <w:tab w:val="right" w:pos="9360"/>
      </w:tabs>
    </w:pPr>
  </w:style>
  <w:style w:type="character" w:customStyle="1" w:styleId="FooterChar">
    <w:name w:val="Footer Char"/>
    <w:basedOn w:val="DefaultParagraphFont"/>
    <w:link w:val="Footer"/>
    <w:uiPriority w:val="99"/>
    <w:rsid w:val="00F205F0"/>
  </w:style>
  <w:style w:type="character" w:customStyle="1" w:styleId="Heading1Char">
    <w:name w:val="Heading 1 Char"/>
    <w:basedOn w:val="DefaultParagraphFont"/>
    <w:link w:val="Heading1"/>
    <w:uiPriority w:val="9"/>
    <w:rsid w:val="00A05531"/>
    <w:rPr>
      <w:color w:val="2E74B5"/>
      <w:sz w:val="32"/>
      <w:szCs w:val="32"/>
    </w:rPr>
  </w:style>
  <w:style w:type="character" w:customStyle="1" w:styleId="Heading2Char">
    <w:name w:val="Heading 2 Char"/>
    <w:basedOn w:val="DefaultParagraphFont"/>
    <w:link w:val="Heading2"/>
    <w:uiPriority w:val="9"/>
    <w:rsid w:val="00E511CA"/>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18</Pages>
  <Words>5197</Words>
  <Characters>29628</Characters>
  <Application>Microsoft Office Word</Application>
  <DocSecurity>0</DocSecurity>
  <Lines>246</Lines>
  <Paragraphs>69</Paragraphs>
  <ScaleCrop>false</ScaleCrop>
  <Company/>
  <LinksUpToDate>false</LinksUpToDate>
  <CharactersWithSpaces>34756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shyam raj</cp:lastModifiedBy>
  <cp:revision>24</cp:revision>
  <dcterms:created xsi:type="dcterms:W3CDTF">2026-07-19T19:34:00Z</dcterms:created>
  <dcterms:modified xsi:type="dcterms:W3CDTF">2026-07-20T09:26:00Z</dcterms:modified>
</cp:coreProperties>
</file>