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D449" w14:textId="77777777" w:rsidR="00A51095" w:rsidRDefault="00A51095" w:rsidP="00A51095">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64DD6ED1" wp14:editId="1DF14416">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D56D2EF" w14:textId="77777777" w:rsidR="00A51095" w:rsidRDefault="00A51095" w:rsidP="00A51095">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56E6C934" w14:textId="77777777" w:rsidR="00A51095" w:rsidRDefault="00A51095" w:rsidP="00A51095">
      <w:pPr>
        <w:spacing w:after="100"/>
        <w:jc w:val="center"/>
        <w:rPr>
          <w:rFonts w:ascii="Times New Roman" w:hAnsi="Times New Roman" w:cs="Times New Roman"/>
          <w:b/>
          <w:bCs/>
          <w:color w:val="000000" w:themeColor="text1"/>
          <w:sz w:val="32"/>
          <w:szCs w:val="32"/>
          <w:lang w:val="en-CA"/>
        </w:rPr>
      </w:pPr>
    </w:p>
    <w:p w14:paraId="6EC1BA70" w14:textId="77777777" w:rsidR="00A51095" w:rsidRPr="00F54D0F" w:rsidRDefault="00A51095" w:rsidP="00A51095">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191A3FC5" w14:textId="77777777" w:rsidR="00A51095" w:rsidRPr="00F54D0F" w:rsidRDefault="00A51095" w:rsidP="00A51095">
      <w:pPr>
        <w:spacing w:after="100"/>
        <w:jc w:val="center"/>
        <w:rPr>
          <w:rFonts w:ascii="Times New Roman" w:hAnsi="Times New Roman" w:cs="Times New Roman"/>
          <w:b/>
          <w:bCs/>
          <w:color w:val="000000" w:themeColor="text1"/>
          <w:lang w:val="en-CA"/>
        </w:rPr>
      </w:pPr>
    </w:p>
    <w:p w14:paraId="1F0D1D65"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552D6157"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48FC228B"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0BC60378" w14:textId="77777777" w:rsidR="00A51095" w:rsidRPr="00F54D0F" w:rsidRDefault="00A51095" w:rsidP="00A51095">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467FC552"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2EC1B381"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58103819" w14:textId="77777777" w:rsidR="00A51095" w:rsidRDefault="00A51095" w:rsidP="00A51095">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014507EE" w14:textId="77777777" w:rsidR="00A51095" w:rsidRPr="00F54D0F" w:rsidRDefault="00A51095" w:rsidP="00A51095">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504DD7B4"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5558EE9B" w14:textId="77777777" w:rsidR="00A51095" w:rsidRPr="00F54D0F" w:rsidRDefault="00A51095" w:rsidP="00A51095">
      <w:pPr>
        <w:spacing w:after="100"/>
        <w:jc w:val="center"/>
        <w:rPr>
          <w:rFonts w:ascii="Times New Roman" w:hAnsi="Times New Roman" w:cs="Times New Roman"/>
          <w:b/>
          <w:bCs/>
          <w:color w:val="000000" w:themeColor="text1"/>
          <w:lang w:val="en-CA"/>
        </w:rPr>
      </w:pPr>
      <w:proofErr w:type="spellStart"/>
      <w:proofErr w:type="gramStart"/>
      <w:r w:rsidRPr="00F54D0F">
        <w:rPr>
          <w:rFonts w:ascii="Times New Roman" w:hAnsi="Times New Roman" w:cs="Times New Roman"/>
          <w:b/>
          <w:bCs/>
          <w:color w:val="000000" w:themeColor="text1"/>
          <w:lang w:val="en-CA"/>
        </w:rPr>
        <w:t>B.Shyam</w:t>
      </w:r>
      <w:proofErr w:type="spellEnd"/>
      <w:proofErr w:type="gramEnd"/>
      <w:r w:rsidRPr="00F54D0F">
        <w:rPr>
          <w:rFonts w:ascii="Times New Roman" w:hAnsi="Times New Roman" w:cs="Times New Roman"/>
          <w:b/>
          <w:bCs/>
          <w:color w:val="000000" w:themeColor="text1"/>
          <w:lang w:val="en-CA"/>
        </w:rPr>
        <w:t xml:space="preserve"> </w:t>
      </w:r>
      <w:proofErr w:type="gramStart"/>
      <w:r w:rsidRPr="00F54D0F">
        <w:rPr>
          <w:rFonts w:ascii="Times New Roman" w:hAnsi="Times New Roman" w:cs="Times New Roman"/>
          <w:b/>
          <w:bCs/>
          <w:color w:val="000000" w:themeColor="text1"/>
          <w:lang w:val="en-CA"/>
        </w:rPr>
        <w:t>raj(</w:t>
      </w:r>
      <w:proofErr w:type="gramEnd"/>
      <w:r w:rsidRPr="00F54D0F">
        <w:rPr>
          <w:rFonts w:ascii="Times New Roman" w:hAnsi="Times New Roman" w:cs="Times New Roman"/>
          <w:b/>
          <w:bCs/>
          <w:color w:val="000000" w:themeColor="text1"/>
          <w:lang w:val="en-CA"/>
        </w:rPr>
        <w:t>192421176)</w:t>
      </w:r>
    </w:p>
    <w:p w14:paraId="4FC689EC" w14:textId="77777777" w:rsidR="00A51095" w:rsidRPr="00F54D0F" w:rsidRDefault="00A51095" w:rsidP="00A51095">
      <w:pPr>
        <w:spacing w:after="100"/>
        <w:jc w:val="center"/>
        <w:rPr>
          <w:rFonts w:ascii="Times New Roman" w:hAnsi="Times New Roman" w:cs="Times New Roman"/>
          <w:b/>
          <w:bCs/>
          <w:color w:val="000000" w:themeColor="text1"/>
          <w:lang w:val="en-CA"/>
        </w:rPr>
      </w:pPr>
    </w:p>
    <w:p w14:paraId="0EA605DE" w14:textId="77777777" w:rsidR="00A51095" w:rsidRPr="00F54D0F" w:rsidRDefault="00A51095" w:rsidP="00A51095">
      <w:pPr>
        <w:spacing w:after="100"/>
        <w:jc w:val="center"/>
        <w:rPr>
          <w:rFonts w:ascii="Times New Roman" w:hAnsi="Times New Roman" w:cs="Times New Roman"/>
          <w:b/>
          <w:bCs/>
          <w:color w:val="000000" w:themeColor="text1"/>
          <w:lang w:val="en-CA"/>
        </w:rPr>
      </w:pPr>
    </w:p>
    <w:p w14:paraId="123BD50A"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1C68ADBD" w14:textId="77777777" w:rsidR="00A51095" w:rsidRPr="00F54D0F"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76DDDB9C" w14:textId="77777777" w:rsidR="00A51095" w:rsidRDefault="00A51095" w:rsidP="00A51095">
      <w:pPr>
        <w:jc w:val="center"/>
        <w:rPr>
          <w:rFonts w:ascii="Times New Roman" w:hAnsi="Times New Roman" w:cs="Times New Roman"/>
          <w:b/>
          <w:bCs/>
          <w:sz w:val="28"/>
          <w:szCs w:val="28"/>
        </w:rPr>
      </w:pPr>
    </w:p>
    <w:p w14:paraId="383EF977" w14:textId="77777777" w:rsidR="00A51095" w:rsidRDefault="00A51095" w:rsidP="00A51095">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62F52591" w14:textId="77777777" w:rsidR="00A51095" w:rsidRDefault="00A51095" w:rsidP="00A51095">
      <w:pPr>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CHENNAI-602105</w:t>
      </w:r>
    </w:p>
    <w:p w14:paraId="71AF159F" w14:textId="77777777" w:rsidR="00A51095" w:rsidRDefault="00A51095" w:rsidP="00A51095">
      <w:pPr>
        <w:jc w:val="center"/>
        <w:rPr>
          <w:rFonts w:ascii="Times New Roman" w:hAnsi="Times New Roman" w:cs="Times New Roman"/>
          <w:b/>
          <w:bCs/>
          <w:color w:val="000000" w:themeColor="text1"/>
          <w:lang w:val="en-CA"/>
        </w:rPr>
      </w:pPr>
    </w:p>
    <w:p w14:paraId="067C9BF2" w14:textId="77777777" w:rsidR="00A51095" w:rsidRDefault="00A51095" w:rsidP="00A51095">
      <w:pPr>
        <w:rPr>
          <w:rFonts w:ascii="Times New Roman" w:hAnsi="Times New Roman" w:cs="Times New Roman"/>
          <w:b/>
          <w:bCs/>
          <w:sz w:val="28"/>
          <w:szCs w:val="28"/>
        </w:rPr>
      </w:pPr>
    </w:p>
    <w:p w14:paraId="7D63CA05" w14:textId="77777777" w:rsidR="00A51095" w:rsidRDefault="00A51095" w:rsidP="00A51095">
      <w:pPr>
        <w:rPr>
          <w:rFonts w:ascii="Times New Roman" w:hAnsi="Times New Roman" w:cs="Times New Roman"/>
          <w:b/>
          <w:bCs/>
          <w:sz w:val="28"/>
          <w:szCs w:val="28"/>
        </w:rPr>
      </w:pPr>
    </w:p>
    <w:p w14:paraId="15481E67" w14:textId="77777777" w:rsidR="00A51095" w:rsidRDefault="00A51095" w:rsidP="00A51095">
      <w:pPr>
        <w:rPr>
          <w:rFonts w:ascii="Times New Roman" w:hAnsi="Times New Roman" w:cs="Times New Roman"/>
          <w:b/>
          <w:bCs/>
          <w:sz w:val="28"/>
          <w:szCs w:val="28"/>
        </w:rPr>
      </w:pPr>
    </w:p>
    <w:p w14:paraId="7E751E98" w14:textId="37151B3C" w:rsidR="00A51095" w:rsidRPr="0008539C" w:rsidRDefault="0008539C" w:rsidP="00A51095">
      <w:pPr>
        <w:rPr>
          <w:rFonts w:ascii="Times New Roman" w:hAnsi="Times New Roman" w:cs="Times New Roman"/>
          <w:b/>
          <w:bCs/>
          <w:sz w:val="32"/>
          <w:szCs w:val="32"/>
        </w:rPr>
      </w:pPr>
      <w:r w:rsidRPr="0008539C">
        <w:rPr>
          <w:rFonts w:ascii="Times New Roman" w:hAnsi="Times New Roman" w:cs="Times New Roman"/>
          <w:b/>
          <w:bCs/>
          <w:sz w:val="32"/>
          <w:szCs w:val="32"/>
        </w:rPr>
        <w:lastRenderedPageBreak/>
        <w:t>Table of Contents:</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7"/>
        <w:gridCol w:w="7128"/>
        <w:gridCol w:w="1350"/>
      </w:tblGrid>
      <w:tr w:rsidR="00A51095" w:rsidRPr="00A51095" w14:paraId="3D7C7261" w14:textId="77777777" w:rsidTr="00A51095">
        <w:trPr>
          <w:tblHeader/>
          <w:tblCellSpacing w:w="15" w:type="dxa"/>
        </w:trPr>
        <w:tc>
          <w:tcPr>
            <w:tcW w:w="0" w:type="auto"/>
            <w:vAlign w:val="center"/>
            <w:hideMark/>
          </w:tcPr>
          <w:p w14:paraId="6E23B357"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Section</w:t>
            </w:r>
          </w:p>
        </w:tc>
        <w:tc>
          <w:tcPr>
            <w:tcW w:w="7098" w:type="dxa"/>
            <w:vAlign w:val="center"/>
            <w:hideMark/>
          </w:tcPr>
          <w:p w14:paraId="6AA3EFD6"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Title</w:t>
            </w:r>
          </w:p>
        </w:tc>
        <w:tc>
          <w:tcPr>
            <w:tcW w:w="1305" w:type="dxa"/>
            <w:vAlign w:val="center"/>
            <w:hideMark/>
          </w:tcPr>
          <w:p w14:paraId="2E34DFDA"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Page</w:t>
            </w:r>
          </w:p>
        </w:tc>
      </w:tr>
      <w:tr w:rsidR="00A51095" w:rsidRPr="00A51095" w14:paraId="4FC7DB68" w14:textId="77777777" w:rsidTr="00A51095">
        <w:trPr>
          <w:tblCellSpacing w:w="15" w:type="dxa"/>
        </w:trPr>
        <w:tc>
          <w:tcPr>
            <w:tcW w:w="0" w:type="auto"/>
            <w:vAlign w:val="center"/>
            <w:hideMark/>
          </w:tcPr>
          <w:p w14:paraId="6A3CD850"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w:t>
            </w:r>
          </w:p>
        </w:tc>
        <w:tc>
          <w:tcPr>
            <w:tcW w:w="7098" w:type="dxa"/>
            <w:vAlign w:val="center"/>
            <w:hideMark/>
          </w:tcPr>
          <w:p w14:paraId="3B43768A"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Introduction</w:t>
            </w:r>
          </w:p>
        </w:tc>
        <w:tc>
          <w:tcPr>
            <w:tcW w:w="1305" w:type="dxa"/>
            <w:vAlign w:val="center"/>
            <w:hideMark/>
          </w:tcPr>
          <w:p w14:paraId="2627612E" w14:textId="13FC05F9" w:rsidR="00A51095" w:rsidRPr="00A51095" w:rsidRDefault="0008539C" w:rsidP="00A51095">
            <w:pPr>
              <w:jc w:val="center"/>
              <w:rPr>
                <w:rFonts w:ascii="Times New Roman" w:hAnsi="Times New Roman" w:cs="Times New Roman"/>
                <w:b/>
                <w:bCs/>
                <w:sz w:val="28"/>
                <w:szCs w:val="28"/>
              </w:rPr>
            </w:pPr>
            <w:r>
              <w:rPr>
                <w:rFonts w:ascii="Times New Roman" w:hAnsi="Times New Roman" w:cs="Times New Roman"/>
                <w:b/>
                <w:bCs/>
                <w:sz w:val="28"/>
                <w:szCs w:val="28"/>
              </w:rPr>
              <w:t>2</w:t>
            </w:r>
          </w:p>
        </w:tc>
      </w:tr>
      <w:tr w:rsidR="00A51095" w:rsidRPr="00A51095" w14:paraId="0D657E84" w14:textId="77777777" w:rsidTr="00A51095">
        <w:trPr>
          <w:tblCellSpacing w:w="15" w:type="dxa"/>
        </w:trPr>
        <w:tc>
          <w:tcPr>
            <w:tcW w:w="0" w:type="auto"/>
            <w:vAlign w:val="center"/>
            <w:hideMark/>
          </w:tcPr>
          <w:p w14:paraId="4138F960"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1.1</w:t>
            </w:r>
          </w:p>
        </w:tc>
        <w:tc>
          <w:tcPr>
            <w:tcW w:w="7098" w:type="dxa"/>
            <w:vAlign w:val="center"/>
            <w:hideMark/>
          </w:tcPr>
          <w:p w14:paraId="41C3B47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Purpose</w:t>
            </w:r>
          </w:p>
        </w:tc>
        <w:tc>
          <w:tcPr>
            <w:tcW w:w="1305" w:type="dxa"/>
            <w:vAlign w:val="center"/>
            <w:hideMark/>
          </w:tcPr>
          <w:p w14:paraId="0BEFE65F" w14:textId="5CEA4B76"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2</w:t>
            </w:r>
          </w:p>
        </w:tc>
      </w:tr>
      <w:tr w:rsidR="00A51095" w:rsidRPr="00A51095" w14:paraId="0A66D8D6" w14:textId="77777777" w:rsidTr="00A51095">
        <w:trPr>
          <w:tblCellSpacing w:w="15" w:type="dxa"/>
        </w:trPr>
        <w:tc>
          <w:tcPr>
            <w:tcW w:w="0" w:type="auto"/>
            <w:vAlign w:val="center"/>
            <w:hideMark/>
          </w:tcPr>
          <w:p w14:paraId="09B343AE"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1.2</w:t>
            </w:r>
          </w:p>
        </w:tc>
        <w:tc>
          <w:tcPr>
            <w:tcW w:w="7098" w:type="dxa"/>
            <w:vAlign w:val="center"/>
            <w:hideMark/>
          </w:tcPr>
          <w:p w14:paraId="3D3826C1"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Scope and Assumptions</w:t>
            </w:r>
          </w:p>
        </w:tc>
        <w:tc>
          <w:tcPr>
            <w:tcW w:w="1305" w:type="dxa"/>
            <w:vAlign w:val="center"/>
            <w:hideMark/>
          </w:tcPr>
          <w:p w14:paraId="2E338AF6" w14:textId="72E024DD"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2</w:t>
            </w:r>
          </w:p>
        </w:tc>
      </w:tr>
      <w:tr w:rsidR="00A51095" w:rsidRPr="00A51095" w14:paraId="17ABC120" w14:textId="77777777" w:rsidTr="00A51095">
        <w:trPr>
          <w:tblCellSpacing w:w="15" w:type="dxa"/>
        </w:trPr>
        <w:tc>
          <w:tcPr>
            <w:tcW w:w="0" w:type="auto"/>
            <w:vAlign w:val="center"/>
            <w:hideMark/>
          </w:tcPr>
          <w:p w14:paraId="26993893"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2</w:t>
            </w:r>
          </w:p>
        </w:tc>
        <w:tc>
          <w:tcPr>
            <w:tcW w:w="7098" w:type="dxa"/>
            <w:vAlign w:val="center"/>
            <w:hideMark/>
          </w:tcPr>
          <w:p w14:paraId="5F1C270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Requirement Analysis — CI/CD Needs</w:t>
            </w:r>
          </w:p>
        </w:tc>
        <w:tc>
          <w:tcPr>
            <w:tcW w:w="1305" w:type="dxa"/>
            <w:vAlign w:val="center"/>
            <w:hideMark/>
          </w:tcPr>
          <w:p w14:paraId="5612509F" w14:textId="3C0EEEAC"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2</w:t>
            </w:r>
          </w:p>
        </w:tc>
      </w:tr>
      <w:tr w:rsidR="00A51095" w:rsidRPr="00A51095" w14:paraId="349A99D8" w14:textId="77777777" w:rsidTr="00A51095">
        <w:trPr>
          <w:tblCellSpacing w:w="15" w:type="dxa"/>
        </w:trPr>
        <w:tc>
          <w:tcPr>
            <w:tcW w:w="0" w:type="auto"/>
            <w:vAlign w:val="center"/>
            <w:hideMark/>
          </w:tcPr>
          <w:p w14:paraId="331CA88A"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3</w:t>
            </w:r>
          </w:p>
        </w:tc>
        <w:tc>
          <w:tcPr>
            <w:tcW w:w="7098" w:type="dxa"/>
            <w:vAlign w:val="center"/>
            <w:hideMark/>
          </w:tcPr>
          <w:p w14:paraId="6D7A8DA6"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Pipeline Architecture Overview</w:t>
            </w:r>
          </w:p>
        </w:tc>
        <w:tc>
          <w:tcPr>
            <w:tcW w:w="1305" w:type="dxa"/>
            <w:vAlign w:val="center"/>
            <w:hideMark/>
          </w:tcPr>
          <w:p w14:paraId="1198F924" w14:textId="339462FF"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3</w:t>
            </w:r>
          </w:p>
        </w:tc>
      </w:tr>
      <w:tr w:rsidR="00A51095" w:rsidRPr="00A51095" w14:paraId="493FFA24" w14:textId="77777777" w:rsidTr="00A51095">
        <w:trPr>
          <w:tblCellSpacing w:w="15" w:type="dxa"/>
        </w:trPr>
        <w:tc>
          <w:tcPr>
            <w:tcW w:w="0" w:type="auto"/>
            <w:vAlign w:val="center"/>
            <w:hideMark/>
          </w:tcPr>
          <w:p w14:paraId="2A0CBD0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3.1</w:t>
            </w:r>
          </w:p>
        </w:tc>
        <w:tc>
          <w:tcPr>
            <w:tcW w:w="7098" w:type="dxa"/>
            <w:vAlign w:val="center"/>
            <w:hideMark/>
          </w:tcPr>
          <w:p w14:paraId="45BD5D6F"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Workflow Walkthrough — Commit to Deployment</w:t>
            </w:r>
          </w:p>
        </w:tc>
        <w:tc>
          <w:tcPr>
            <w:tcW w:w="1305" w:type="dxa"/>
            <w:vAlign w:val="center"/>
            <w:hideMark/>
          </w:tcPr>
          <w:p w14:paraId="0CB650A1" w14:textId="158B59D1"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3</w:t>
            </w:r>
          </w:p>
        </w:tc>
      </w:tr>
      <w:tr w:rsidR="00A51095" w:rsidRPr="00A51095" w14:paraId="6E8ED192" w14:textId="77777777" w:rsidTr="00A51095">
        <w:trPr>
          <w:tblCellSpacing w:w="15" w:type="dxa"/>
        </w:trPr>
        <w:tc>
          <w:tcPr>
            <w:tcW w:w="0" w:type="auto"/>
            <w:vAlign w:val="center"/>
            <w:hideMark/>
          </w:tcPr>
          <w:p w14:paraId="366C261F"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4</w:t>
            </w:r>
          </w:p>
        </w:tc>
        <w:tc>
          <w:tcPr>
            <w:tcW w:w="7098" w:type="dxa"/>
            <w:vAlign w:val="center"/>
            <w:hideMark/>
          </w:tcPr>
          <w:p w14:paraId="6DFF5471"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Pipeline Stages — Detailed Description</w:t>
            </w:r>
          </w:p>
        </w:tc>
        <w:tc>
          <w:tcPr>
            <w:tcW w:w="1305" w:type="dxa"/>
            <w:vAlign w:val="center"/>
            <w:hideMark/>
          </w:tcPr>
          <w:p w14:paraId="77576371" w14:textId="5F83B461"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4</w:t>
            </w:r>
          </w:p>
        </w:tc>
      </w:tr>
      <w:tr w:rsidR="00A51095" w:rsidRPr="00A51095" w14:paraId="2E6FD8E3" w14:textId="77777777" w:rsidTr="00A51095">
        <w:trPr>
          <w:tblCellSpacing w:w="15" w:type="dxa"/>
        </w:trPr>
        <w:tc>
          <w:tcPr>
            <w:tcW w:w="0" w:type="auto"/>
            <w:vAlign w:val="center"/>
            <w:hideMark/>
          </w:tcPr>
          <w:p w14:paraId="780AC10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5</w:t>
            </w:r>
          </w:p>
        </w:tc>
        <w:tc>
          <w:tcPr>
            <w:tcW w:w="7098" w:type="dxa"/>
            <w:vAlign w:val="center"/>
            <w:hideMark/>
          </w:tcPr>
          <w:p w14:paraId="4F9D090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Tools and Technology Selection</w:t>
            </w:r>
          </w:p>
        </w:tc>
        <w:tc>
          <w:tcPr>
            <w:tcW w:w="1305" w:type="dxa"/>
            <w:vAlign w:val="center"/>
            <w:hideMark/>
          </w:tcPr>
          <w:p w14:paraId="567054BE" w14:textId="7E0D3949"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5</w:t>
            </w:r>
          </w:p>
        </w:tc>
      </w:tr>
      <w:tr w:rsidR="00A51095" w:rsidRPr="00A51095" w14:paraId="3E2C5B16" w14:textId="77777777" w:rsidTr="00A51095">
        <w:trPr>
          <w:tblCellSpacing w:w="15" w:type="dxa"/>
        </w:trPr>
        <w:tc>
          <w:tcPr>
            <w:tcW w:w="0" w:type="auto"/>
            <w:vAlign w:val="center"/>
            <w:hideMark/>
          </w:tcPr>
          <w:p w14:paraId="13E04A7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6</w:t>
            </w:r>
          </w:p>
        </w:tc>
        <w:tc>
          <w:tcPr>
            <w:tcW w:w="7098" w:type="dxa"/>
            <w:vAlign w:val="center"/>
            <w:hideMark/>
          </w:tcPr>
          <w:p w14:paraId="1E959472"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Automated Testing Strategy</w:t>
            </w:r>
          </w:p>
        </w:tc>
        <w:tc>
          <w:tcPr>
            <w:tcW w:w="1305" w:type="dxa"/>
            <w:vAlign w:val="center"/>
            <w:hideMark/>
          </w:tcPr>
          <w:p w14:paraId="6B6C8B64" w14:textId="6C707018"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6</w:t>
            </w:r>
          </w:p>
        </w:tc>
      </w:tr>
      <w:tr w:rsidR="00A51095" w:rsidRPr="00A51095" w14:paraId="0DE53A5D" w14:textId="77777777" w:rsidTr="00A51095">
        <w:trPr>
          <w:tblCellSpacing w:w="15" w:type="dxa"/>
        </w:trPr>
        <w:tc>
          <w:tcPr>
            <w:tcW w:w="0" w:type="auto"/>
            <w:vAlign w:val="center"/>
            <w:hideMark/>
          </w:tcPr>
          <w:p w14:paraId="46AF3A3A"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7</w:t>
            </w:r>
          </w:p>
        </w:tc>
        <w:tc>
          <w:tcPr>
            <w:tcW w:w="7098" w:type="dxa"/>
            <w:vAlign w:val="center"/>
            <w:hideMark/>
          </w:tcPr>
          <w:p w14:paraId="4B5997B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Code Quality, Security and Compliance Checks</w:t>
            </w:r>
          </w:p>
        </w:tc>
        <w:tc>
          <w:tcPr>
            <w:tcW w:w="1305" w:type="dxa"/>
            <w:vAlign w:val="center"/>
            <w:hideMark/>
          </w:tcPr>
          <w:p w14:paraId="471F113D" w14:textId="2221240B"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7</w:t>
            </w:r>
          </w:p>
        </w:tc>
      </w:tr>
      <w:tr w:rsidR="00A51095" w:rsidRPr="00A51095" w14:paraId="5B85E057" w14:textId="77777777" w:rsidTr="00A51095">
        <w:trPr>
          <w:tblCellSpacing w:w="15" w:type="dxa"/>
        </w:trPr>
        <w:tc>
          <w:tcPr>
            <w:tcW w:w="0" w:type="auto"/>
            <w:vAlign w:val="center"/>
            <w:hideMark/>
          </w:tcPr>
          <w:p w14:paraId="2DFCB629"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8</w:t>
            </w:r>
          </w:p>
        </w:tc>
        <w:tc>
          <w:tcPr>
            <w:tcW w:w="7098" w:type="dxa"/>
            <w:vAlign w:val="center"/>
            <w:hideMark/>
          </w:tcPr>
          <w:p w14:paraId="52E51B75"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Deployment Strategy</w:t>
            </w:r>
          </w:p>
        </w:tc>
        <w:tc>
          <w:tcPr>
            <w:tcW w:w="1305" w:type="dxa"/>
            <w:vAlign w:val="center"/>
            <w:hideMark/>
          </w:tcPr>
          <w:p w14:paraId="3A5B4C2B" w14:textId="6266447E"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8</w:t>
            </w:r>
          </w:p>
        </w:tc>
      </w:tr>
      <w:tr w:rsidR="00A51095" w:rsidRPr="00A51095" w14:paraId="7CD6D3FA" w14:textId="77777777" w:rsidTr="00A51095">
        <w:trPr>
          <w:tblCellSpacing w:w="15" w:type="dxa"/>
        </w:trPr>
        <w:tc>
          <w:tcPr>
            <w:tcW w:w="0" w:type="auto"/>
            <w:vAlign w:val="center"/>
            <w:hideMark/>
          </w:tcPr>
          <w:p w14:paraId="39FC57D3"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8.1</w:t>
            </w:r>
          </w:p>
        </w:tc>
        <w:tc>
          <w:tcPr>
            <w:tcW w:w="7098" w:type="dxa"/>
            <w:vAlign w:val="center"/>
            <w:hideMark/>
          </w:tcPr>
          <w:p w14:paraId="20C21AE9"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Environments</w:t>
            </w:r>
          </w:p>
        </w:tc>
        <w:tc>
          <w:tcPr>
            <w:tcW w:w="1305" w:type="dxa"/>
            <w:vAlign w:val="center"/>
            <w:hideMark/>
          </w:tcPr>
          <w:p w14:paraId="518F2DA4" w14:textId="164CD955"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8</w:t>
            </w:r>
          </w:p>
        </w:tc>
      </w:tr>
      <w:tr w:rsidR="00A51095" w:rsidRPr="00A51095" w14:paraId="1E6008BC" w14:textId="77777777" w:rsidTr="00A51095">
        <w:trPr>
          <w:tblCellSpacing w:w="15" w:type="dxa"/>
        </w:trPr>
        <w:tc>
          <w:tcPr>
            <w:tcW w:w="0" w:type="auto"/>
            <w:vAlign w:val="center"/>
            <w:hideMark/>
          </w:tcPr>
          <w:p w14:paraId="588F1122"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8.2</w:t>
            </w:r>
          </w:p>
        </w:tc>
        <w:tc>
          <w:tcPr>
            <w:tcW w:w="7098" w:type="dxa"/>
            <w:vAlign w:val="center"/>
            <w:hideMark/>
          </w:tcPr>
          <w:p w14:paraId="0391342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Release Strategy</w:t>
            </w:r>
          </w:p>
        </w:tc>
        <w:tc>
          <w:tcPr>
            <w:tcW w:w="1305" w:type="dxa"/>
            <w:vAlign w:val="center"/>
            <w:hideMark/>
          </w:tcPr>
          <w:p w14:paraId="748B4842" w14:textId="6C2CCC2E"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9</w:t>
            </w:r>
          </w:p>
        </w:tc>
      </w:tr>
      <w:tr w:rsidR="00A51095" w:rsidRPr="00A51095" w14:paraId="50CA5F7B" w14:textId="77777777" w:rsidTr="00A51095">
        <w:trPr>
          <w:tblCellSpacing w:w="15" w:type="dxa"/>
        </w:trPr>
        <w:tc>
          <w:tcPr>
            <w:tcW w:w="0" w:type="auto"/>
            <w:vAlign w:val="center"/>
            <w:hideMark/>
          </w:tcPr>
          <w:p w14:paraId="653BD86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9</w:t>
            </w:r>
          </w:p>
        </w:tc>
        <w:tc>
          <w:tcPr>
            <w:tcW w:w="7098" w:type="dxa"/>
            <w:vAlign w:val="center"/>
            <w:hideMark/>
          </w:tcPr>
          <w:p w14:paraId="43E9EBE4"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Notifications and Monitoring</w:t>
            </w:r>
          </w:p>
        </w:tc>
        <w:tc>
          <w:tcPr>
            <w:tcW w:w="1305" w:type="dxa"/>
            <w:vAlign w:val="center"/>
            <w:hideMark/>
          </w:tcPr>
          <w:p w14:paraId="000B6911" w14:textId="51443606"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9</w:t>
            </w:r>
          </w:p>
        </w:tc>
      </w:tr>
      <w:tr w:rsidR="00A51095" w:rsidRPr="00A51095" w14:paraId="312AA76C" w14:textId="77777777" w:rsidTr="00A51095">
        <w:trPr>
          <w:tblCellSpacing w:w="15" w:type="dxa"/>
        </w:trPr>
        <w:tc>
          <w:tcPr>
            <w:tcW w:w="0" w:type="auto"/>
            <w:vAlign w:val="center"/>
            <w:hideMark/>
          </w:tcPr>
          <w:p w14:paraId="7EBDD543"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10</w:t>
            </w:r>
          </w:p>
        </w:tc>
        <w:tc>
          <w:tcPr>
            <w:tcW w:w="7098" w:type="dxa"/>
            <w:vAlign w:val="center"/>
            <w:hideMark/>
          </w:tcPr>
          <w:p w14:paraId="53AB622D"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Rollback Mechanism</w:t>
            </w:r>
          </w:p>
        </w:tc>
        <w:tc>
          <w:tcPr>
            <w:tcW w:w="1305" w:type="dxa"/>
            <w:vAlign w:val="center"/>
            <w:hideMark/>
          </w:tcPr>
          <w:p w14:paraId="70E2357B" w14:textId="67A23359"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10</w:t>
            </w:r>
          </w:p>
        </w:tc>
      </w:tr>
      <w:tr w:rsidR="00A51095" w:rsidRPr="00A51095" w14:paraId="406BCBCE" w14:textId="77777777" w:rsidTr="00A51095">
        <w:trPr>
          <w:tblCellSpacing w:w="15" w:type="dxa"/>
        </w:trPr>
        <w:tc>
          <w:tcPr>
            <w:tcW w:w="0" w:type="auto"/>
            <w:vAlign w:val="center"/>
            <w:hideMark/>
          </w:tcPr>
          <w:p w14:paraId="4C6597E6"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11</w:t>
            </w:r>
          </w:p>
        </w:tc>
        <w:tc>
          <w:tcPr>
            <w:tcW w:w="7098" w:type="dxa"/>
            <w:vAlign w:val="center"/>
            <w:hideMark/>
          </w:tcPr>
          <w:p w14:paraId="70813F33"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Sample Pipeline Configuration (Illustrative)</w:t>
            </w:r>
          </w:p>
        </w:tc>
        <w:tc>
          <w:tcPr>
            <w:tcW w:w="1305" w:type="dxa"/>
            <w:vAlign w:val="center"/>
            <w:hideMark/>
          </w:tcPr>
          <w:p w14:paraId="29626FE7" w14:textId="3E6C79FA"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11</w:t>
            </w:r>
          </w:p>
        </w:tc>
      </w:tr>
      <w:tr w:rsidR="00A51095" w:rsidRPr="00A51095" w14:paraId="5CF4C340" w14:textId="77777777" w:rsidTr="00A51095">
        <w:trPr>
          <w:tblCellSpacing w:w="15" w:type="dxa"/>
        </w:trPr>
        <w:tc>
          <w:tcPr>
            <w:tcW w:w="0" w:type="auto"/>
            <w:vAlign w:val="center"/>
            <w:hideMark/>
          </w:tcPr>
          <w:p w14:paraId="0276845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12</w:t>
            </w:r>
          </w:p>
        </w:tc>
        <w:tc>
          <w:tcPr>
            <w:tcW w:w="7098" w:type="dxa"/>
            <w:vAlign w:val="center"/>
            <w:hideMark/>
          </w:tcPr>
          <w:p w14:paraId="17BFC3AB"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Domain-Specific Risk Considerations</w:t>
            </w:r>
          </w:p>
        </w:tc>
        <w:tc>
          <w:tcPr>
            <w:tcW w:w="1305" w:type="dxa"/>
            <w:vAlign w:val="center"/>
            <w:hideMark/>
          </w:tcPr>
          <w:p w14:paraId="32C2243B" w14:textId="7BAB6977"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12</w:t>
            </w:r>
          </w:p>
        </w:tc>
      </w:tr>
      <w:tr w:rsidR="00A51095" w:rsidRPr="00A51095" w14:paraId="2851CFF6" w14:textId="77777777" w:rsidTr="00A51095">
        <w:trPr>
          <w:tblCellSpacing w:w="15" w:type="dxa"/>
        </w:trPr>
        <w:tc>
          <w:tcPr>
            <w:tcW w:w="0" w:type="auto"/>
            <w:vAlign w:val="center"/>
            <w:hideMark/>
          </w:tcPr>
          <w:p w14:paraId="34F34398"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13</w:t>
            </w:r>
          </w:p>
        </w:tc>
        <w:tc>
          <w:tcPr>
            <w:tcW w:w="7098" w:type="dxa"/>
            <w:vAlign w:val="center"/>
            <w:hideMark/>
          </w:tcPr>
          <w:p w14:paraId="7374F3C9" w14:textId="77777777" w:rsidR="00A51095" w:rsidRPr="00A51095" w:rsidRDefault="00A51095" w:rsidP="00A51095">
            <w:pPr>
              <w:jc w:val="center"/>
              <w:rPr>
                <w:rFonts w:ascii="Times New Roman" w:hAnsi="Times New Roman" w:cs="Times New Roman"/>
                <w:b/>
                <w:bCs/>
                <w:sz w:val="28"/>
                <w:szCs w:val="28"/>
              </w:rPr>
            </w:pPr>
            <w:r w:rsidRPr="00A51095">
              <w:rPr>
                <w:rFonts w:ascii="Times New Roman" w:hAnsi="Times New Roman" w:cs="Times New Roman"/>
                <w:b/>
                <w:bCs/>
                <w:sz w:val="28"/>
                <w:szCs w:val="28"/>
              </w:rPr>
              <w:t>Conclusion</w:t>
            </w:r>
          </w:p>
        </w:tc>
        <w:tc>
          <w:tcPr>
            <w:tcW w:w="1305" w:type="dxa"/>
            <w:vAlign w:val="center"/>
            <w:hideMark/>
          </w:tcPr>
          <w:p w14:paraId="68B9507E" w14:textId="1F68C5C6" w:rsidR="00A51095" w:rsidRPr="00A51095" w:rsidRDefault="00A51095" w:rsidP="00A51095">
            <w:pPr>
              <w:jc w:val="center"/>
              <w:rPr>
                <w:rFonts w:ascii="Times New Roman" w:hAnsi="Times New Roman" w:cs="Times New Roman"/>
                <w:b/>
                <w:bCs/>
                <w:sz w:val="28"/>
                <w:szCs w:val="28"/>
              </w:rPr>
            </w:pPr>
            <w:r>
              <w:rPr>
                <w:rFonts w:ascii="Times New Roman" w:hAnsi="Times New Roman" w:cs="Times New Roman"/>
                <w:b/>
                <w:bCs/>
                <w:sz w:val="28"/>
                <w:szCs w:val="28"/>
              </w:rPr>
              <w:t>13</w:t>
            </w:r>
          </w:p>
        </w:tc>
      </w:tr>
    </w:tbl>
    <w:p w14:paraId="1DBE508F" w14:textId="77777777" w:rsidR="00A51095" w:rsidRDefault="00A51095" w:rsidP="00A51095">
      <w:pPr>
        <w:rPr>
          <w:rFonts w:ascii="Times New Roman" w:hAnsi="Times New Roman" w:cs="Times New Roman"/>
          <w:b/>
          <w:bCs/>
          <w:sz w:val="28"/>
          <w:szCs w:val="28"/>
        </w:rPr>
      </w:pPr>
    </w:p>
    <w:p w14:paraId="1244FB84" w14:textId="77777777" w:rsidR="00A51095" w:rsidRDefault="00A51095" w:rsidP="00A51095">
      <w:pPr>
        <w:rPr>
          <w:rFonts w:ascii="Times New Roman" w:hAnsi="Times New Roman" w:cs="Times New Roman"/>
          <w:b/>
          <w:bCs/>
          <w:sz w:val="28"/>
          <w:szCs w:val="28"/>
        </w:rPr>
      </w:pPr>
    </w:p>
    <w:p w14:paraId="2D674281" w14:textId="7B71AA93"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1. Introduction</w:t>
      </w:r>
    </w:p>
    <w:p w14:paraId="6D6F113F" w14:textId="77777777" w:rsidR="00A51095" w:rsidRPr="00A51095" w:rsidRDefault="00A51095" w:rsidP="00A51095">
      <w:pPr>
        <w:jc w:val="both"/>
        <w:rPr>
          <w:rFonts w:ascii="Times New Roman" w:hAnsi="Times New Roman" w:cs="Times New Roman"/>
        </w:rPr>
      </w:pPr>
      <w:r w:rsidRPr="00A51095">
        <w:rPr>
          <w:rFonts w:ascii="Times New Roman" w:hAnsi="Times New Roman" w:cs="Times New Roman"/>
        </w:rPr>
        <w:t>This document presents the design of a Continuous Integration and Continuous Deployment (CI/CD) pipeline for the Intelligent Vaccine Cold Storage Monitoring System — an IoT- and AI-enabled platform that continuously monitors vaccine storage temperature, humidity, power, and refrigeration health across hospitals, clinics, pharmacies, blood banks, and vaccination centers. Because the platform directly protects patient safety and regulatory compliance, the pipeline is designed to deliver frequent, low-risk releases (including periodic ML model updates) without ever compromising the reliability of live cold-chain monitoring.</w:t>
      </w:r>
    </w:p>
    <w:p w14:paraId="58F59B8A"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1.1 Purpose</w:t>
      </w:r>
    </w:p>
    <w:p w14:paraId="615CEE7F" w14:textId="77777777" w:rsidR="00A51095" w:rsidRPr="00A51095" w:rsidRDefault="00A51095" w:rsidP="00A51095">
      <w:pPr>
        <w:jc w:val="both"/>
        <w:rPr>
          <w:rFonts w:ascii="Times New Roman" w:hAnsi="Times New Roman" w:cs="Times New Roman"/>
        </w:rPr>
      </w:pPr>
      <w:r w:rsidRPr="00A51095">
        <w:rPr>
          <w:rFonts w:ascii="Times New Roman" w:hAnsi="Times New Roman" w:cs="Times New Roman"/>
        </w:rPr>
        <w:t xml:space="preserve">The purpose of this pipeline is to automate code integration, build, testing, quality/security analysis, packaging, and deployment so that new features, bug fixes, and predictive-maintenance model updates reach production quickly, safely, and with a full audit trail, while </w:t>
      </w:r>
      <w:proofErr w:type="spellStart"/>
      <w:r w:rsidRPr="00A51095">
        <w:rPr>
          <w:rFonts w:ascii="Times New Roman" w:hAnsi="Times New Roman" w:cs="Times New Roman"/>
        </w:rPr>
        <w:t>minimising</w:t>
      </w:r>
      <w:proofErr w:type="spellEnd"/>
      <w:r w:rsidRPr="00A51095">
        <w:rPr>
          <w:rFonts w:ascii="Times New Roman" w:hAnsi="Times New Roman" w:cs="Times New Roman"/>
        </w:rPr>
        <w:t xml:space="preserve"> the risk of an undetected defect ever affecting a live vaccine storage facility.</w:t>
      </w:r>
    </w:p>
    <w:p w14:paraId="45367785"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1.2 Scope and Assumptions</w:t>
      </w:r>
    </w:p>
    <w:p w14:paraId="55940D0C"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The system is composed of independently deployable microservices (sensor-ingestion API, alerting service, ML prediction service, compliance-reporting service) plus a web/mobile dashboard front end.</w:t>
      </w:r>
    </w:p>
    <w:p w14:paraId="2BC55622"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Source code is hosted on Git (e.g., GitHub/GitLab) using a trunk-based or short-lived feature-branch workflow with mandatory pull-request review.</w:t>
      </w:r>
    </w:p>
    <w:p w14:paraId="4C8628D9"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 xml:space="preserve">The pipeline targets a </w:t>
      </w:r>
      <w:proofErr w:type="spellStart"/>
      <w:r w:rsidRPr="00A51095">
        <w:rPr>
          <w:rFonts w:ascii="Times New Roman" w:hAnsi="Times New Roman" w:cs="Times New Roman"/>
        </w:rPr>
        <w:t>containerised</w:t>
      </w:r>
      <w:proofErr w:type="spellEnd"/>
      <w:r w:rsidRPr="00A51095">
        <w:rPr>
          <w:rFonts w:ascii="Times New Roman" w:hAnsi="Times New Roman" w:cs="Times New Roman"/>
        </w:rPr>
        <w:t>, cloud-hosted deployment (Kubernetes) capable of independently scaling per facility load, consistent with the system's multi-facility scalability requirement.</w:t>
      </w:r>
    </w:p>
    <w:p w14:paraId="51D9E625"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Three environments are assumed: Development, Staging/QA, and Production, mirroring the environment strategy expected of a regulated healthcare platform.</w:t>
      </w:r>
    </w:p>
    <w:p w14:paraId="2F5F0710"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2. Requirement Analysis — CI/CD Needs</w:t>
      </w:r>
    </w:p>
    <w:p w14:paraId="6B9EC0AF" w14:textId="77777777" w:rsidR="00A51095" w:rsidRPr="00A51095" w:rsidRDefault="00A51095" w:rsidP="00A51095">
      <w:pPr>
        <w:jc w:val="both"/>
        <w:rPr>
          <w:rFonts w:ascii="Times New Roman" w:hAnsi="Times New Roman" w:cs="Times New Roman"/>
        </w:rPr>
      </w:pPr>
      <w:proofErr w:type="spellStart"/>
      <w:r w:rsidRPr="00A51095">
        <w:rPr>
          <w:rFonts w:ascii="Times New Roman" w:hAnsi="Times New Roman" w:cs="Times New Roman"/>
        </w:rPr>
        <w:t>Analysing</w:t>
      </w:r>
      <w:proofErr w:type="spellEnd"/>
      <w:r w:rsidRPr="00A51095">
        <w:rPr>
          <w:rFonts w:ascii="Times New Roman" w:hAnsi="Times New Roman" w:cs="Times New Roman"/>
        </w:rPr>
        <w:t xml:space="preserve"> the problem statement against typical DevOps drivers identifies the following CI/CD requirements specific to this system:</w:t>
      </w:r>
    </w:p>
    <w:p w14:paraId="4452EB8A"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Frequent, safe releases: Predictive-maintenance ML models and alert-threshold logic will be updated regularly and must be validated and released without manual, error-prone steps.</w:t>
      </w:r>
    </w:p>
    <w:p w14:paraId="3C22F19D"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Zero/near-zero downtime: The platform must monitor cold-chain conditions 24/7, so deployments cannot interrupt active sensor ingestion or alerting.</w:t>
      </w:r>
    </w:p>
    <w:p w14:paraId="239BDDC4"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lastRenderedPageBreak/>
        <w:t>Fast feedback on defects: A regression in excursion-detection or alerting logic is a patient-safety risk, so failures must be caught at the earliest possible pipeline stage.</w:t>
      </w:r>
    </w:p>
    <w:p w14:paraId="2D9777DA"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Strong security and compliance gates: The system handles facility and equipment data subject to healthcare cold-chain regulations, requiring automated security scanning and an immutable deployment audit trail on every release.</w:t>
      </w:r>
    </w:p>
    <w:p w14:paraId="26DDC342"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Safe, fast rollback: Given the criticality of continuous monitoring, any regression detected post-deployment must be reversible within minutes.</w:t>
      </w:r>
    </w:p>
    <w:p w14:paraId="24988562"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Multi-facility, multi-environment scalability: New healthcare facilities must be onboarded without manual server provisioning, requiring Infrastructure-as-Code and environment parity.</w:t>
      </w:r>
    </w:p>
    <w:p w14:paraId="0A41C23E"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Traceability: Every production change must be traceable to a commit, an approver, and a passing test/security report, to satisfy regulatory audit requirements.</w:t>
      </w:r>
    </w:p>
    <w:p w14:paraId="17C57C7F"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3. Pipeline Architecture Overview</w:t>
      </w:r>
    </w:p>
    <w:p w14:paraId="0E45E1EA" w14:textId="77777777" w:rsidR="00A51095" w:rsidRPr="00A51095" w:rsidRDefault="00A51095" w:rsidP="00A51095">
      <w:pPr>
        <w:jc w:val="both"/>
        <w:rPr>
          <w:rFonts w:ascii="Times New Roman" w:hAnsi="Times New Roman" w:cs="Times New Roman"/>
        </w:rPr>
      </w:pPr>
      <w:r w:rsidRPr="00A51095">
        <w:rPr>
          <w:rFonts w:ascii="Times New Roman" w:hAnsi="Times New Roman" w:cs="Times New Roman"/>
        </w:rPr>
        <w:t xml:space="preserve">The pipeline is </w:t>
      </w:r>
      <w:proofErr w:type="spellStart"/>
      <w:r w:rsidRPr="00A51095">
        <w:rPr>
          <w:rFonts w:ascii="Times New Roman" w:hAnsi="Times New Roman" w:cs="Times New Roman"/>
        </w:rPr>
        <w:t>organised</w:t>
      </w:r>
      <w:proofErr w:type="spellEnd"/>
      <w:r w:rsidRPr="00A51095">
        <w:rPr>
          <w:rFonts w:ascii="Times New Roman" w:hAnsi="Times New Roman" w:cs="Times New Roman"/>
        </w:rPr>
        <w:t xml:space="preserve"> into a Continuous Integration (CI) phase — from developer commit through to a versioned, scanned container image in the registry — followed by a Continuous Deployment (CD) phase that promotes that same image through Development, Staging, and Production with automated and manual quality gates. Failures at any gate halt the pipeline and trigger an automatic notification; a failed production health check triggers an automatic rollback.</w:t>
      </w:r>
    </w:p>
    <w:p w14:paraId="35D89B77" w14:textId="00D45DAE" w:rsidR="00A51095" w:rsidRPr="00A51095" w:rsidRDefault="00A51095" w:rsidP="00A51095">
      <w:pPr>
        <w:jc w:val="center"/>
        <w:rPr>
          <w:rFonts w:ascii="Times New Roman" w:hAnsi="Times New Roman" w:cs="Times New Roman"/>
        </w:rPr>
      </w:pPr>
      <w:r w:rsidRPr="00A51095">
        <w:rPr>
          <w:rFonts w:ascii="Times New Roman" w:hAnsi="Times New Roman" w:cs="Times New Roman"/>
        </w:rPr>
        <w:drawing>
          <wp:inline distT="0" distB="0" distL="0" distR="0" wp14:anchorId="3ED61461" wp14:editId="235DDDD0">
            <wp:extent cx="5943600" cy="2377440"/>
            <wp:effectExtent l="0" t="0" r="0" b="3810"/>
            <wp:docPr id="151817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51D0EFFB" w14:textId="77777777" w:rsidR="00A51095" w:rsidRPr="00A51095" w:rsidRDefault="00A51095" w:rsidP="00A51095">
      <w:pPr>
        <w:jc w:val="center"/>
        <w:rPr>
          <w:rFonts w:ascii="Times New Roman" w:hAnsi="Times New Roman" w:cs="Times New Roman"/>
          <w:sz w:val="22"/>
          <w:szCs w:val="22"/>
        </w:rPr>
      </w:pPr>
      <w:r w:rsidRPr="00A51095">
        <w:rPr>
          <w:rFonts w:ascii="Times New Roman" w:hAnsi="Times New Roman" w:cs="Times New Roman"/>
          <w:i/>
          <w:iCs/>
          <w:sz w:val="22"/>
          <w:szCs w:val="22"/>
        </w:rPr>
        <w:t>Figure 1: End-to-end CI/CD pipeline — from developer commit to production deployment</w:t>
      </w:r>
    </w:p>
    <w:p w14:paraId="23971F27"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3.1 Workflow Walkthrough — Commit to Deployment</w:t>
      </w:r>
    </w:p>
    <w:p w14:paraId="7792DE60"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A developer commits code to a feature branch and opens a pull request; a successful review and merge to main triggers the pipeline via a webhook.</w:t>
      </w:r>
    </w:p>
    <w:p w14:paraId="586A0674"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lastRenderedPageBreak/>
        <w:t>The CI phase builds the application, runs unit/component tests, performs static code-quality and security analysis, then packages and scans a container image before pushing it to the registry.</w:t>
      </w:r>
    </w:p>
    <w:p w14:paraId="76867A76"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The CD phase pulls the validated image and auto-deploys it to the Development environment for a smoke test, followed by automated Integration Tests against simulated IoT sensor payloads.</w:t>
      </w:r>
    </w:p>
    <w:p w14:paraId="2014F768"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The same image is promoted to Staging, where it undergoes User Acceptance Testing, performance/load testing, and a Dynamic Application Security Test (DAST).</w:t>
      </w:r>
    </w:p>
    <w:p w14:paraId="5F64120B"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A release manager reviews the Staging results at a manual Approval Gate before the image is deployed to Production using a Blue-Green or Canary strategy.</w:t>
      </w:r>
    </w:p>
    <w:p w14:paraId="1D1511DB"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Post-deployment, the pipeline continuously monitors health metrics; if error rates or health checks breach a threshold, the previous stable image is automatically redeployed (rollback) and the team is notified.</w:t>
      </w:r>
    </w:p>
    <w:p w14:paraId="4EFA47BE" w14:textId="77777777" w:rsidR="00A51095" w:rsidRDefault="00A51095" w:rsidP="00A51095">
      <w:pPr>
        <w:rPr>
          <w:rFonts w:ascii="Times New Roman" w:hAnsi="Times New Roman" w:cs="Times New Roman"/>
          <w:b/>
          <w:bCs/>
        </w:rPr>
      </w:pPr>
    </w:p>
    <w:p w14:paraId="4C5ABA93" w14:textId="29918724"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4. Pipeline Stages — Detailed Description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00"/>
        <w:gridCol w:w="3950"/>
        <w:gridCol w:w="3450"/>
      </w:tblGrid>
      <w:tr w:rsidR="00A51095" w:rsidRPr="00A51095" w14:paraId="30B92EAC" w14:textId="77777777">
        <w:trPr>
          <w:tblHeader/>
        </w:trPr>
        <w:tc>
          <w:tcPr>
            <w:tcW w:w="4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FB48633"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B8D2279"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Stage</w:t>
            </w:r>
          </w:p>
        </w:tc>
        <w:tc>
          <w:tcPr>
            <w:tcW w:w="395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07074E4"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Purpose</w:t>
            </w:r>
          </w:p>
        </w:tc>
        <w:tc>
          <w:tcPr>
            <w:tcW w:w="345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5412F1D"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Exit Criteria</w:t>
            </w:r>
          </w:p>
        </w:tc>
      </w:tr>
      <w:tr w:rsidR="00A51095" w:rsidRPr="00A51095" w14:paraId="5E0D5E19"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404CB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1</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CC906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Source Code Management</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ECBA90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Version control, branching, peer review via pull requests</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20A95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PR approved by at least one reviewer; branch protection rules pass</w:t>
            </w:r>
          </w:p>
        </w:tc>
      </w:tr>
      <w:tr w:rsidR="00A51095" w:rsidRPr="00A51095" w14:paraId="1BC94682"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1DFC9B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2</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14A22C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Build</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425406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Compile/</w:t>
            </w:r>
            <w:proofErr w:type="spellStart"/>
            <w:r w:rsidRPr="00A51095">
              <w:rPr>
                <w:rFonts w:ascii="Times New Roman" w:hAnsi="Times New Roman" w:cs="Times New Roman"/>
              </w:rPr>
              <w:t>transpile</w:t>
            </w:r>
            <w:proofErr w:type="spellEnd"/>
            <w:r w:rsidRPr="00A51095">
              <w:rPr>
                <w:rFonts w:ascii="Times New Roman" w:hAnsi="Times New Roman" w:cs="Times New Roman"/>
              </w:rPr>
              <w:t xml:space="preserve"> code and resolve dependencies for each microservice</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425736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Build completes with zero compilation errors</w:t>
            </w:r>
          </w:p>
        </w:tc>
      </w:tr>
      <w:tr w:rsidR="00A51095" w:rsidRPr="00A51095" w14:paraId="4E81B25E"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3A2A80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3</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14838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Unit &amp; Component Tests</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06EFB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Verify individual functions/modules (e.g., excursion-detection logic) in isolation</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2639B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All tests pass; coverage ≥ 80%</w:t>
            </w:r>
          </w:p>
        </w:tc>
      </w:tr>
      <w:tr w:rsidR="00A51095" w:rsidRPr="00A51095" w14:paraId="4EF1545A"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0A4AE8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4</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8C7ED2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Code Quality &amp; Security Scan (SAST)</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8E1939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Static analysis for code smells, bugs, and known vulnerability patterns</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0E6BD1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Quality gate passed; zero critical/high vulnerabilities</w:t>
            </w:r>
          </w:p>
        </w:tc>
      </w:tr>
      <w:tr w:rsidR="00A51095" w:rsidRPr="00A51095" w14:paraId="6BCB978C"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3DEC9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5</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AA4C4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Package &amp; </w:t>
            </w:r>
            <w:proofErr w:type="gramStart"/>
            <w:r w:rsidRPr="00A51095">
              <w:rPr>
                <w:rFonts w:ascii="Times New Roman" w:hAnsi="Times New Roman" w:cs="Times New Roman"/>
              </w:rPr>
              <w:t>Containerize</w:t>
            </w:r>
            <w:proofErr w:type="gramEnd"/>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3CF71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Build a versioned, immutable Docker image for each service</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E0092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Image builds successfully and is tagged with commit SHA</w:t>
            </w:r>
          </w:p>
        </w:tc>
      </w:tr>
      <w:tr w:rsidR="00A51095" w:rsidRPr="00A51095" w14:paraId="794E8CF0"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C81BE2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lastRenderedPageBreak/>
              <w:t>6</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868FEB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Container Image Scan &amp; Registry Push</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F017C6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Scan the image for OS/library CVEs before publishing</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70DD91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No critical CVEs; image pushed to private registry</w:t>
            </w:r>
          </w:p>
        </w:tc>
      </w:tr>
      <w:tr w:rsidR="00A51095" w:rsidRPr="00A51095" w14:paraId="7B7EFB92"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81D2D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7</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8355E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 to Development</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83752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Automatically deploy the new image to an ephemeral Dev environment</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324B4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Deployment succeeds; smoke test passes</w:t>
            </w:r>
          </w:p>
        </w:tc>
      </w:tr>
      <w:tr w:rsidR="00A51095" w:rsidRPr="00A51095" w14:paraId="3277B8CC"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185F7E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8</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B83B66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Integration Tests</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6F864D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Validate service-to-service and simulated IoT sensor-to-API communication</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240FEB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All integration test suites pass</w:t>
            </w:r>
          </w:p>
        </w:tc>
      </w:tr>
      <w:tr w:rsidR="00A51095" w:rsidRPr="00A51095" w14:paraId="70124809"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F9448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9</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C791E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 to Staging</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359CC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 to a production-mirrored environment for full validation</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CCE8F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Deployment succeeds; environment healthy</w:t>
            </w:r>
          </w:p>
        </w:tc>
      </w:tr>
      <w:tr w:rsidR="00A51095" w:rsidRPr="00A51095" w14:paraId="2B54CE9D"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862683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10</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2451C5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UAT, Performance &amp; DAST</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05DE47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Business sign-off, load testing, and runtime security testing</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D128A6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UAT sign-off obtained; latency/throughput targets met; no high DAST findings</w:t>
            </w:r>
          </w:p>
        </w:tc>
      </w:tr>
      <w:tr w:rsidR="00A51095" w:rsidRPr="00A51095" w14:paraId="1218B0F1"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87292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11</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42F8B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Manual Approval Gate</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4C50D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Release manager reviews all reports before production release</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C5D8B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Explicit approval recorded in the pipeline audit log</w:t>
            </w:r>
          </w:p>
        </w:tc>
      </w:tr>
      <w:tr w:rsidR="00A51095" w:rsidRPr="00A51095" w14:paraId="784F61B6" w14:textId="77777777">
        <w:tc>
          <w:tcPr>
            <w:tcW w:w="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848BEB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12</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9C8DF3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 to Production</w:t>
            </w:r>
          </w:p>
        </w:tc>
        <w:tc>
          <w:tcPr>
            <w:tcW w:w="39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A2873C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Gradual (Canary) or Blue-Green rollout to live facilities</w:t>
            </w:r>
          </w:p>
        </w:tc>
        <w:tc>
          <w:tcPr>
            <w:tcW w:w="345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CEDC29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Health checks green at each rollout increment</w:t>
            </w:r>
          </w:p>
        </w:tc>
      </w:tr>
      <w:tr w:rsidR="00A51095" w:rsidRPr="00A51095" w14:paraId="4AE7799B" w14:textId="77777777">
        <w:tc>
          <w:tcPr>
            <w:tcW w:w="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64865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13</w:t>
            </w:r>
          </w:p>
        </w:tc>
        <w:tc>
          <w:tcPr>
            <w:tcW w:w="19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81AD5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Monitor &amp; Health Check</w:t>
            </w:r>
          </w:p>
        </w:tc>
        <w:tc>
          <w:tcPr>
            <w:tcW w:w="39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E49DC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Continuous post-deploy observability and alert-threshold monitoring</w:t>
            </w:r>
          </w:p>
        </w:tc>
        <w:tc>
          <w:tcPr>
            <w:tcW w:w="345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84CE3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Metrics remain within SLO; otherwise triggers rollback</w:t>
            </w:r>
          </w:p>
        </w:tc>
      </w:tr>
    </w:tbl>
    <w:p w14:paraId="335D9E60" w14:textId="77777777" w:rsidR="00A51095" w:rsidRDefault="00A51095" w:rsidP="00A51095">
      <w:pPr>
        <w:rPr>
          <w:rFonts w:ascii="Times New Roman" w:hAnsi="Times New Roman" w:cs="Times New Roman"/>
          <w:b/>
          <w:bCs/>
        </w:rPr>
      </w:pPr>
    </w:p>
    <w:p w14:paraId="2D311703" w14:textId="12F09A56"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5. Tools and Technology Selection</w:t>
      </w:r>
    </w:p>
    <w:p w14:paraId="4F4C908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Tools were selected to </w:t>
      </w:r>
      <w:proofErr w:type="spellStart"/>
      <w:r w:rsidRPr="00A51095">
        <w:rPr>
          <w:rFonts w:ascii="Times New Roman" w:hAnsi="Times New Roman" w:cs="Times New Roman"/>
        </w:rPr>
        <w:t>favour</w:t>
      </w:r>
      <w:proofErr w:type="spellEnd"/>
      <w:r w:rsidRPr="00A51095">
        <w:rPr>
          <w:rFonts w:ascii="Times New Roman" w:hAnsi="Times New Roman" w:cs="Times New Roman"/>
        </w:rPr>
        <w:t xml:space="preserve"> mature, widely-adopted, and well-documented options appropriate for a regulated healthcare deployment.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5000"/>
      </w:tblGrid>
      <w:tr w:rsidR="00A51095" w:rsidRPr="00A51095" w14:paraId="6633AEE0" w14:textId="77777777">
        <w:trPr>
          <w:tblHeader/>
        </w:trPr>
        <w:tc>
          <w:tcPr>
            <w:tcW w:w="20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7524F7B"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Stage</w:t>
            </w:r>
          </w:p>
        </w:tc>
        <w:tc>
          <w:tcPr>
            <w:tcW w:w="2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BC00EDB"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Recommended Tool(s)</w:t>
            </w:r>
          </w:p>
        </w:tc>
        <w:tc>
          <w:tcPr>
            <w:tcW w:w="50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206B3FC"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Justification</w:t>
            </w:r>
          </w:p>
        </w:tc>
      </w:tr>
      <w:tr w:rsidR="00A51095" w:rsidRPr="00A51095" w14:paraId="7D77202E"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C8A98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Source Code Management</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1C9E4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GitHub / GitLab</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F1A5E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Industry-standard hosting with pull-request review, branch protection, and native webhook triggers for CI.</w:t>
            </w:r>
          </w:p>
        </w:tc>
      </w:tr>
      <w:tr w:rsidR="00A51095" w:rsidRPr="00A51095" w14:paraId="19FE2E2A"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E1A6F8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lastRenderedPageBreak/>
              <w:t>CI/CD Orchestrator</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369BB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GitHub Actions (or Jenkins)</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4FF878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Native integration with SCM, wide plugin/action ecosystem, and YAML pipelines that are themselves version-controlled.</w:t>
            </w:r>
          </w:p>
        </w:tc>
      </w:tr>
      <w:tr w:rsidR="00A51095" w:rsidRPr="00A51095" w14:paraId="15D747D4"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3DD3F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Build</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FA0C0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Maven / Gradle (Java services), </w:t>
            </w:r>
            <w:proofErr w:type="spellStart"/>
            <w:r w:rsidRPr="00A51095">
              <w:rPr>
                <w:rFonts w:ascii="Times New Roman" w:hAnsi="Times New Roman" w:cs="Times New Roman"/>
              </w:rPr>
              <w:t>npm</w:t>
            </w:r>
            <w:proofErr w:type="spellEnd"/>
            <w:r w:rsidRPr="00A51095">
              <w:rPr>
                <w:rFonts w:ascii="Times New Roman" w:hAnsi="Times New Roman" w:cs="Times New Roman"/>
              </w:rPr>
              <w:t xml:space="preserve"> (Node/React dashboard)</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8ACBCE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Standard, well-supported build and dependency-management tools matching each service's language stack.</w:t>
            </w:r>
          </w:p>
        </w:tc>
      </w:tr>
      <w:tr w:rsidR="00A51095" w:rsidRPr="00A51095" w14:paraId="7E9B01F6"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EEB512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Unit &amp; Component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49432E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JUnit 5 + Mockito, Jest</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471D8E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De-facto frameworks for Java and JavaScript, enabling fast, isolated, mockable tests with rich reporting.</w:t>
            </w:r>
          </w:p>
        </w:tc>
      </w:tr>
      <w:tr w:rsidR="00A51095" w:rsidRPr="00A51095" w14:paraId="157BF2A4"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A737B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Code Coverage</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1189B2"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JaCoCo</w:t>
            </w:r>
            <w:proofErr w:type="spellEnd"/>
            <w:r w:rsidRPr="00A51095">
              <w:rPr>
                <w:rFonts w:ascii="Times New Roman" w:hAnsi="Times New Roman" w:cs="Times New Roman"/>
              </w:rPr>
              <w:t xml:space="preserve"> / Istanbul (</w:t>
            </w:r>
            <w:proofErr w:type="spellStart"/>
            <w:r w:rsidRPr="00A51095">
              <w:rPr>
                <w:rFonts w:ascii="Times New Roman" w:hAnsi="Times New Roman" w:cs="Times New Roman"/>
              </w:rPr>
              <w:t>nyc</w:t>
            </w:r>
            <w:proofErr w:type="spellEnd"/>
            <w:r w:rsidRPr="00A51095">
              <w:rPr>
                <w:rFonts w:ascii="Times New Roman" w:hAnsi="Times New Roman" w:cs="Times New Roman"/>
              </w:rPr>
              <w:t>)</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0DC7B8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Enforces an objective, automatable coverage gate integrated with the build tools above.</w:t>
            </w:r>
          </w:p>
        </w:tc>
      </w:tr>
      <w:tr w:rsidR="00A51095" w:rsidRPr="00A51095" w14:paraId="3B7C1E76"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F18361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Static Code Analysis (SAST)</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EDF4F1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SonarQube, </w:t>
            </w:r>
            <w:proofErr w:type="spellStart"/>
            <w:r w:rsidRPr="00A51095">
              <w:rPr>
                <w:rFonts w:ascii="Times New Roman" w:hAnsi="Times New Roman" w:cs="Times New Roman"/>
              </w:rPr>
              <w:t>Semgrep</w:t>
            </w:r>
            <w:proofErr w:type="spellEnd"/>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7EA1D8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SonarQube provides a maintainability/quality gate; </w:t>
            </w:r>
            <w:proofErr w:type="spellStart"/>
            <w:r w:rsidRPr="00A51095">
              <w:rPr>
                <w:rFonts w:ascii="Times New Roman" w:hAnsi="Times New Roman" w:cs="Times New Roman"/>
              </w:rPr>
              <w:t>Semgrep</w:t>
            </w:r>
            <w:proofErr w:type="spellEnd"/>
            <w:r w:rsidRPr="00A51095">
              <w:rPr>
                <w:rFonts w:ascii="Times New Roman" w:hAnsi="Times New Roman" w:cs="Times New Roman"/>
              </w:rPr>
              <w:t xml:space="preserve"> adds fast, rule-based vulnerability pattern detection.</w:t>
            </w:r>
          </w:p>
        </w:tc>
      </w:tr>
      <w:tr w:rsidR="00A51095" w:rsidRPr="00A51095" w14:paraId="3829C767"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A95AD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Dependency &amp; Secret Scanning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0F29B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OWASP Dependency-Check / Snyk, </w:t>
            </w:r>
            <w:proofErr w:type="spellStart"/>
            <w:r w:rsidRPr="00A51095">
              <w:rPr>
                <w:rFonts w:ascii="Times New Roman" w:hAnsi="Times New Roman" w:cs="Times New Roman"/>
              </w:rPr>
              <w:t>GitLeaks</w:t>
            </w:r>
            <w:proofErr w:type="spellEnd"/>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BF7CF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Detects known-vulnerable libraries and accidental credential leaks before they reach source history or production.</w:t>
            </w:r>
          </w:p>
        </w:tc>
      </w:tr>
      <w:tr w:rsidR="00A51095" w:rsidRPr="00A51095" w14:paraId="34461CA2"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5D392A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Containerization</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0AF1C5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Docker</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8DFFEF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Provides environment parity from a developer's laptop through to production, eliminating 'it works on my machine' failures.</w:t>
            </w:r>
          </w:p>
        </w:tc>
      </w:tr>
      <w:tr w:rsidR="00A51095" w:rsidRPr="00A51095" w14:paraId="19C290F0"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C53BD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Container Image Scanning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953113"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Trivy</w:t>
            </w:r>
            <w:proofErr w:type="spellEnd"/>
            <w:r w:rsidRPr="00A51095">
              <w:rPr>
                <w:rFonts w:ascii="Times New Roman" w:hAnsi="Times New Roman" w:cs="Times New Roman"/>
              </w:rPr>
              <w:t xml:space="preserve"> / </w:t>
            </w:r>
            <w:proofErr w:type="spellStart"/>
            <w:r w:rsidRPr="00A51095">
              <w:rPr>
                <w:rFonts w:ascii="Times New Roman" w:hAnsi="Times New Roman" w:cs="Times New Roman"/>
              </w:rPr>
              <w:t>Grype</w:t>
            </w:r>
            <w:proofErr w:type="spellEnd"/>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885F7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Lightweight, fast CVE scanning of OS packages and application dependencies inside the built image.</w:t>
            </w:r>
          </w:p>
        </w:tc>
      </w:tr>
      <w:tr w:rsidR="00A51095" w:rsidRPr="00A51095" w14:paraId="409A6678"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83F145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Container Registry</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6FD111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Amazon ECR / private Docker Hub</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584BED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Secure, access-controlled storage of versioned, immutable release artifacts.</w:t>
            </w:r>
          </w:p>
        </w:tc>
      </w:tr>
      <w:tr w:rsidR="00A51095" w:rsidRPr="00A51095" w14:paraId="2778C3D9"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59E90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Infrastructure as Code</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4E814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Terraform</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C317E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Repeatable, version-controlled provisioning of Dev/Staging/Production infrastructure — critical for onboarding new facilities quickly.</w:t>
            </w:r>
          </w:p>
        </w:tc>
      </w:tr>
      <w:tr w:rsidR="00A51095" w:rsidRPr="00A51095" w14:paraId="38FD02A7"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EFE27E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lastRenderedPageBreak/>
              <w:t>Container Orchestration</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74CF0F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Kubernetes (EKS/AKS/GKE)</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DC4910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Auto-scaling and self-healing deployment platform that meets the system's multi-facility scalability requirement.</w:t>
            </w:r>
          </w:p>
        </w:tc>
      </w:tr>
      <w:tr w:rsidR="00A51095" w:rsidRPr="00A51095" w14:paraId="06165EAB"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D5B883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Integration / API Testing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85DE7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Postman + Newman, </w:t>
            </w:r>
            <w:proofErr w:type="spellStart"/>
            <w:r w:rsidRPr="00A51095">
              <w:rPr>
                <w:rFonts w:ascii="Times New Roman" w:hAnsi="Times New Roman" w:cs="Times New Roman"/>
              </w:rPr>
              <w:t>RestAssured</w:t>
            </w:r>
            <w:proofErr w:type="spellEnd"/>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9B3E99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Automatable, CI-friendly contract and API testing, including simulated IoT sensor payloads.</w:t>
            </w:r>
          </w:p>
        </w:tc>
      </w:tr>
      <w:tr w:rsidR="00A51095" w:rsidRPr="00A51095" w14:paraId="4F3126D5"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33A7AC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Performance / Load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585B23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k6 / Apache JMeter</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511994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Simulates thousands of concurrent virtual sensors to validate the platform meets its alert-latency SLO under load.</w:t>
            </w:r>
          </w:p>
        </w:tc>
      </w:tr>
      <w:tr w:rsidR="00A51095" w:rsidRPr="00A51095" w14:paraId="47BD2CCD"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BAB998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Dynamic Security Testing (DAST)</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2D122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OWASP ZAP</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1E3AA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Runtime scanning of the deployed Staging application for exploitable vulnerabilities not visible from source alone.</w:t>
            </w:r>
          </w:p>
        </w:tc>
      </w:tr>
      <w:tr w:rsidR="00A51095" w:rsidRPr="00A51095" w14:paraId="1D371DE9"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F6C924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Deployment Strategy Tool</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334BDE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Argo CD / Spinnaker</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96545E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Enables automated, observable Blue-Green/Canary rollouts with built-in promotion and rollback hooks.</w:t>
            </w:r>
          </w:p>
        </w:tc>
      </w:tr>
      <w:tr w:rsidR="00A51095" w:rsidRPr="00A51095" w14:paraId="100156E5"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83449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Monitoring &amp; Observability</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EA4F1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Prometheus + Grafana, ELK/OpenSearch</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E9B63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Industry-standard metrics and </w:t>
            </w:r>
            <w:proofErr w:type="spellStart"/>
            <w:r w:rsidRPr="00A51095">
              <w:rPr>
                <w:rFonts w:ascii="Times New Roman" w:hAnsi="Times New Roman" w:cs="Times New Roman"/>
              </w:rPr>
              <w:t>centralised</w:t>
            </w:r>
            <w:proofErr w:type="spellEnd"/>
            <w:r w:rsidRPr="00A51095">
              <w:rPr>
                <w:rFonts w:ascii="Times New Roman" w:hAnsi="Times New Roman" w:cs="Times New Roman"/>
              </w:rPr>
              <w:t xml:space="preserve"> log aggregation feeding both dashboards and automated health-check rules.</w:t>
            </w:r>
          </w:p>
        </w:tc>
      </w:tr>
      <w:tr w:rsidR="00A51095" w:rsidRPr="00A51095" w14:paraId="7D556ABA" w14:textId="77777777">
        <w:tc>
          <w:tcPr>
            <w:tcW w:w="2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E6F580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Alerting &amp; Notifications</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090A6F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Slack webhook, Email (SMTP), SMS gateway, PagerDuty</w:t>
            </w:r>
          </w:p>
        </w:tc>
        <w:tc>
          <w:tcPr>
            <w:tcW w:w="50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86106F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Multi-channel delivery matching the platform's own requirement for redundant, fast personnel notification.</w:t>
            </w:r>
          </w:p>
        </w:tc>
      </w:tr>
      <w:tr w:rsidR="00A51095" w:rsidRPr="00A51095" w14:paraId="7796ED84" w14:textId="77777777">
        <w:tc>
          <w:tcPr>
            <w:tcW w:w="2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EC4D7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Secrets Management</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64BDA7"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HashiCorp</w:t>
            </w:r>
            <w:proofErr w:type="spellEnd"/>
            <w:r w:rsidRPr="00A51095">
              <w:rPr>
                <w:rFonts w:ascii="Times New Roman" w:hAnsi="Times New Roman" w:cs="Times New Roman"/>
              </w:rPr>
              <w:t xml:space="preserve"> Vault / AWS Secrets Manager</w:t>
            </w:r>
          </w:p>
        </w:tc>
        <w:tc>
          <w:tcPr>
            <w:tcW w:w="5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CC66F6"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Centralised</w:t>
            </w:r>
            <w:proofErr w:type="spellEnd"/>
            <w:r w:rsidRPr="00A51095">
              <w:rPr>
                <w:rFonts w:ascii="Times New Roman" w:hAnsi="Times New Roman" w:cs="Times New Roman"/>
              </w:rPr>
              <w:t>, encrypted, access-audited storage of database credentials and API keys used throughout the pipeline.</w:t>
            </w:r>
          </w:p>
        </w:tc>
      </w:tr>
    </w:tbl>
    <w:p w14:paraId="0E169220" w14:textId="77777777" w:rsidR="00A51095" w:rsidRDefault="00A51095" w:rsidP="00A51095">
      <w:pPr>
        <w:rPr>
          <w:rFonts w:ascii="Times New Roman" w:hAnsi="Times New Roman" w:cs="Times New Roman"/>
          <w:b/>
          <w:bCs/>
        </w:rPr>
      </w:pPr>
    </w:p>
    <w:p w14:paraId="7422CE6C" w14:textId="5C35915D"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6. Automated Testing Strategy</w:t>
      </w:r>
    </w:p>
    <w:p w14:paraId="7655ED9B" w14:textId="77777777" w:rsidR="00A51095" w:rsidRPr="00A51095" w:rsidRDefault="00A51095" w:rsidP="00A51095">
      <w:pPr>
        <w:jc w:val="both"/>
        <w:rPr>
          <w:rFonts w:ascii="Times New Roman" w:hAnsi="Times New Roman" w:cs="Times New Roman"/>
        </w:rPr>
      </w:pPr>
      <w:r w:rsidRPr="00A51095">
        <w:rPr>
          <w:rFonts w:ascii="Times New Roman" w:hAnsi="Times New Roman" w:cs="Times New Roman"/>
        </w:rPr>
        <w:t>Testing is layered so that cheap, fast checks run first and expensive, slower checks run later — giving developers the fastest possible feedback while still gating production on thorough validation.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600"/>
      </w:tblGrid>
      <w:tr w:rsidR="00A51095" w:rsidRPr="00A51095" w14:paraId="748601E3"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989548F"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lastRenderedPageBreak/>
              <w:t>Test Type</w:t>
            </w:r>
          </w:p>
        </w:tc>
        <w:tc>
          <w:tcPr>
            <w:tcW w:w="2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47DD888"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Pipeline Stage</w:t>
            </w:r>
          </w:p>
        </w:tc>
        <w:tc>
          <w:tcPr>
            <w:tcW w:w="46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AE88011"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What It Validates</w:t>
            </w:r>
          </w:p>
        </w:tc>
      </w:tr>
      <w:tr w:rsidR="00A51095" w:rsidRPr="00A51095" w14:paraId="56FC6352" w14:textId="77777777">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03491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Unit Testing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17D94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CI — Build</w:t>
            </w:r>
          </w:p>
        </w:tc>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6F7AED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Individual functions/methods, e.g., temperature-range validation logic, in isolation using mocks.</w:t>
            </w:r>
          </w:p>
        </w:tc>
      </w:tr>
      <w:tr w:rsidR="00A51095" w:rsidRPr="00A51095" w14:paraId="50DA26CF"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B7B377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Component/Contract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10C125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CI — Build</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29923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A single service's </w:t>
            </w:r>
            <w:proofErr w:type="spellStart"/>
            <w:r w:rsidRPr="00A51095">
              <w:rPr>
                <w:rFonts w:ascii="Times New Roman" w:hAnsi="Times New Roman" w:cs="Times New Roman"/>
              </w:rPr>
              <w:t>behaviour</w:t>
            </w:r>
            <w:proofErr w:type="spellEnd"/>
            <w:r w:rsidRPr="00A51095">
              <w:rPr>
                <w:rFonts w:ascii="Times New Roman" w:hAnsi="Times New Roman" w:cs="Times New Roman"/>
              </w:rPr>
              <w:t xml:space="preserve"> and its API contract, independent of other services.</w:t>
            </w:r>
          </w:p>
        </w:tc>
      </w:tr>
      <w:tr w:rsidR="00A51095" w:rsidRPr="00A51095" w14:paraId="64541B01" w14:textId="77777777">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0FB83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Static Analysis (SAST)</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1A770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CI — Quality &amp; Security Scan</w:t>
            </w:r>
          </w:p>
        </w:tc>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556D7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Code smells, maintainability issues, and known insecure coding patterns before the code is even executed.</w:t>
            </w:r>
          </w:p>
        </w:tc>
      </w:tr>
      <w:tr w:rsidR="00A51095" w:rsidRPr="00A51095" w14:paraId="0CBF1AC6"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99CF3D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Dependency &amp; Container Scanning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5437052"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CI — Package/Scan</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738E53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Known CVEs in third-party libraries and OS packages bundled into the container image.</w:t>
            </w:r>
          </w:p>
        </w:tc>
      </w:tr>
      <w:tr w:rsidR="00A51095" w:rsidRPr="00A51095" w14:paraId="56AF8811" w14:textId="77777777">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72C79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Integration Testing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5FC56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Dev</w:t>
            </w:r>
          </w:p>
        </w:tc>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248FD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End-to-end communication between microservices and simulated IoT sensor/gateway data feeds.</w:t>
            </w:r>
          </w:p>
        </w:tc>
      </w:tr>
      <w:tr w:rsidR="00A51095" w:rsidRPr="00A51095" w14:paraId="66F4F602"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703E74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Regression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BCBF58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Dev/Staging (automated nightly + per-merge)</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97A72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That previously working functionality (e.g., alert de-duplication, excursion detection) has not broken.</w:t>
            </w:r>
          </w:p>
        </w:tc>
      </w:tr>
      <w:tr w:rsidR="00A51095" w:rsidRPr="00A51095" w14:paraId="2F75F2D2" w14:textId="77777777">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8E9F5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Performance/Load Testing</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82B22E"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Staging</w:t>
            </w:r>
          </w:p>
        </w:tc>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0FA5AB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 xml:space="preserve">System </w:t>
            </w:r>
            <w:proofErr w:type="spellStart"/>
            <w:r w:rsidRPr="00A51095">
              <w:rPr>
                <w:rFonts w:ascii="Times New Roman" w:hAnsi="Times New Roman" w:cs="Times New Roman"/>
              </w:rPr>
              <w:t>behaviour</w:t>
            </w:r>
            <w:proofErr w:type="spellEnd"/>
            <w:r w:rsidRPr="00A51095">
              <w:rPr>
                <w:rFonts w:ascii="Times New Roman" w:hAnsi="Times New Roman" w:cs="Times New Roman"/>
              </w:rPr>
              <w:t xml:space="preserve"> under thousands of concurrent sensor connections; alert-latency SLO adherence.</w:t>
            </w:r>
          </w:p>
        </w:tc>
      </w:tr>
      <w:tr w:rsidR="00A51095" w:rsidRPr="00A51095" w14:paraId="44E5F200"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AF136C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Dynamic Security Testing (DAST)</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2D078D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Staging</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2B8C18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Runtime vulnerabilities (e.g., injection, auth bypass) against the deployed, running application.</w:t>
            </w:r>
          </w:p>
        </w:tc>
      </w:tr>
      <w:tr w:rsidR="00A51095" w:rsidRPr="00A51095" w14:paraId="56B1044F" w14:textId="77777777">
        <w:tc>
          <w:tcPr>
            <w:tcW w:w="24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81B12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User Acceptance Testing (UAT)</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E7720F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Staging</w:t>
            </w:r>
          </w:p>
        </w:tc>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390CE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Business/clinical stakeholder sign-off that new features behave as expected in a production-like setting.</w:t>
            </w:r>
          </w:p>
        </w:tc>
      </w:tr>
      <w:tr w:rsidR="00A51095" w:rsidRPr="00A51095" w14:paraId="5F91B564"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FFF376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Smoke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CFDF33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CD — Post-deploy (Dev, Staging, Production)</w:t>
            </w:r>
          </w:p>
        </w:tc>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5685BAD"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Critical-path health checks immediately after every deployment, before traffic is fully routed.</w:t>
            </w:r>
          </w:p>
        </w:tc>
      </w:tr>
    </w:tbl>
    <w:p w14:paraId="23284D98" w14:textId="77777777" w:rsidR="00A51095" w:rsidRDefault="00A51095" w:rsidP="00A51095">
      <w:pPr>
        <w:rPr>
          <w:rFonts w:ascii="Times New Roman" w:hAnsi="Times New Roman" w:cs="Times New Roman"/>
          <w:b/>
          <w:bCs/>
        </w:rPr>
      </w:pPr>
    </w:p>
    <w:p w14:paraId="73E8AA59" w14:textId="4A9DCF58"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lastRenderedPageBreak/>
        <w:t>7. Code Quality, Security and Compliance Checks</w:t>
      </w:r>
    </w:p>
    <w:p w14:paraId="3FDBFD30"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Quality Gate: SonarQube enforces a minimum maintainability rating and blocks merges that introduce new critical/blocker issues.</w:t>
      </w:r>
    </w:p>
    <w:p w14:paraId="758CE0CB"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 xml:space="preserve">SAST: </w:t>
      </w:r>
      <w:proofErr w:type="spellStart"/>
      <w:r w:rsidRPr="00A51095">
        <w:rPr>
          <w:rFonts w:ascii="Times New Roman" w:hAnsi="Times New Roman" w:cs="Times New Roman"/>
        </w:rPr>
        <w:t>Semgrep</w:t>
      </w:r>
      <w:proofErr w:type="spellEnd"/>
      <w:r w:rsidRPr="00A51095">
        <w:rPr>
          <w:rFonts w:ascii="Times New Roman" w:hAnsi="Times New Roman" w:cs="Times New Roman"/>
        </w:rPr>
        <w:t>/SonarQube security rules scan every commit for insecure patterns (e.g., hard-coded secrets, SQL injection risk) before a build proceeds.</w:t>
      </w:r>
    </w:p>
    <w:p w14:paraId="3898BB17"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Software Composition Analysis: Dependency scanning blocks any build that introduces a library with a known critical CVE.</w:t>
      </w:r>
    </w:p>
    <w:p w14:paraId="564E3832"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Secret Scanning: Every push is scanned for accidentally committed credentials or API keys; a match blocks the merge and rotates the exposed secret.</w:t>
      </w:r>
    </w:p>
    <w:p w14:paraId="11CEC403"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Container Hardening: Images are built from minimal base images, scanned for CVEs, and run as non-root inside Kubernetes with least-privilege service accounts.</w:t>
      </w:r>
    </w:p>
    <w:p w14:paraId="44426581"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Encrypted Transport &amp; Storage: TLS is enforced for all inter-service and sensor-to-cloud traffic; secrets are pulled at runtime from a managed vault, never stored in the repository.</w:t>
      </w:r>
    </w:p>
    <w:p w14:paraId="423CEB77"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Immutable Audit Trail: Every pipeline run — including who approved the production release — is logged immutably to satisfy healthcare cold-chain regulatory audit requirements.</w:t>
      </w:r>
    </w:p>
    <w:p w14:paraId="362219C2"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8. Deployment Strategy</w:t>
      </w:r>
    </w:p>
    <w:p w14:paraId="55430609"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8.1 Environments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700"/>
        <w:gridCol w:w="2200"/>
      </w:tblGrid>
      <w:tr w:rsidR="00A51095" w:rsidRPr="00A51095" w14:paraId="4896FFF8"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74B69F4"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Environment</w:t>
            </w:r>
          </w:p>
        </w:tc>
        <w:tc>
          <w:tcPr>
            <w:tcW w:w="32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32C7195"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Purpose</w:t>
            </w:r>
          </w:p>
        </w:tc>
        <w:tc>
          <w:tcPr>
            <w:tcW w:w="27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B0E46F6"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Deployment Trigger</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DC4F926"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Data</w:t>
            </w:r>
          </w:p>
        </w:tc>
      </w:tr>
      <w:tr w:rsidR="00A51095" w:rsidRPr="00A51095" w14:paraId="3F2E5F9A" w14:textId="77777777">
        <w:tc>
          <w:tcPr>
            <w:tcW w:w="1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E6ACC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Development</w:t>
            </w:r>
          </w:p>
        </w:tc>
        <w:tc>
          <w:tcPr>
            <w:tcW w:w="3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7F2669"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Rapid feedback for developers; validates that a merged change builds and boots correctly</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F154FF"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Automatic, on every merge to main</w:t>
            </w:r>
          </w:p>
        </w:tc>
        <w:tc>
          <w:tcPr>
            <w:tcW w:w="2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856A615"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Synthetic/mock sensor data</w:t>
            </w:r>
          </w:p>
        </w:tc>
      </w:tr>
      <w:tr w:rsidR="00A51095" w:rsidRPr="00A51095" w14:paraId="5A9F7659" w14:textId="77777777">
        <w:tc>
          <w:tcPr>
            <w:tcW w:w="1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11666F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Staging / QA</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37911A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Production-like environment for UAT, performance, and security testing</w:t>
            </w:r>
          </w:p>
        </w:tc>
        <w:tc>
          <w:tcPr>
            <w:tcW w:w="27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6A65016"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Automatic, on successful Dev deployment + passing integration tests</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55B4CD6"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Anonymised</w:t>
            </w:r>
            <w:proofErr w:type="spellEnd"/>
            <w:r w:rsidRPr="00A51095">
              <w:rPr>
                <w:rFonts w:ascii="Times New Roman" w:hAnsi="Times New Roman" w:cs="Times New Roman"/>
              </w:rPr>
              <w:t xml:space="preserve"> or synthetic data mirroring production volume</w:t>
            </w:r>
          </w:p>
        </w:tc>
      </w:tr>
      <w:tr w:rsidR="00A51095" w:rsidRPr="00A51095" w14:paraId="5B03C977" w14:textId="77777777">
        <w:tc>
          <w:tcPr>
            <w:tcW w:w="1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8C0E8C"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Production</w:t>
            </w:r>
          </w:p>
        </w:tc>
        <w:tc>
          <w:tcPr>
            <w:tcW w:w="3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16DF0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Live monitoring of real healthcare facilities</w:t>
            </w:r>
          </w:p>
        </w:tc>
        <w:tc>
          <w:tcPr>
            <w:tcW w:w="27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763AE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Manual approval gate, after all Staging checks pass</w:t>
            </w:r>
          </w:p>
        </w:tc>
        <w:tc>
          <w:tcPr>
            <w:tcW w:w="22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BD737A"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Live facility sensor data</w:t>
            </w:r>
          </w:p>
        </w:tc>
      </w:tr>
    </w:tbl>
    <w:p w14:paraId="6046168E" w14:textId="77777777" w:rsidR="00A51095" w:rsidRDefault="00A51095" w:rsidP="00A51095">
      <w:pPr>
        <w:rPr>
          <w:rFonts w:ascii="Times New Roman" w:hAnsi="Times New Roman" w:cs="Times New Roman"/>
          <w:b/>
          <w:bCs/>
        </w:rPr>
      </w:pPr>
    </w:p>
    <w:p w14:paraId="490FCEDA" w14:textId="77777777" w:rsidR="00A51095" w:rsidRDefault="00A51095" w:rsidP="00A51095">
      <w:pPr>
        <w:rPr>
          <w:rFonts w:ascii="Times New Roman" w:hAnsi="Times New Roman" w:cs="Times New Roman"/>
          <w:b/>
          <w:bCs/>
        </w:rPr>
      </w:pPr>
    </w:p>
    <w:p w14:paraId="3B54C944" w14:textId="7BDC2F4E" w:rsidR="00A51095" w:rsidRPr="00A51095" w:rsidRDefault="00A51095" w:rsidP="00A51095">
      <w:pPr>
        <w:rPr>
          <w:rFonts w:ascii="Times New Roman" w:hAnsi="Times New Roman" w:cs="Times New Roman"/>
        </w:rPr>
      </w:pPr>
      <w:r w:rsidRPr="00A51095">
        <w:rPr>
          <w:rFonts w:ascii="Times New Roman" w:hAnsi="Times New Roman" w:cs="Times New Roman"/>
          <w:b/>
          <w:bCs/>
        </w:rPr>
        <w:lastRenderedPageBreak/>
        <w:t>8.2 Release Strategy</w:t>
      </w:r>
    </w:p>
    <w:p w14:paraId="3EBA079A" w14:textId="77777777" w:rsidR="00A51095" w:rsidRPr="00A51095" w:rsidRDefault="00A51095" w:rsidP="00A51095">
      <w:pPr>
        <w:jc w:val="both"/>
        <w:rPr>
          <w:rFonts w:ascii="Times New Roman" w:hAnsi="Times New Roman" w:cs="Times New Roman"/>
        </w:rPr>
      </w:pPr>
      <w:r w:rsidRPr="00A51095">
        <w:rPr>
          <w:rFonts w:ascii="Times New Roman" w:hAnsi="Times New Roman" w:cs="Times New Roman"/>
        </w:rPr>
        <w:t>Given the patient-safety criticality of continuous monitoring, production releases use a Canary rollout by default: the new version is routed a small percentage of facility traffic (e.g., 5%), automatically promoted in increments (25% → 50% → 100%) as health metrics stay within SLO, and automatically halted/rolled back if error rates or alert-latency breach a threshold at any increment. For major or infrastructure-level releases where an instant full cut-over is preferred, a Blue-Green strategy is used instead, keeping the previous production environment warm for immediate rollback.</w:t>
      </w:r>
    </w:p>
    <w:p w14:paraId="01C266E1"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9. Notifications and Monitoring</w:t>
      </w:r>
    </w:p>
    <w:p w14:paraId="19F1879A"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Pipeline failure at any CI or CD gate immediately notifies the responsible development/DevOps team via Slack, email, and SMS, and halts further progression.</w:t>
      </w:r>
    </w:p>
    <w:p w14:paraId="61EBEBD3"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A successful production deployment automatically posts release notes (linked commits, approver, test/security summary) to a release channel for traceability.</w:t>
      </w:r>
    </w:p>
    <w:p w14:paraId="32C2D612"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Post-deployment, Prometheus/Grafana dashboards track alert-dispatch latency, error rate, and system uptime in real time against defined SLOs.</w:t>
      </w:r>
    </w:p>
    <w:p w14:paraId="779B30E6"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 xml:space="preserve">A daily automated pipeline-health digest </w:t>
      </w:r>
      <w:proofErr w:type="spellStart"/>
      <w:r w:rsidRPr="00A51095">
        <w:rPr>
          <w:rFonts w:ascii="Times New Roman" w:hAnsi="Times New Roman" w:cs="Times New Roman"/>
        </w:rPr>
        <w:t>summarises</w:t>
      </w:r>
      <w:proofErr w:type="spellEnd"/>
      <w:r w:rsidRPr="00A51095">
        <w:rPr>
          <w:rFonts w:ascii="Times New Roman" w:hAnsi="Times New Roman" w:cs="Times New Roman"/>
        </w:rPr>
        <w:t xml:space="preserve"> build success rate, mean time to detect (MTTD), and mean time to recover (MTTR) for continuous process improvement.</w:t>
      </w:r>
    </w:p>
    <w:p w14:paraId="17AFE8E2"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10. Rollback Mechanism</w:t>
      </w:r>
    </w:p>
    <w:p w14:paraId="5285ED5C"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Automated rollback: If post-deployment health checks (error rate, latency, alert-delivery success) breach threshold within the monitoring window, the deployment tool automatically redirects traffic back to the last known-good image and halts the rollout.</w:t>
      </w:r>
    </w:p>
    <w:p w14:paraId="76EFB24B"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One-click manual rollback: Release managers can trigger an immediate rollback to any previous versioned image directly from the deployment tool, independent of the automated trigger.</w:t>
      </w:r>
    </w:p>
    <w:p w14:paraId="6497D936"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Database migration safety: Schema changes follow an expand-contract pattern (additive, backward-compatible changes deployed ahead of code changes) so a rollback never leaves the database in an incompatible state.</w:t>
      </w:r>
    </w:p>
    <w:p w14:paraId="3074D119" w14:textId="77777777" w:rsidR="00A51095" w:rsidRPr="00A51095" w:rsidRDefault="00A51095" w:rsidP="00A51095">
      <w:pPr>
        <w:numPr>
          <w:ilvl w:val="0"/>
          <w:numId w:val="1"/>
        </w:numPr>
        <w:jc w:val="both"/>
        <w:rPr>
          <w:rFonts w:ascii="Times New Roman" w:hAnsi="Times New Roman" w:cs="Times New Roman"/>
        </w:rPr>
      </w:pPr>
      <w:r w:rsidRPr="00A51095">
        <w:rPr>
          <w:rFonts w:ascii="Times New Roman" w:hAnsi="Times New Roman" w:cs="Times New Roman"/>
        </w:rPr>
        <w:t>Rollback audit logging: Every rollback event — automatic or manual — is logged with a timestamp, triggering metric, and responsible user, feeding into the same compliance audit trail as forward deployments.</w:t>
      </w:r>
    </w:p>
    <w:p w14:paraId="009AB852" w14:textId="77777777" w:rsidR="00A51095" w:rsidRDefault="00A51095" w:rsidP="00A51095">
      <w:pPr>
        <w:rPr>
          <w:rFonts w:ascii="Times New Roman" w:hAnsi="Times New Roman" w:cs="Times New Roman"/>
          <w:b/>
          <w:bCs/>
        </w:rPr>
      </w:pPr>
    </w:p>
    <w:p w14:paraId="78162B74" w14:textId="77777777" w:rsidR="00A51095" w:rsidRDefault="00A51095" w:rsidP="00A51095">
      <w:pPr>
        <w:rPr>
          <w:rFonts w:ascii="Times New Roman" w:hAnsi="Times New Roman" w:cs="Times New Roman"/>
          <w:b/>
          <w:bCs/>
        </w:rPr>
      </w:pPr>
    </w:p>
    <w:p w14:paraId="339CE14E" w14:textId="77777777" w:rsidR="00A51095" w:rsidRDefault="00A51095" w:rsidP="00A51095">
      <w:pPr>
        <w:rPr>
          <w:rFonts w:ascii="Times New Roman" w:hAnsi="Times New Roman" w:cs="Times New Roman"/>
          <w:b/>
          <w:bCs/>
        </w:rPr>
      </w:pPr>
    </w:p>
    <w:p w14:paraId="0C8675D1" w14:textId="5FF978C3"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lastRenderedPageBreak/>
        <w:t>11. Sample Pipeline Configuration (Illustrative)</w:t>
      </w:r>
    </w:p>
    <w:p w14:paraId="1D627C37"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An abbreviated GitHub Actions workflow illustrating the CI phase of the pipeline:</w:t>
      </w:r>
    </w:p>
    <w:p w14:paraId="679F5511" w14:textId="47E86F34" w:rsidR="00946711" w:rsidRPr="00A51095" w:rsidRDefault="00A51095" w:rsidP="00A51095">
      <w:pPr>
        <w:jc w:val="center"/>
        <w:rPr>
          <w:rFonts w:ascii="Times New Roman" w:hAnsi="Times New Roman" w:cs="Times New Roman"/>
        </w:rPr>
      </w:pPr>
      <w:r w:rsidRPr="00A51095">
        <w:rPr>
          <w:rFonts w:ascii="Times New Roman" w:hAnsi="Times New Roman" w:cs="Times New Roman"/>
        </w:rPr>
        <w:drawing>
          <wp:inline distT="0" distB="0" distL="0" distR="0" wp14:anchorId="3AFEF7F4" wp14:editId="627B3237">
            <wp:extent cx="4906060" cy="2543530"/>
            <wp:effectExtent l="0" t="0" r="8890" b="9525"/>
            <wp:docPr id="100623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7094" name=""/>
                    <pic:cNvPicPr/>
                  </pic:nvPicPr>
                  <pic:blipFill>
                    <a:blip r:embed="rId9"/>
                    <a:stretch>
                      <a:fillRect/>
                    </a:stretch>
                  </pic:blipFill>
                  <pic:spPr>
                    <a:xfrm>
                      <a:off x="0" y="0"/>
                      <a:ext cx="4906060" cy="2543530"/>
                    </a:xfrm>
                    <a:prstGeom prst="rect">
                      <a:avLst/>
                    </a:prstGeom>
                  </pic:spPr>
                </pic:pic>
              </a:graphicData>
            </a:graphic>
          </wp:inline>
        </w:drawing>
      </w:r>
    </w:p>
    <w:p w14:paraId="1525A9B1" w14:textId="7777777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t>12. Domain-Specific Risk Considerations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100"/>
      </w:tblGrid>
      <w:tr w:rsidR="00A51095" w:rsidRPr="00A51095" w14:paraId="4A71F01A" w14:textId="77777777">
        <w:trPr>
          <w:tblHeader/>
        </w:trPr>
        <w:tc>
          <w:tcPr>
            <w:tcW w:w="46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0EB994E"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Risk</w:t>
            </w:r>
          </w:p>
        </w:tc>
        <w:tc>
          <w:tcPr>
            <w:tcW w:w="510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9653368" w14:textId="77777777" w:rsidR="00A51095" w:rsidRPr="00A51095" w:rsidRDefault="00A51095" w:rsidP="00A51095">
            <w:pPr>
              <w:rPr>
                <w:rFonts w:ascii="Times New Roman" w:hAnsi="Times New Roman" w:cs="Times New Roman"/>
              </w:rPr>
            </w:pPr>
            <w:r w:rsidRPr="00A51095">
              <w:rPr>
                <w:rFonts w:ascii="Times New Roman" w:hAnsi="Times New Roman" w:cs="Times New Roman"/>
                <w:b/>
                <w:bCs/>
              </w:rPr>
              <w:t>Pipeline Safeguard</w:t>
            </w:r>
          </w:p>
        </w:tc>
      </w:tr>
      <w:tr w:rsidR="00A51095" w:rsidRPr="00A51095" w14:paraId="6D310310" w14:textId="77777777">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014EEB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A defective release silently breaks excursion detection, endangering vaccine stock</w:t>
            </w:r>
          </w:p>
        </w:tc>
        <w:tc>
          <w:tcPr>
            <w:tcW w:w="51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15963B"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Mandatory unit/integration/regression coverage on alerting logic; canary rollout with automatic rollback on health-check failure</w:t>
            </w:r>
          </w:p>
        </w:tc>
      </w:tr>
      <w:tr w:rsidR="00A51095" w:rsidRPr="00A51095" w14:paraId="09E30057"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C4F6E6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Sensitive facility/equipment data exposed via a vulnerable dependency or misconfigured container</w:t>
            </w:r>
          </w:p>
        </w:tc>
        <w:tc>
          <w:tcPr>
            <w:tcW w:w="51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E4B4D58"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Mandatory SAST, dependency scanning, and container image scanning gates before any deployment</w:t>
            </w:r>
          </w:p>
        </w:tc>
      </w:tr>
      <w:tr w:rsidR="00A51095" w:rsidRPr="00A51095" w14:paraId="7994AAF3" w14:textId="77777777">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490B523" w14:textId="77777777" w:rsidR="00A51095" w:rsidRPr="00A51095" w:rsidRDefault="00A51095" w:rsidP="00A51095">
            <w:pPr>
              <w:rPr>
                <w:rFonts w:ascii="Times New Roman" w:hAnsi="Times New Roman" w:cs="Times New Roman"/>
              </w:rPr>
            </w:pPr>
            <w:proofErr w:type="spellStart"/>
            <w:r w:rsidRPr="00A51095">
              <w:rPr>
                <w:rFonts w:ascii="Times New Roman" w:hAnsi="Times New Roman" w:cs="Times New Roman"/>
              </w:rPr>
              <w:t>Unauthorised</w:t>
            </w:r>
            <w:proofErr w:type="spellEnd"/>
            <w:r w:rsidRPr="00A51095">
              <w:rPr>
                <w:rFonts w:ascii="Times New Roman" w:hAnsi="Times New Roman" w:cs="Times New Roman"/>
              </w:rPr>
              <w:t xml:space="preserve"> or unreviewed change reaches production</w:t>
            </w:r>
          </w:p>
        </w:tc>
        <w:tc>
          <w:tcPr>
            <w:tcW w:w="51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81EE03"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Branch protection, mandatory PR review, and a manual Approval Gate with logged sign-off</w:t>
            </w:r>
          </w:p>
        </w:tc>
      </w:tr>
      <w:tr w:rsidR="00A51095" w:rsidRPr="00A51095" w14:paraId="212A791B"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76F1F8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Extended downtime during a bad release affects live monitoring</w:t>
            </w:r>
          </w:p>
        </w:tc>
        <w:tc>
          <w:tcPr>
            <w:tcW w:w="510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D18F2E1"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Canary/Blue-Green strategy limits blast radius; automated rollback restores service within minutes</w:t>
            </w:r>
          </w:p>
        </w:tc>
      </w:tr>
      <w:tr w:rsidR="00A51095" w:rsidRPr="00A51095" w14:paraId="0AB2EECE" w14:textId="77777777">
        <w:tc>
          <w:tcPr>
            <w:tcW w:w="46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574D2B4"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Regulatory audit cannot trace a production change back to its approval and test evidence</w:t>
            </w:r>
          </w:p>
        </w:tc>
        <w:tc>
          <w:tcPr>
            <w:tcW w:w="51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C431B0" w14:textId="77777777" w:rsidR="00A51095" w:rsidRPr="00A51095" w:rsidRDefault="00A51095" w:rsidP="00A51095">
            <w:pPr>
              <w:rPr>
                <w:rFonts w:ascii="Times New Roman" w:hAnsi="Times New Roman" w:cs="Times New Roman"/>
              </w:rPr>
            </w:pPr>
            <w:r w:rsidRPr="00A51095">
              <w:rPr>
                <w:rFonts w:ascii="Times New Roman" w:hAnsi="Times New Roman" w:cs="Times New Roman"/>
              </w:rPr>
              <w:t>Immutable pipeline logs capturing commit, test/security reports, and approver identity for every release</w:t>
            </w:r>
          </w:p>
        </w:tc>
      </w:tr>
    </w:tbl>
    <w:p w14:paraId="4A76E52A" w14:textId="77777777" w:rsidR="00A51095" w:rsidRDefault="00A51095" w:rsidP="00A51095">
      <w:pPr>
        <w:rPr>
          <w:rFonts w:ascii="Times New Roman" w:hAnsi="Times New Roman" w:cs="Times New Roman"/>
          <w:b/>
          <w:bCs/>
        </w:rPr>
      </w:pPr>
    </w:p>
    <w:p w14:paraId="4AD82827" w14:textId="77777777" w:rsidR="00A51095" w:rsidRDefault="00A51095" w:rsidP="00A51095">
      <w:pPr>
        <w:rPr>
          <w:rFonts w:ascii="Times New Roman" w:hAnsi="Times New Roman" w:cs="Times New Roman"/>
          <w:b/>
          <w:bCs/>
        </w:rPr>
      </w:pPr>
    </w:p>
    <w:p w14:paraId="0D7FFB5A" w14:textId="247C2D07" w:rsidR="00A51095" w:rsidRPr="00A51095" w:rsidRDefault="00A51095" w:rsidP="00A51095">
      <w:pPr>
        <w:rPr>
          <w:rFonts w:ascii="Times New Roman" w:hAnsi="Times New Roman" w:cs="Times New Roman"/>
          <w:sz w:val="28"/>
          <w:szCs w:val="28"/>
        </w:rPr>
      </w:pPr>
      <w:r w:rsidRPr="00A51095">
        <w:rPr>
          <w:rFonts w:ascii="Times New Roman" w:hAnsi="Times New Roman" w:cs="Times New Roman"/>
          <w:b/>
          <w:bCs/>
          <w:sz w:val="28"/>
          <w:szCs w:val="28"/>
        </w:rPr>
        <w:lastRenderedPageBreak/>
        <w:t>13. Conclusion</w:t>
      </w:r>
    </w:p>
    <w:p w14:paraId="2BB81ADD" w14:textId="690806A1" w:rsidR="00A51095" w:rsidRPr="00A51095" w:rsidRDefault="00A51095" w:rsidP="00A51095">
      <w:pPr>
        <w:jc w:val="both"/>
        <w:rPr>
          <w:rFonts w:ascii="Times New Roman" w:hAnsi="Times New Roman" w:cs="Times New Roman"/>
        </w:rPr>
      </w:pPr>
      <w:r w:rsidRPr="00A51095">
        <w:rPr>
          <w:rFonts w:ascii="Times New Roman" w:hAnsi="Times New Roman" w:cs="Times New Roman"/>
        </w:rPr>
        <w:t xml:space="preserve">This CI/CD pipeline design automates the Intelligent Vaccine Cold Storage Monitoring System's path from code commit to production deployment across thirteen defined stages, spanning source control, build, automated testing, static and dynamic security analysis, </w:t>
      </w:r>
      <w:proofErr w:type="spellStart"/>
      <w:r w:rsidRPr="00A51095">
        <w:rPr>
          <w:rFonts w:ascii="Times New Roman" w:hAnsi="Times New Roman" w:cs="Times New Roman"/>
        </w:rPr>
        <w:t>containerisation</w:t>
      </w:r>
      <w:proofErr w:type="spellEnd"/>
      <w:r w:rsidRPr="00A51095">
        <w:rPr>
          <w:rFonts w:ascii="Times New Roman" w:hAnsi="Times New Roman" w:cs="Times New Roman"/>
        </w:rPr>
        <w:t xml:space="preserve">, and a three-environment promotion strategy. Layered automated testing (unit, integration, performance, and security) combined with a manual approval gate, canary/blue-green deployment, continuous health monitoring, and automatic rollback ensures that releases reach healthcare facilities quickly without compromising the reliability that vaccine cold-chain monitoring demands. The selected toolchain </w:t>
      </w:r>
      <w:proofErr w:type="spellStart"/>
      <w:r w:rsidRPr="00A51095">
        <w:rPr>
          <w:rFonts w:ascii="Times New Roman" w:hAnsi="Times New Roman" w:cs="Times New Roman"/>
        </w:rPr>
        <w:t>favours</w:t>
      </w:r>
      <w:proofErr w:type="spellEnd"/>
      <w:r w:rsidRPr="00A51095">
        <w:rPr>
          <w:rFonts w:ascii="Times New Roman" w:hAnsi="Times New Roman" w:cs="Times New Roman"/>
        </w:rPr>
        <w:t xml:space="preserve"> mature, widely-adopted technologies suited to a regulated, multi-facility healthcare deployment, and the accompanying audit trail satisfies the traceability healthcare compliance standards require.</w:t>
      </w:r>
    </w:p>
    <w:sectPr w:rsidR="00A51095" w:rsidRPr="00A5109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F998" w14:textId="77777777" w:rsidR="00A24B6E" w:rsidRDefault="00A24B6E" w:rsidP="00A51095">
      <w:pPr>
        <w:spacing w:after="0" w:line="240" w:lineRule="auto"/>
      </w:pPr>
      <w:r>
        <w:separator/>
      </w:r>
    </w:p>
  </w:endnote>
  <w:endnote w:type="continuationSeparator" w:id="0">
    <w:p w14:paraId="7EAAC097" w14:textId="77777777" w:rsidR="00A24B6E" w:rsidRDefault="00A24B6E" w:rsidP="00A5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453793"/>
      <w:docPartObj>
        <w:docPartGallery w:val="Page Numbers (Bottom of Page)"/>
        <w:docPartUnique/>
      </w:docPartObj>
    </w:sdtPr>
    <w:sdtEndPr>
      <w:rPr>
        <w:noProof/>
      </w:rPr>
    </w:sdtEndPr>
    <w:sdtContent>
      <w:p w14:paraId="64D7B03C" w14:textId="6DB30149" w:rsidR="00A51095" w:rsidRDefault="00A510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ECDDA8" w14:textId="77777777" w:rsidR="00A51095" w:rsidRDefault="00A51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6480" w14:textId="77777777" w:rsidR="00A24B6E" w:rsidRDefault="00A24B6E" w:rsidP="00A51095">
      <w:pPr>
        <w:spacing w:after="0" w:line="240" w:lineRule="auto"/>
      </w:pPr>
      <w:r>
        <w:separator/>
      </w:r>
    </w:p>
  </w:footnote>
  <w:footnote w:type="continuationSeparator" w:id="0">
    <w:p w14:paraId="611BC5EE" w14:textId="77777777" w:rsidR="00A24B6E" w:rsidRDefault="00A24B6E" w:rsidP="00A51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2FEF"/>
    <w:multiLevelType w:val="hybridMultilevel"/>
    <w:tmpl w:val="21DEA93C"/>
    <w:lvl w:ilvl="0" w:tplc="DB563194">
      <w:start w:val="1"/>
      <w:numFmt w:val="bullet"/>
      <w:lvlText w:val="●"/>
      <w:lvlJc w:val="left"/>
      <w:pPr>
        <w:ind w:left="720" w:hanging="360"/>
      </w:pPr>
    </w:lvl>
    <w:lvl w:ilvl="1" w:tplc="76CAAC6C">
      <w:start w:val="1"/>
      <w:numFmt w:val="bullet"/>
      <w:lvlText w:val="○"/>
      <w:lvlJc w:val="left"/>
      <w:pPr>
        <w:ind w:left="1440" w:hanging="360"/>
      </w:pPr>
    </w:lvl>
    <w:lvl w:ilvl="2" w:tplc="34E006F2">
      <w:start w:val="1"/>
      <w:numFmt w:val="bullet"/>
      <w:lvlText w:val="■"/>
      <w:lvlJc w:val="left"/>
      <w:pPr>
        <w:ind w:left="2160" w:hanging="360"/>
      </w:pPr>
    </w:lvl>
    <w:lvl w:ilvl="3" w:tplc="BA365C68">
      <w:start w:val="1"/>
      <w:numFmt w:val="bullet"/>
      <w:lvlText w:val="●"/>
      <w:lvlJc w:val="left"/>
      <w:pPr>
        <w:ind w:left="2880" w:hanging="360"/>
      </w:pPr>
    </w:lvl>
    <w:lvl w:ilvl="4" w:tplc="5B8A43D2">
      <w:start w:val="1"/>
      <w:numFmt w:val="bullet"/>
      <w:lvlText w:val="○"/>
      <w:lvlJc w:val="left"/>
      <w:pPr>
        <w:ind w:left="3600" w:hanging="360"/>
      </w:pPr>
    </w:lvl>
    <w:lvl w:ilvl="5" w:tplc="33FCBDDC">
      <w:start w:val="1"/>
      <w:numFmt w:val="bullet"/>
      <w:lvlText w:val="■"/>
      <w:lvlJc w:val="left"/>
      <w:pPr>
        <w:ind w:left="4320" w:hanging="360"/>
      </w:pPr>
    </w:lvl>
    <w:lvl w:ilvl="6" w:tplc="4268F7A8">
      <w:start w:val="1"/>
      <w:numFmt w:val="bullet"/>
      <w:lvlText w:val="●"/>
      <w:lvlJc w:val="left"/>
      <w:pPr>
        <w:ind w:left="5040" w:hanging="360"/>
      </w:pPr>
    </w:lvl>
    <w:lvl w:ilvl="7" w:tplc="8C680340">
      <w:start w:val="1"/>
      <w:numFmt w:val="bullet"/>
      <w:lvlText w:val="●"/>
      <w:lvlJc w:val="left"/>
      <w:pPr>
        <w:ind w:left="5760" w:hanging="360"/>
      </w:pPr>
    </w:lvl>
    <w:lvl w:ilvl="8" w:tplc="14FA3DEC">
      <w:start w:val="1"/>
      <w:numFmt w:val="bullet"/>
      <w:lvlText w:val="●"/>
      <w:lvlJc w:val="left"/>
      <w:pPr>
        <w:ind w:left="6480" w:hanging="360"/>
      </w:pPr>
    </w:lvl>
  </w:abstractNum>
  <w:num w:numId="1" w16cid:durableId="206105524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95"/>
    <w:rsid w:val="0008539C"/>
    <w:rsid w:val="00875684"/>
    <w:rsid w:val="00902326"/>
    <w:rsid w:val="00946711"/>
    <w:rsid w:val="00A24B6E"/>
    <w:rsid w:val="00A51095"/>
    <w:rsid w:val="00CF6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852F"/>
  <w15:chartTrackingRefBased/>
  <w15:docId w15:val="{EA5F8217-85FE-4C56-9CAF-B9C00A10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095"/>
    <w:rPr>
      <w:rFonts w:eastAsiaTheme="majorEastAsia" w:cstheme="majorBidi"/>
      <w:color w:val="272727" w:themeColor="text1" w:themeTint="D8"/>
    </w:rPr>
  </w:style>
  <w:style w:type="paragraph" w:styleId="Title">
    <w:name w:val="Title"/>
    <w:basedOn w:val="Normal"/>
    <w:next w:val="Normal"/>
    <w:link w:val="TitleChar"/>
    <w:uiPriority w:val="10"/>
    <w:qFormat/>
    <w:rsid w:val="00A51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095"/>
    <w:pPr>
      <w:spacing w:before="160"/>
      <w:jc w:val="center"/>
    </w:pPr>
    <w:rPr>
      <w:i/>
      <w:iCs/>
      <w:color w:val="404040" w:themeColor="text1" w:themeTint="BF"/>
    </w:rPr>
  </w:style>
  <w:style w:type="character" w:customStyle="1" w:styleId="QuoteChar">
    <w:name w:val="Quote Char"/>
    <w:basedOn w:val="DefaultParagraphFont"/>
    <w:link w:val="Quote"/>
    <w:uiPriority w:val="29"/>
    <w:rsid w:val="00A51095"/>
    <w:rPr>
      <w:i/>
      <w:iCs/>
      <w:color w:val="404040" w:themeColor="text1" w:themeTint="BF"/>
    </w:rPr>
  </w:style>
  <w:style w:type="paragraph" w:styleId="ListParagraph">
    <w:name w:val="List Paragraph"/>
    <w:basedOn w:val="Normal"/>
    <w:uiPriority w:val="34"/>
    <w:qFormat/>
    <w:rsid w:val="00A51095"/>
    <w:pPr>
      <w:ind w:left="720"/>
      <w:contextualSpacing/>
    </w:pPr>
  </w:style>
  <w:style w:type="character" w:styleId="IntenseEmphasis">
    <w:name w:val="Intense Emphasis"/>
    <w:basedOn w:val="DefaultParagraphFont"/>
    <w:uiPriority w:val="21"/>
    <w:qFormat/>
    <w:rsid w:val="00A51095"/>
    <w:rPr>
      <w:i/>
      <w:iCs/>
      <w:color w:val="2F5496" w:themeColor="accent1" w:themeShade="BF"/>
    </w:rPr>
  </w:style>
  <w:style w:type="paragraph" w:styleId="IntenseQuote">
    <w:name w:val="Intense Quote"/>
    <w:basedOn w:val="Normal"/>
    <w:next w:val="Normal"/>
    <w:link w:val="IntenseQuoteChar"/>
    <w:uiPriority w:val="30"/>
    <w:qFormat/>
    <w:rsid w:val="00A51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095"/>
    <w:rPr>
      <w:i/>
      <w:iCs/>
      <w:color w:val="2F5496" w:themeColor="accent1" w:themeShade="BF"/>
    </w:rPr>
  </w:style>
  <w:style w:type="character" w:styleId="IntenseReference">
    <w:name w:val="Intense Reference"/>
    <w:basedOn w:val="DefaultParagraphFont"/>
    <w:uiPriority w:val="32"/>
    <w:qFormat/>
    <w:rsid w:val="00A51095"/>
    <w:rPr>
      <w:b/>
      <w:bCs/>
      <w:smallCaps/>
      <w:color w:val="2F5496" w:themeColor="accent1" w:themeShade="BF"/>
      <w:spacing w:val="5"/>
    </w:rPr>
  </w:style>
  <w:style w:type="paragraph" w:styleId="Header">
    <w:name w:val="header"/>
    <w:basedOn w:val="Normal"/>
    <w:link w:val="HeaderChar"/>
    <w:uiPriority w:val="99"/>
    <w:unhideWhenUsed/>
    <w:rsid w:val="00A510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095"/>
  </w:style>
  <w:style w:type="paragraph" w:styleId="Footer">
    <w:name w:val="footer"/>
    <w:basedOn w:val="Normal"/>
    <w:link w:val="FooterChar"/>
    <w:uiPriority w:val="99"/>
    <w:unhideWhenUsed/>
    <w:rsid w:val="00A510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2766</Words>
  <Characters>15768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cp:revision>
  <dcterms:created xsi:type="dcterms:W3CDTF">2026-08-14T10:10:00Z</dcterms:created>
  <dcterms:modified xsi:type="dcterms:W3CDTF">2026-08-14T10:22:00Z</dcterms:modified>
</cp:coreProperties>
</file>