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CBB30" w14:textId="77777777" w:rsidR="00684401" w:rsidRPr="00684401" w:rsidRDefault="00684401" w:rsidP="00684401">
      <w:pPr>
        <w:jc w:val="center"/>
        <w:rPr>
          <w:rFonts w:ascii="Times New Roman" w:hAnsi="Times New Roman" w:cs="Times New Roman"/>
          <w:b/>
          <w:bCs/>
          <w:color w:val="000000" w:themeColor="text1"/>
          <w:sz w:val="28"/>
          <w:szCs w:val="28"/>
        </w:rPr>
      </w:pPr>
      <w:r w:rsidRPr="00684401">
        <w:rPr>
          <w:rFonts w:ascii="Times New Roman" w:hAnsi="Times New Roman" w:cs="Times New Roman"/>
          <w:b/>
          <w:bCs/>
          <w:noProof/>
          <w:color w:val="000000" w:themeColor="text1"/>
          <w:sz w:val="44"/>
          <w:szCs w:val="44"/>
          <w:lang w:val="en-CA"/>
        </w:rPr>
        <w:drawing>
          <wp:inline distT="0" distB="0" distL="0" distR="0" wp14:anchorId="0B4C0432" wp14:editId="7E49B43F">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4535F2EF" w14:textId="77777777" w:rsidR="00684401" w:rsidRPr="00684401" w:rsidRDefault="00684401" w:rsidP="00684401">
      <w:pPr>
        <w:spacing w:after="100"/>
        <w:jc w:val="center"/>
        <w:rPr>
          <w:rFonts w:ascii="Times New Roman" w:hAnsi="Times New Roman" w:cs="Times New Roman"/>
          <w:b/>
          <w:bCs/>
          <w:color w:val="000000" w:themeColor="text1"/>
          <w:sz w:val="32"/>
          <w:szCs w:val="32"/>
          <w:lang w:val="en-CA"/>
        </w:rPr>
      </w:pPr>
      <w:bookmarkStart w:id="0" w:name="_cql8vz8aqahn"/>
      <w:bookmarkEnd w:id="0"/>
    </w:p>
    <w:p w14:paraId="41B59424" w14:textId="77777777" w:rsidR="00684401" w:rsidRPr="00684401" w:rsidRDefault="00684401" w:rsidP="00684401">
      <w:pPr>
        <w:spacing w:after="100"/>
        <w:jc w:val="center"/>
        <w:rPr>
          <w:rFonts w:ascii="Times New Roman" w:hAnsi="Times New Roman" w:cs="Times New Roman"/>
          <w:b/>
          <w:bCs/>
          <w:color w:val="000000" w:themeColor="text1"/>
          <w:sz w:val="32"/>
          <w:szCs w:val="32"/>
          <w:lang w:val="en-CA"/>
        </w:rPr>
      </w:pPr>
    </w:p>
    <w:p w14:paraId="6E00F055" w14:textId="77777777" w:rsidR="00684401" w:rsidRPr="00684401" w:rsidRDefault="00684401" w:rsidP="00684401">
      <w:pPr>
        <w:spacing w:after="100"/>
        <w:jc w:val="center"/>
        <w:rPr>
          <w:rFonts w:ascii="Times New Roman" w:hAnsi="Times New Roman" w:cs="Times New Roman"/>
          <w:b/>
          <w:bCs/>
          <w:color w:val="000000" w:themeColor="text1"/>
          <w:sz w:val="32"/>
          <w:szCs w:val="32"/>
          <w:lang w:val="en-CA"/>
        </w:rPr>
      </w:pPr>
      <w:r w:rsidRPr="00684401">
        <w:rPr>
          <w:rFonts w:ascii="Times New Roman" w:hAnsi="Times New Roman" w:cs="Times New Roman"/>
          <w:b/>
          <w:bCs/>
          <w:color w:val="000000" w:themeColor="text1"/>
          <w:sz w:val="32"/>
          <w:szCs w:val="32"/>
          <w:lang w:val="en-CA"/>
        </w:rPr>
        <w:t>Intelligent Vaccine Cold Storage Monitoring System</w:t>
      </w:r>
    </w:p>
    <w:p w14:paraId="3510E31E" w14:textId="77777777" w:rsidR="00684401" w:rsidRPr="00684401" w:rsidRDefault="00684401" w:rsidP="00684401">
      <w:pPr>
        <w:spacing w:after="100"/>
        <w:jc w:val="center"/>
        <w:rPr>
          <w:rFonts w:ascii="Times New Roman" w:hAnsi="Times New Roman" w:cs="Times New Roman"/>
          <w:b/>
          <w:bCs/>
          <w:color w:val="000000" w:themeColor="text1"/>
          <w:lang w:val="en-CA"/>
        </w:rPr>
      </w:pPr>
    </w:p>
    <w:p w14:paraId="63E5C1A6" w14:textId="77777777" w:rsidR="00684401" w:rsidRPr="00684401" w:rsidRDefault="00684401" w:rsidP="00684401">
      <w:pPr>
        <w:spacing w:after="100"/>
        <w:jc w:val="center"/>
        <w:rPr>
          <w:rFonts w:ascii="Times New Roman" w:hAnsi="Times New Roman" w:cs="Times New Roman"/>
          <w:b/>
          <w:bCs/>
          <w:color w:val="000000" w:themeColor="text1"/>
          <w:lang w:val="en-CA"/>
        </w:rPr>
      </w:pPr>
      <w:r w:rsidRPr="00684401">
        <w:rPr>
          <w:rFonts w:ascii="Times New Roman" w:hAnsi="Times New Roman" w:cs="Times New Roman"/>
          <w:b/>
          <w:bCs/>
          <w:color w:val="000000" w:themeColor="text1"/>
          <w:lang w:val="en-CA"/>
        </w:rPr>
        <w:t>A REPORT</w:t>
      </w:r>
    </w:p>
    <w:p w14:paraId="0042EFA6" w14:textId="77777777" w:rsidR="00684401" w:rsidRPr="00684401" w:rsidRDefault="00684401" w:rsidP="00684401">
      <w:pPr>
        <w:spacing w:after="100"/>
        <w:jc w:val="center"/>
        <w:rPr>
          <w:rFonts w:ascii="Times New Roman" w:hAnsi="Times New Roman" w:cs="Times New Roman"/>
          <w:b/>
          <w:bCs/>
          <w:color w:val="000000" w:themeColor="text1"/>
          <w:lang w:val="en-CA"/>
        </w:rPr>
      </w:pPr>
      <w:r w:rsidRPr="00684401">
        <w:rPr>
          <w:rFonts w:ascii="Times New Roman" w:hAnsi="Times New Roman" w:cs="Times New Roman"/>
          <w:b/>
          <w:bCs/>
          <w:color w:val="000000" w:themeColor="text1"/>
          <w:lang w:val="en-CA"/>
        </w:rPr>
        <w:t>In</w:t>
      </w:r>
    </w:p>
    <w:p w14:paraId="22F06DD3" w14:textId="77777777" w:rsidR="00684401" w:rsidRPr="00684401" w:rsidRDefault="00684401" w:rsidP="00684401">
      <w:pPr>
        <w:spacing w:after="100"/>
        <w:jc w:val="center"/>
        <w:rPr>
          <w:rFonts w:ascii="Times New Roman" w:hAnsi="Times New Roman" w:cs="Times New Roman"/>
          <w:b/>
          <w:bCs/>
          <w:color w:val="000000" w:themeColor="text1"/>
          <w:lang w:val="en-CA"/>
        </w:rPr>
      </w:pPr>
      <w:r w:rsidRPr="00684401">
        <w:rPr>
          <w:rFonts w:ascii="Times New Roman" w:hAnsi="Times New Roman" w:cs="Times New Roman"/>
          <w:b/>
          <w:bCs/>
          <w:color w:val="000000" w:themeColor="text1"/>
          <w:lang w:val="en-CA"/>
        </w:rPr>
        <w:t>CSA1012 –Software Engineering</w:t>
      </w:r>
    </w:p>
    <w:p w14:paraId="7CB20C2B" w14:textId="77777777" w:rsidR="00684401" w:rsidRPr="00684401" w:rsidRDefault="00684401" w:rsidP="00684401">
      <w:pPr>
        <w:spacing w:after="100"/>
        <w:jc w:val="center"/>
        <w:rPr>
          <w:rFonts w:ascii="Times New Roman" w:hAnsi="Times New Roman" w:cs="Times New Roman"/>
          <w:b/>
          <w:bCs/>
          <w:i/>
          <w:color w:val="000000" w:themeColor="text1"/>
          <w:lang w:val="en-CA"/>
        </w:rPr>
      </w:pPr>
      <w:r w:rsidRPr="00684401">
        <w:rPr>
          <w:rFonts w:ascii="Times New Roman" w:hAnsi="Times New Roman" w:cs="Times New Roman"/>
          <w:b/>
          <w:bCs/>
          <w:i/>
          <w:color w:val="000000" w:themeColor="text1"/>
          <w:lang w:val="en-CA"/>
        </w:rPr>
        <w:t>Submitted in the partial fulfillment for the award of the degree</w:t>
      </w:r>
    </w:p>
    <w:p w14:paraId="5589D803" w14:textId="77777777" w:rsidR="00684401" w:rsidRPr="00684401" w:rsidRDefault="00684401" w:rsidP="00684401">
      <w:pPr>
        <w:spacing w:after="100"/>
        <w:jc w:val="center"/>
        <w:rPr>
          <w:rFonts w:ascii="Times New Roman" w:hAnsi="Times New Roman" w:cs="Times New Roman"/>
          <w:b/>
          <w:bCs/>
          <w:color w:val="000000" w:themeColor="text1"/>
          <w:lang w:val="en-CA"/>
        </w:rPr>
      </w:pPr>
      <w:r w:rsidRPr="00684401">
        <w:rPr>
          <w:rFonts w:ascii="Times New Roman" w:hAnsi="Times New Roman" w:cs="Times New Roman"/>
          <w:b/>
          <w:bCs/>
          <w:color w:val="000000" w:themeColor="text1"/>
          <w:lang w:val="en-CA"/>
        </w:rPr>
        <w:t>Of</w:t>
      </w:r>
    </w:p>
    <w:p w14:paraId="2430D7D0" w14:textId="77777777" w:rsidR="00684401" w:rsidRPr="00684401" w:rsidRDefault="00684401" w:rsidP="00684401">
      <w:pPr>
        <w:spacing w:after="100"/>
        <w:jc w:val="center"/>
        <w:rPr>
          <w:rFonts w:ascii="Times New Roman" w:hAnsi="Times New Roman" w:cs="Times New Roman"/>
          <w:b/>
          <w:bCs/>
          <w:color w:val="000000" w:themeColor="text1"/>
          <w:lang w:val="en-CA"/>
        </w:rPr>
      </w:pPr>
      <w:r w:rsidRPr="00684401">
        <w:rPr>
          <w:rFonts w:ascii="Times New Roman" w:hAnsi="Times New Roman" w:cs="Times New Roman"/>
          <w:b/>
          <w:bCs/>
          <w:color w:val="000000" w:themeColor="text1"/>
          <w:lang w:val="en-CA"/>
        </w:rPr>
        <w:t>BACHELOR OF ENGINEERING</w:t>
      </w:r>
    </w:p>
    <w:p w14:paraId="00D40F8C" w14:textId="77777777" w:rsidR="00684401" w:rsidRPr="00684401" w:rsidRDefault="00684401" w:rsidP="00684401">
      <w:pPr>
        <w:spacing w:after="100"/>
        <w:jc w:val="center"/>
        <w:rPr>
          <w:rFonts w:ascii="Times New Roman" w:hAnsi="Times New Roman" w:cs="Times New Roman"/>
          <w:b/>
          <w:bCs/>
          <w:color w:val="000000" w:themeColor="text1"/>
          <w:lang w:val="en-CA"/>
        </w:rPr>
      </w:pPr>
      <w:r w:rsidRPr="00684401">
        <w:rPr>
          <w:rFonts w:ascii="Times New Roman" w:hAnsi="Times New Roman" w:cs="Times New Roman"/>
          <w:b/>
          <w:bCs/>
          <w:color w:val="000000" w:themeColor="text1"/>
          <w:lang w:val="en-CA"/>
        </w:rPr>
        <w:t xml:space="preserve">IN </w:t>
      </w:r>
    </w:p>
    <w:p w14:paraId="62651E30" w14:textId="77777777" w:rsidR="00684401" w:rsidRPr="00684401" w:rsidRDefault="00684401" w:rsidP="00684401">
      <w:pPr>
        <w:spacing w:after="100"/>
        <w:jc w:val="center"/>
        <w:rPr>
          <w:rFonts w:ascii="Times New Roman" w:hAnsi="Times New Roman" w:cs="Times New Roman"/>
          <w:b/>
          <w:bCs/>
          <w:color w:val="000000" w:themeColor="text1"/>
          <w:lang w:val="en-CA"/>
        </w:rPr>
      </w:pPr>
      <w:r w:rsidRPr="00684401">
        <w:rPr>
          <w:rFonts w:ascii="Times New Roman" w:hAnsi="Times New Roman" w:cs="Times New Roman"/>
          <w:b/>
          <w:bCs/>
          <w:color w:val="000000" w:themeColor="text1"/>
          <w:lang w:val="en-CA"/>
        </w:rPr>
        <w:t>INFORMATION TECHNOLOGY</w:t>
      </w:r>
    </w:p>
    <w:p w14:paraId="5C43F758" w14:textId="77777777" w:rsidR="00684401" w:rsidRPr="00684401" w:rsidRDefault="00684401" w:rsidP="00684401">
      <w:pPr>
        <w:spacing w:after="100"/>
        <w:jc w:val="center"/>
        <w:rPr>
          <w:rFonts w:ascii="Times New Roman" w:hAnsi="Times New Roman" w:cs="Times New Roman"/>
          <w:b/>
          <w:bCs/>
          <w:color w:val="000000" w:themeColor="text1"/>
          <w:lang w:val="en-CA"/>
        </w:rPr>
      </w:pPr>
      <w:r w:rsidRPr="00684401">
        <w:rPr>
          <w:rFonts w:ascii="Times New Roman" w:hAnsi="Times New Roman" w:cs="Times New Roman"/>
          <w:b/>
          <w:bCs/>
          <w:color w:val="000000" w:themeColor="text1"/>
          <w:lang w:val="en-CA"/>
        </w:rPr>
        <w:t>Submitted by:</w:t>
      </w:r>
    </w:p>
    <w:p w14:paraId="3674E374" w14:textId="11B47F77" w:rsidR="00684401" w:rsidRPr="00684401" w:rsidRDefault="00684401" w:rsidP="003F75F2">
      <w:pPr>
        <w:spacing w:after="100"/>
        <w:jc w:val="center"/>
        <w:rPr>
          <w:rFonts w:ascii="Times New Roman" w:hAnsi="Times New Roman" w:cs="Times New Roman"/>
          <w:b/>
          <w:bCs/>
          <w:color w:val="000000" w:themeColor="text1"/>
          <w:lang w:val="en-CA"/>
        </w:rPr>
      </w:pPr>
      <w:r w:rsidRPr="00684401">
        <w:rPr>
          <w:rFonts w:ascii="Times New Roman" w:hAnsi="Times New Roman" w:cs="Times New Roman"/>
          <w:b/>
          <w:bCs/>
          <w:color w:val="000000" w:themeColor="text1"/>
          <w:lang w:val="en-CA"/>
        </w:rPr>
        <w:t>B.Shyam raj(192421176)</w:t>
      </w:r>
    </w:p>
    <w:p w14:paraId="3D46B5FA" w14:textId="77777777" w:rsidR="00684401" w:rsidRPr="00684401" w:rsidRDefault="00684401" w:rsidP="00684401">
      <w:pPr>
        <w:spacing w:after="100"/>
        <w:jc w:val="center"/>
        <w:rPr>
          <w:rFonts w:ascii="Times New Roman" w:hAnsi="Times New Roman" w:cs="Times New Roman"/>
          <w:b/>
          <w:bCs/>
          <w:color w:val="000000" w:themeColor="text1"/>
          <w:lang w:val="en-CA"/>
        </w:rPr>
      </w:pPr>
    </w:p>
    <w:p w14:paraId="5CC013AE" w14:textId="77777777" w:rsidR="00684401" w:rsidRPr="00684401" w:rsidRDefault="00684401" w:rsidP="00684401">
      <w:pPr>
        <w:spacing w:after="100"/>
        <w:jc w:val="center"/>
        <w:rPr>
          <w:rFonts w:ascii="Times New Roman" w:hAnsi="Times New Roman" w:cs="Times New Roman"/>
          <w:b/>
          <w:bCs/>
          <w:color w:val="000000" w:themeColor="text1"/>
          <w:lang w:val="en-CA"/>
        </w:rPr>
      </w:pPr>
    </w:p>
    <w:p w14:paraId="4FBFEE93" w14:textId="71B98244" w:rsidR="00684401" w:rsidRPr="00684401" w:rsidRDefault="00684401" w:rsidP="00684401">
      <w:pPr>
        <w:spacing w:after="100"/>
        <w:jc w:val="center"/>
        <w:rPr>
          <w:rFonts w:ascii="Times New Roman" w:hAnsi="Times New Roman" w:cs="Times New Roman"/>
          <w:b/>
          <w:bCs/>
          <w:color w:val="000000" w:themeColor="text1"/>
          <w:lang w:val="en-CA"/>
        </w:rPr>
      </w:pPr>
      <w:r w:rsidRPr="00684401">
        <w:rPr>
          <w:rFonts w:ascii="Times New Roman" w:hAnsi="Times New Roman" w:cs="Times New Roman"/>
          <w:b/>
          <w:bCs/>
          <w:color w:val="000000" w:themeColor="text1"/>
          <w:lang w:val="en-CA"/>
        </w:rPr>
        <w:t>Supervisor/Advisor Name:</w:t>
      </w:r>
      <w:r w:rsidRPr="00684401">
        <w:rPr>
          <w:rFonts w:ascii="Times New Roman" w:hAnsi="Times New Roman" w:cs="Times New Roman"/>
          <w:b/>
          <w:bCs/>
          <w:color w:val="000000" w:themeColor="text1"/>
          <w:lang w:val="en-CA"/>
        </w:rPr>
        <w:br/>
        <w:t>Dr. K. Anita</w:t>
      </w:r>
      <w:r w:rsidR="00406225">
        <w:rPr>
          <w:rFonts w:ascii="Times New Roman" w:hAnsi="Times New Roman" w:cs="Times New Roman"/>
          <w:b/>
          <w:bCs/>
          <w:color w:val="000000" w:themeColor="text1"/>
          <w:lang w:val="en-CA"/>
        </w:rPr>
        <w:t>d</w:t>
      </w:r>
      <w:r w:rsidR="00C46911">
        <w:rPr>
          <w:rFonts w:ascii="Times New Roman" w:hAnsi="Times New Roman" w:cs="Times New Roman"/>
          <w:b/>
          <w:bCs/>
          <w:color w:val="000000" w:themeColor="text1"/>
          <w:lang w:val="en-CA"/>
        </w:rPr>
        <w:t>a</w:t>
      </w:r>
      <w:r w:rsidRPr="00684401">
        <w:rPr>
          <w:rFonts w:ascii="Times New Roman" w:hAnsi="Times New Roman" w:cs="Times New Roman"/>
          <w:b/>
          <w:bCs/>
          <w:color w:val="000000" w:themeColor="text1"/>
          <w:lang w:val="en-CA"/>
        </w:rPr>
        <w:t>vamani,</w:t>
      </w:r>
    </w:p>
    <w:p w14:paraId="11305A9E" w14:textId="77777777" w:rsidR="00684401" w:rsidRPr="00684401" w:rsidRDefault="00684401" w:rsidP="00684401">
      <w:pPr>
        <w:spacing w:after="100"/>
        <w:jc w:val="center"/>
        <w:rPr>
          <w:rFonts w:ascii="Times New Roman" w:hAnsi="Times New Roman" w:cs="Times New Roman"/>
          <w:b/>
          <w:bCs/>
          <w:color w:val="000000" w:themeColor="text1"/>
          <w:lang w:val="en-CA"/>
        </w:rPr>
      </w:pPr>
      <w:r w:rsidRPr="00684401">
        <w:rPr>
          <w:rFonts w:ascii="Times New Roman" w:hAnsi="Times New Roman" w:cs="Times New Roman"/>
          <w:b/>
          <w:bCs/>
          <w:color w:val="000000" w:themeColor="text1"/>
          <w:lang w:val="en-CA"/>
        </w:rPr>
        <w:t>Professor/CSE</w:t>
      </w:r>
    </w:p>
    <w:p w14:paraId="07111161" w14:textId="77777777" w:rsidR="00684401" w:rsidRPr="00684401" w:rsidRDefault="00684401" w:rsidP="00684401">
      <w:pPr>
        <w:jc w:val="center"/>
        <w:rPr>
          <w:rFonts w:ascii="Times New Roman" w:hAnsi="Times New Roman" w:cs="Times New Roman"/>
          <w:b/>
          <w:bCs/>
          <w:color w:val="000000" w:themeColor="text1"/>
          <w:sz w:val="28"/>
          <w:szCs w:val="28"/>
        </w:rPr>
      </w:pPr>
    </w:p>
    <w:p w14:paraId="34D46FA2" w14:textId="77777777" w:rsidR="00684401" w:rsidRPr="00684401" w:rsidRDefault="00684401" w:rsidP="00684401">
      <w:pPr>
        <w:spacing w:after="100"/>
        <w:jc w:val="center"/>
        <w:rPr>
          <w:rFonts w:ascii="Times New Roman" w:hAnsi="Times New Roman" w:cs="Times New Roman"/>
          <w:b/>
          <w:bCs/>
          <w:color w:val="000000" w:themeColor="text1"/>
          <w:lang w:val="en-CA"/>
        </w:rPr>
      </w:pPr>
      <w:r w:rsidRPr="00684401">
        <w:rPr>
          <w:rFonts w:ascii="Times New Roman" w:hAnsi="Times New Roman" w:cs="Times New Roman"/>
          <w:b/>
          <w:bCs/>
          <w:color w:val="000000" w:themeColor="text1"/>
          <w:lang w:val="en-CA"/>
        </w:rPr>
        <w:t xml:space="preserve">SAVEETHA INSTITUTE OF MEDICAL AND TECHNICAL SCIENCES </w:t>
      </w:r>
    </w:p>
    <w:p w14:paraId="54CB78EF" w14:textId="77777777" w:rsidR="00684401" w:rsidRDefault="00684401" w:rsidP="00684401">
      <w:pPr>
        <w:jc w:val="center"/>
        <w:rPr>
          <w:rFonts w:ascii="Times New Roman" w:hAnsi="Times New Roman" w:cs="Times New Roman"/>
          <w:b/>
          <w:bCs/>
          <w:color w:val="000000" w:themeColor="text1"/>
          <w:lang w:val="en-CA"/>
        </w:rPr>
      </w:pPr>
      <w:r w:rsidRPr="00684401">
        <w:rPr>
          <w:rFonts w:ascii="Times New Roman" w:hAnsi="Times New Roman" w:cs="Times New Roman"/>
          <w:b/>
          <w:bCs/>
          <w:color w:val="000000" w:themeColor="text1"/>
          <w:lang w:val="en-CA"/>
        </w:rPr>
        <w:t>CHENNAI-602105</w:t>
      </w:r>
    </w:p>
    <w:p w14:paraId="39228378" w14:textId="77777777" w:rsidR="00DF5E1C" w:rsidRDefault="00DF5E1C" w:rsidP="00684401">
      <w:pPr>
        <w:jc w:val="center"/>
        <w:rPr>
          <w:rFonts w:ascii="Times New Roman" w:hAnsi="Times New Roman" w:cs="Times New Roman"/>
          <w:b/>
          <w:bCs/>
          <w:color w:val="000000" w:themeColor="text1"/>
          <w:lang w:val="en-CA"/>
        </w:rPr>
      </w:pPr>
    </w:p>
    <w:p w14:paraId="1B1B02E1" w14:textId="77777777" w:rsidR="00DF5E1C" w:rsidRDefault="00DF5E1C" w:rsidP="00684401">
      <w:pPr>
        <w:jc w:val="center"/>
        <w:rPr>
          <w:rFonts w:ascii="Times New Roman" w:hAnsi="Times New Roman" w:cs="Times New Roman"/>
          <w:b/>
          <w:bCs/>
          <w:color w:val="000000" w:themeColor="text1"/>
          <w:lang w:val="en-CA"/>
        </w:rPr>
      </w:pPr>
    </w:p>
    <w:p w14:paraId="195F542B" w14:textId="77777777" w:rsidR="00DF5E1C" w:rsidRDefault="00DF5E1C" w:rsidP="00684401">
      <w:pPr>
        <w:jc w:val="center"/>
        <w:rPr>
          <w:rFonts w:ascii="Times New Roman" w:hAnsi="Times New Roman" w:cs="Times New Roman"/>
          <w:b/>
          <w:bCs/>
          <w:color w:val="000000" w:themeColor="text1"/>
          <w:lang w:val="en-CA"/>
        </w:rPr>
      </w:pPr>
    </w:p>
    <w:p w14:paraId="4199732B" w14:textId="77777777" w:rsidR="00DF5E1C" w:rsidRDefault="00DF5E1C" w:rsidP="00684401">
      <w:pPr>
        <w:jc w:val="center"/>
        <w:rPr>
          <w:rFonts w:ascii="Times New Roman" w:hAnsi="Times New Roman" w:cs="Times New Roman"/>
          <w:b/>
          <w:bCs/>
          <w:color w:val="000000" w:themeColor="text1"/>
          <w:lang w:val="en-CA"/>
        </w:rPr>
      </w:pPr>
    </w:p>
    <w:p w14:paraId="24758D60" w14:textId="77777777" w:rsidR="00DF5E1C" w:rsidRPr="00DF5E1C" w:rsidRDefault="00DF5E1C" w:rsidP="00DF5E1C">
      <w:pPr>
        <w:rPr>
          <w:rFonts w:ascii="Times New Roman" w:hAnsi="Times New Roman" w:cs="Times New Roman"/>
          <w:b/>
          <w:bCs/>
          <w:color w:val="000000" w:themeColor="text1"/>
        </w:rPr>
      </w:pPr>
      <w:r w:rsidRPr="00DF5E1C">
        <w:rPr>
          <w:rFonts w:ascii="Times New Roman" w:hAnsi="Times New Roman" w:cs="Times New Roman"/>
          <w:b/>
          <w:bCs/>
          <w:color w:val="000000" w:themeColor="text1"/>
        </w:rPr>
        <w:lastRenderedPageBreak/>
        <w:t>Table of Contents</w:t>
      </w:r>
    </w:p>
    <w:tbl>
      <w:tblPr>
        <w:tblW w:w="96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26"/>
        <w:gridCol w:w="750"/>
      </w:tblGrid>
      <w:tr w:rsidR="00DF5E1C" w:rsidRPr="00DF5E1C" w14:paraId="45F62994" w14:textId="77777777" w:rsidTr="00DF5E1C">
        <w:trPr>
          <w:trHeight w:val="628"/>
          <w:tblHeader/>
          <w:tblCellSpacing w:w="15" w:type="dxa"/>
        </w:trPr>
        <w:tc>
          <w:tcPr>
            <w:tcW w:w="0" w:type="auto"/>
            <w:vAlign w:val="center"/>
            <w:hideMark/>
          </w:tcPr>
          <w:p w14:paraId="4CBD5F16" w14:textId="77777777" w:rsidR="00DF5E1C" w:rsidRPr="00DF5E1C" w:rsidRDefault="00DF5E1C" w:rsidP="00DF5E1C">
            <w:pPr>
              <w:jc w:val="center"/>
              <w:rPr>
                <w:rFonts w:ascii="Times New Roman" w:hAnsi="Times New Roman" w:cs="Times New Roman"/>
                <w:b/>
                <w:bCs/>
                <w:color w:val="000000" w:themeColor="text1"/>
              </w:rPr>
            </w:pPr>
            <w:r w:rsidRPr="00DF5E1C">
              <w:rPr>
                <w:rFonts w:ascii="Times New Roman" w:hAnsi="Times New Roman" w:cs="Times New Roman"/>
                <w:b/>
                <w:bCs/>
                <w:color w:val="000000" w:themeColor="text1"/>
              </w:rPr>
              <w:t>Section</w:t>
            </w:r>
          </w:p>
        </w:tc>
        <w:tc>
          <w:tcPr>
            <w:tcW w:w="0" w:type="auto"/>
            <w:vAlign w:val="center"/>
            <w:hideMark/>
          </w:tcPr>
          <w:p w14:paraId="17F5A636" w14:textId="77777777" w:rsidR="00DF5E1C" w:rsidRPr="00DF5E1C" w:rsidRDefault="00DF5E1C" w:rsidP="00DF5E1C">
            <w:pPr>
              <w:jc w:val="center"/>
              <w:rPr>
                <w:rFonts w:ascii="Times New Roman" w:hAnsi="Times New Roman" w:cs="Times New Roman"/>
                <w:b/>
                <w:bCs/>
                <w:color w:val="000000" w:themeColor="text1"/>
              </w:rPr>
            </w:pPr>
            <w:r w:rsidRPr="00DF5E1C">
              <w:rPr>
                <w:rFonts w:ascii="Times New Roman" w:hAnsi="Times New Roman" w:cs="Times New Roman"/>
                <w:b/>
                <w:bCs/>
                <w:color w:val="000000" w:themeColor="text1"/>
              </w:rPr>
              <w:t>Page</w:t>
            </w:r>
          </w:p>
        </w:tc>
      </w:tr>
      <w:tr w:rsidR="00DF5E1C" w:rsidRPr="00DF5E1C" w14:paraId="1BF365AE" w14:textId="77777777" w:rsidTr="00DF5E1C">
        <w:trPr>
          <w:trHeight w:val="614"/>
          <w:tblCellSpacing w:w="15" w:type="dxa"/>
        </w:trPr>
        <w:tc>
          <w:tcPr>
            <w:tcW w:w="0" w:type="auto"/>
            <w:vAlign w:val="center"/>
            <w:hideMark/>
          </w:tcPr>
          <w:p w14:paraId="0FA5E2F1" w14:textId="77777777" w:rsidR="00DF5E1C" w:rsidRPr="00DF5E1C" w:rsidRDefault="00DF5E1C" w:rsidP="00DF5E1C">
            <w:pPr>
              <w:jc w:val="center"/>
              <w:rPr>
                <w:rFonts w:ascii="Times New Roman" w:hAnsi="Times New Roman" w:cs="Times New Roman"/>
                <w:b/>
                <w:bCs/>
                <w:color w:val="000000" w:themeColor="text1"/>
              </w:rPr>
            </w:pPr>
            <w:r w:rsidRPr="00DF5E1C">
              <w:rPr>
                <w:rFonts w:ascii="Times New Roman" w:hAnsi="Times New Roman" w:cs="Times New Roman"/>
                <w:b/>
                <w:bCs/>
                <w:color w:val="000000" w:themeColor="text1"/>
              </w:rPr>
              <w:t>1. Introduction</w:t>
            </w:r>
          </w:p>
        </w:tc>
        <w:tc>
          <w:tcPr>
            <w:tcW w:w="0" w:type="auto"/>
            <w:vAlign w:val="center"/>
            <w:hideMark/>
          </w:tcPr>
          <w:p w14:paraId="69FFF8A9" w14:textId="32596A56" w:rsidR="00DF5E1C" w:rsidRPr="00DF5E1C" w:rsidRDefault="001E0C47" w:rsidP="00DF5E1C">
            <w:pPr>
              <w:jc w:val="center"/>
              <w:rPr>
                <w:rFonts w:ascii="Times New Roman" w:hAnsi="Times New Roman" w:cs="Times New Roman"/>
                <w:b/>
                <w:bCs/>
                <w:color w:val="000000" w:themeColor="text1"/>
              </w:rPr>
            </w:pPr>
            <w:r>
              <w:rPr>
                <w:rFonts w:ascii="Times New Roman" w:hAnsi="Times New Roman" w:cs="Times New Roman"/>
                <w:b/>
                <w:bCs/>
                <w:color w:val="000000" w:themeColor="text1"/>
              </w:rPr>
              <w:t>3</w:t>
            </w:r>
          </w:p>
        </w:tc>
      </w:tr>
      <w:tr w:rsidR="00DF5E1C" w:rsidRPr="00DF5E1C" w14:paraId="648C1D91" w14:textId="77777777" w:rsidTr="00DF5E1C">
        <w:trPr>
          <w:trHeight w:val="628"/>
          <w:tblCellSpacing w:w="15" w:type="dxa"/>
        </w:trPr>
        <w:tc>
          <w:tcPr>
            <w:tcW w:w="0" w:type="auto"/>
            <w:vAlign w:val="center"/>
            <w:hideMark/>
          </w:tcPr>
          <w:p w14:paraId="63908878" w14:textId="77777777" w:rsidR="00DF5E1C" w:rsidRPr="00DF5E1C" w:rsidRDefault="00DF5E1C" w:rsidP="00DF5E1C">
            <w:pPr>
              <w:jc w:val="center"/>
              <w:rPr>
                <w:rFonts w:ascii="Times New Roman" w:hAnsi="Times New Roman" w:cs="Times New Roman"/>
                <w:b/>
                <w:bCs/>
                <w:color w:val="000000" w:themeColor="text1"/>
              </w:rPr>
            </w:pPr>
            <w:r w:rsidRPr="00DF5E1C">
              <w:rPr>
                <w:rFonts w:ascii="Times New Roman" w:hAnsi="Times New Roman" w:cs="Times New Roman"/>
                <w:b/>
                <w:bCs/>
                <w:color w:val="000000" w:themeColor="text1"/>
              </w:rPr>
              <w:t>   1.1 Objectives of the Survey</w:t>
            </w:r>
          </w:p>
        </w:tc>
        <w:tc>
          <w:tcPr>
            <w:tcW w:w="0" w:type="auto"/>
            <w:vAlign w:val="center"/>
            <w:hideMark/>
          </w:tcPr>
          <w:p w14:paraId="3AD04FA4" w14:textId="0CFDF7E7" w:rsidR="00DF5E1C" w:rsidRPr="00DF5E1C" w:rsidRDefault="00262D11" w:rsidP="00DF5E1C">
            <w:pPr>
              <w:jc w:val="center"/>
              <w:rPr>
                <w:rFonts w:ascii="Times New Roman" w:hAnsi="Times New Roman" w:cs="Times New Roman"/>
                <w:b/>
                <w:bCs/>
                <w:color w:val="000000" w:themeColor="text1"/>
              </w:rPr>
            </w:pPr>
            <w:r>
              <w:rPr>
                <w:rFonts w:ascii="Times New Roman" w:hAnsi="Times New Roman" w:cs="Times New Roman"/>
                <w:b/>
                <w:bCs/>
                <w:color w:val="000000" w:themeColor="text1"/>
              </w:rPr>
              <w:t>3</w:t>
            </w:r>
          </w:p>
        </w:tc>
      </w:tr>
      <w:tr w:rsidR="00DF5E1C" w:rsidRPr="00DF5E1C" w14:paraId="051A8E10" w14:textId="77777777" w:rsidTr="00DF5E1C">
        <w:trPr>
          <w:trHeight w:val="614"/>
          <w:tblCellSpacing w:w="15" w:type="dxa"/>
        </w:trPr>
        <w:tc>
          <w:tcPr>
            <w:tcW w:w="0" w:type="auto"/>
            <w:vAlign w:val="center"/>
            <w:hideMark/>
          </w:tcPr>
          <w:p w14:paraId="6E573F74" w14:textId="77777777" w:rsidR="00DF5E1C" w:rsidRPr="00DF5E1C" w:rsidRDefault="00DF5E1C" w:rsidP="00DF5E1C">
            <w:pPr>
              <w:jc w:val="center"/>
              <w:rPr>
                <w:rFonts w:ascii="Times New Roman" w:hAnsi="Times New Roman" w:cs="Times New Roman"/>
                <w:b/>
                <w:bCs/>
                <w:color w:val="000000" w:themeColor="text1"/>
              </w:rPr>
            </w:pPr>
            <w:r w:rsidRPr="00DF5E1C">
              <w:rPr>
                <w:rFonts w:ascii="Times New Roman" w:hAnsi="Times New Roman" w:cs="Times New Roman"/>
                <w:b/>
                <w:bCs/>
                <w:color w:val="000000" w:themeColor="text1"/>
              </w:rPr>
              <w:t>   1.2 Survey Methodology</w:t>
            </w:r>
          </w:p>
        </w:tc>
        <w:tc>
          <w:tcPr>
            <w:tcW w:w="0" w:type="auto"/>
            <w:vAlign w:val="center"/>
            <w:hideMark/>
          </w:tcPr>
          <w:p w14:paraId="242A480B" w14:textId="7B9321B1" w:rsidR="00DF5E1C" w:rsidRPr="00DF5E1C" w:rsidRDefault="00262D11" w:rsidP="00DF5E1C">
            <w:pPr>
              <w:jc w:val="center"/>
              <w:rPr>
                <w:rFonts w:ascii="Times New Roman" w:hAnsi="Times New Roman" w:cs="Times New Roman"/>
                <w:b/>
                <w:bCs/>
                <w:color w:val="000000" w:themeColor="text1"/>
              </w:rPr>
            </w:pPr>
            <w:r>
              <w:rPr>
                <w:rFonts w:ascii="Times New Roman" w:hAnsi="Times New Roman" w:cs="Times New Roman"/>
                <w:b/>
                <w:bCs/>
                <w:color w:val="000000" w:themeColor="text1"/>
              </w:rPr>
              <w:t>4</w:t>
            </w:r>
          </w:p>
        </w:tc>
      </w:tr>
      <w:tr w:rsidR="00DF5E1C" w:rsidRPr="00DF5E1C" w14:paraId="31A7ED08" w14:textId="77777777" w:rsidTr="00DF5E1C">
        <w:trPr>
          <w:trHeight w:val="628"/>
          <w:tblCellSpacing w:w="15" w:type="dxa"/>
        </w:trPr>
        <w:tc>
          <w:tcPr>
            <w:tcW w:w="0" w:type="auto"/>
            <w:vAlign w:val="center"/>
            <w:hideMark/>
          </w:tcPr>
          <w:p w14:paraId="66C8BAE6" w14:textId="77777777" w:rsidR="00DF5E1C" w:rsidRPr="00DF5E1C" w:rsidRDefault="00DF5E1C" w:rsidP="00DF5E1C">
            <w:pPr>
              <w:jc w:val="center"/>
              <w:rPr>
                <w:rFonts w:ascii="Times New Roman" w:hAnsi="Times New Roman" w:cs="Times New Roman"/>
                <w:b/>
                <w:bCs/>
                <w:color w:val="000000" w:themeColor="text1"/>
              </w:rPr>
            </w:pPr>
            <w:r w:rsidRPr="00DF5E1C">
              <w:rPr>
                <w:rFonts w:ascii="Times New Roman" w:hAnsi="Times New Roman" w:cs="Times New Roman"/>
                <w:b/>
                <w:bCs/>
                <w:color w:val="000000" w:themeColor="text1"/>
              </w:rPr>
              <w:t>2. Individual Paper Reviews</w:t>
            </w:r>
          </w:p>
        </w:tc>
        <w:tc>
          <w:tcPr>
            <w:tcW w:w="0" w:type="auto"/>
            <w:vAlign w:val="center"/>
            <w:hideMark/>
          </w:tcPr>
          <w:p w14:paraId="3DB70782" w14:textId="4A03B889" w:rsidR="00DF5E1C" w:rsidRPr="00DF5E1C" w:rsidRDefault="00262D11" w:rsidP="00DF5E1C">
            <w:pPr>
              <w:jc w:val="center"/>
              <w:rPr>
                <w:rFonts w:ascii="Times New Roman" w:hAnsi="Times New Roman" w:cs="Times New Roman"/>
                <w:b/>
                <w:bCs/>
                <w:color w:val="000000" w:themeColor="text1"/>
              </w:rPr>
            </w:pPr>
            <w:r>
              <w:rPr>
                <w:rFonts w:ascii="Times New Roman" w:hAnsi="Times New Roman" w:cs="Times New Roman"/>
                <w:b/>
                <w:bCs/>
                <w:color w:val="000000" w:themeColor="text1"/>
              </w:rPr>
              <w:t>4</w:t>
            </w:r>
          </w:p>
        </w:tc>
      </w:tr>
      <w:tr w:rsidR="00DF5E1C" w:rsidRPr="00DF5E1C" w14:paraId="2A171703" w14:textId="77777777" w:rsidTr="00DF5E1C">
        <w:trPr>
          <w:trHeight w:val="614"/>
          <w:tblCellSpacing w:w="15" w:type="dxa"/>
        </w:trPr>
        <w:tc>
          <w:tcPr>
            <w:tcW w:w="0" w:type="auto"/>
            <w:vAlign w:val="center"/>
            <w:hideMark/>
          </w:tcPr>
          <w:p w14:paraId="123D077A" w14:textId="77777777" w:rsidR="00DF5E1C" w:rsidRPr="00DF5E1C" w:rsidRDefault="00DF5E1C" w:rsidP="00DF5E1C">
            <w:pPr>
              <w:jc w:val="center"/>
              <w:rPr>
                <w:rFonts w:ascii="Times New Roman" w:hAnsi="Times New Roman" w:cs="Times New Roman"/>
                <w:b/>
                <w:bCs/>
                <w:color w:val="000000" w:themeColor="text1"/>
              </w:rPr>
            </w:pPr>
            <w:r w:rsidRPr="00DF5E1C">
              <w:rPr>
                <w:rFonts w:ascii="Times New Roman" w:hAnsi="Times New Roman" w:cs="Times New Roman"/>
                <w:b/>
                <w:bCs/>
                <w:color w:val="000000" w:themeColor="text1"/>
              </w:rPr>
              <w:t>3. Comparative Literature Survey Table</w:t>
            </w:r>
          </w:p>
        </w:tc>
        <w:tc>
          <w:tcPr>
            <w:tcW w:w="0" w:type="auto"/>
            <w:vAlign w:val="center"/>
            <w:hideMark/>
          </w:tcPr>
          <w:p w14:paraId="4A54964E" w14:textId="17B5667B" w:rsidR="00DF5E1C" w:rsidRPr="00DF5E1C" w:rsidRDefault="00262D11" w:rsidP="00DF5E1C">
            <w:pPr>
              <w:jc w:val="center"/>
              <w:rPr>
                <w:rFonts w:ascii="Times New Roman" w:hAnsi="Times New Roman" w:cs="Times New Roman"/>
                <w:b/>
                <w:bCs/>
                <w:color w:val="000000" w:themeColor="text1"/>
              </w:rPr>
            </w:pPr>
            <w:r>
              <w:rPr>
                <w:rFonts w:ascii="Times New Roman" w:hAnsi="Times New Roman" w:cs="Times New Roman"/>
                <w:b/>
                <w:bCs/>
                <w:color w:val="000000" w:themeColor="text1"/>
              </w:rPr>
              <w:t>6</w:t>
            </w:r>
          </w:p>
        </w:tc>
      </w:tr>
      <w:tr w:rsidR="00DF5E1C" w:rsidRPr="00DF5E1C" w14:paraId="0D2094A1" w14:textId="77777777" w:rsidTr="00DF5E1C">
        <w:trPr>
          <w:trHeight w:val="628"/>
          <w:tblCellSpacing w:w="15" w:type="dxa"/>
        </w:trPr>
        <w:tc>
          <w:tcPr>
            <w:tcW w:w="0" w:type="auto"/>
            <w:vAlign w:val="center"/>
            <w:hideMark/>
          </w:tcPr>
          <w:p w14:paraId="52DA9E6A" w14:textId="77777777" w:rsidR="00DF5E1C" w:rsidRPr="00DF5E1C" w:rsidRDefault="00DF5E1C" w:rsidP="00DF5E1C">
            <w:pPr>
              <w:jc w:val="center"/>
              <w:rPr>
                <w:rFonts w:ascii="Times New Roman" w:hAnsi="Times New Roman" w:cs="Times New Roman"/>
                <w:b/>
                <w:bCs/>
                <w:color w:val="000000" w:themeColor="text1"/>
              </w:rPr>
            </w:pPr>
            <w:r w:rsidRPr="00DF5E1C">
              <w:rPr>
                <w:rFonts w:ascii="Times New Roman" w:hAnsi="Times New Roman" w:cs="Times New Roman"/>
                <w:b/>
                <w:bCs/>
                <w:color w:val="000000" w:themeColor="text1"/>
              </w:rPr>
              <w:t>4. Discussion of the Comparative Analysis</w:t>
            </w:r>
          </w:p>
        </w:tc>
        <w:tc>
          <w:tcPr>
            <w:tcW w:w="0" w:type="auto"/>
            <w:vAlign w:val="center"/>
            <w:hideMark/>
          </w:tcPr>
          <w:p w14:paraId="27FC178F" w14:textId="38D2FEF0" w:rsidR="00DF5E1C" w:rsidRPr="00DF5E1C" w:rsidRDefault="00262D11" w:rsidP="00DF5E1C">
            <w:pPr>
              <w:jc w:val="center"/>
              <w:rPr>
                <w:rFonts w:ascii="Times New Roman" w:hAnsi="Times New Roman" w:cs="Times New Roman"/>
                <w:b/>
                <w:bCs/>
                <w:color w:val="000000" w:themeColor="text1"/>
              </w:rPr>
            </w:pPr>
            <w:r>
              <w:rPr>
                <w:rFonts w:ascii="Times New Roman" w:hAnsi="Times New Roman" w:cs="Times New Roman"/>
                <w:b/>
                <w:bCs/>
                <w:color w:val="000000" w:themeColor="text1"/>
              </w:rPr>
              <w:t>7</w:t>
            </w:r>
          </w:p>
        </w:tc>
      </w:tr>
      <w:tr w:rsidR="00DF5E1C" w:rsidRPr="00DF5E1C" w14:paraId="4C250339" w14:textId="77777777" w:rsidTr="00DF5E1C">
        <w:trPr>
          <w:trHeight w:val="614"/>
          <w:tblCellSpacing w:w="15" w:type="dxa"/>
        </w:trPr>
        <w:tc>
          <w:tcPr>
            <w:tcW w:w="0" w:type="auto"/>
            <w:vAlign w:val="center"/>
            <w:hideMark/>
          </w:tcPr>
          <w:p w14:paraId="35F2A980" w14:textId="77777777" w:rsidR="00DF5E1C" w:rsidRPr="00DF5E1C" w:rsidRDefault="00DF5E1C" w:rsidP="00DF5E1C">
            <w:pPr>
              <w:jc w:val="center"/>
              <w:rPr>
                <w:rFonts w:ascii="Times New Roman" w:hAnsi="Times New Roman" w:cs="Times New Roman"/>
                <w:b/>
                <w:bCs/>
                <w:color w:val="000000" w:themeColor="text1"/>
              </w:rPr>
            </w:pPr>
            <w:r w:rsidRPr="00DF5E1C">
              <w:rPr>
                <w:rFonts w:ascii="Times New Roman" w:hAnsi="Times New Roman" w:cs="Times New Roman"/>
                <w:b/>
                <w:bCs/>
                <w:color w:val="000000" w:themeColor="text1"/>
              </w:rPr>
              <w:t>5. Limitations and Challenges of Existing Approaches</w:t>
            </w:r>
          </w:p>
        </w:tc>
        <w:tc>
          <w:tcPr>
            <w:tcW w:w="0" w:type="auto"/>
            <w:vAlign w:val="center"/>
            <w:hideMark/>
          </w:tcPr>
          <w:p w14:paraId="395D5224" w14:textId="1DFCB05E" w:rsidR="00DF5E1C" w:rsidRPr="00DF5E1C" w:rsidRDefault="00262D11" w:rsidP="00DF5E1C">
            <w:pPr>
              <w:jc w:val="center"/>
              <w:rPr>
                <w:rFonts w:ascii="Times New Roman" w:hAnsi="Times New Roman" w:cs="Times New Roman"/>
                <w:b/>
                <w:bCs/>
                <w:color w:val="000000" w:themeColor="text1"/>
              </w:rPr>
            </w:pPr>
            <w:r>
              <w:rPr>
                <w:rFonts w:ascii="Times New Roman" w:hAnsi="Times New Roman" w:cs="Times New Roman"/>
                <w:b/>
                <w:bCs/>
                <w:color w:val="000000" w:themeColor="text1"/>
              </w:rPr>
              <w:t>8</w:t>
            </w:r>
          </w:p>
        </w:tc>
      </w:tr>
      <w:tr w:rsidR="00DF5E1C" w:rsidRPr="00DF5E1C" w14:paraId="24E730C8" w14:textId="77777777" w:rsidTr="00DF5E1C">
        <w:trPr>
          <w:trHeight w:val="628"/>
          <w:tblCellSpacing w:w="15" w:type="dxa"/>
        </w:trPr>
        <w:tc>
          <w:tcPr>
            <w:tcW w:w="0" w:type="auto"/>
            <w:vAlign w:val="center"/>
            <w:hideMark/>
          </w:tcPr>
          <w:p w14:paraId="42F97ADF" w14:textId="77777777" w:rsidR="00DF5E1C" w:rsidRPr="00DF5E1C" w:rsidRDefault="00DF5E1C" w:rsidP="00DF5E1C">
            <w:pPr>
              <w:jc w:val="center"/>
              <w:rPr>
                <w:rFonts w:ascii="Times New Roman" w:hAnsi="Times New Roman" w:cs="Times New Roman"/>
                <w:b/>
                <w:bCs/>
                <w:color w:val="000000" w:themeColor="text1"/>
              </w:rPr>
            </w:pPr>
            <w:r w:rsidRPr="00DF5E1C">
              <w:rPr>
                <w:rFonts w:ascii="Times New Roman" w:hAnsi="Times New Roman" w:cs="Times New Roman"/>
                <w:b/>
                <w:bCs/>
                <w:color w:val="000000" w:themeColor="text1"/>
              </w:rPr>
              <w:t>6. Research Gap</w:t>
            </w:r>
          </w:p>
        </w:tc>
        <w:tc>
          <w:tcPr>
            <w:tcW w:w="0" w:type="auto"/>
            <w:vAlign w:val="center"/>
            <w:hideMark/>
          </w:tcPr>
          <w:p w14:paraId="77EB9CB1" w14:textId="63B11494" w:rsidR="00DF5E1C" w:rsidRPr="00DF5E1C" w:rsidRDefault="00262D11" w:rsidP="00DF5E1C">
            <w:pPr>
              <w:jc w:val="center"/>
              <w:rPr>
                <w:rFonts w:ascii="Times New Roman" w:hAnsi="Times New Roman" w:cs="Times New Roman"/>
                <w:b/>
                <w:bCs/>
                <w:color w:val="000000" w:themeColor="text1"/>
              </w:rPr>
            </w:pPr>
            <w:r>
              <w:rPr>
                <w:rFonts w:ascii="Times New Roman" w:hAnsi="Times New Roman" w:cs="Times New Roman"/>
                <w:b/>
                <w:bCs/>
                <w:color w:val="000000" w:themeColor="text1"/>
              </w:rPr>
              <w:t>9</w:t>
            </w:r>
          </w:p>
        </w:tc>
      </w:tr>
      <w:tr w:rsidR="00DF5E1C" w:rsidRPr="00DF5E1C" w14:paraId="0E9DCB76" w14:textId="77777777" w:rsidTr="00DF5E1C">
        <w:trPr>
          <w:trHeight w:val="614"/>
          <w:tblCellSpacing w:w="15" w:type="dxa"/>
        </w:trPr>
        <w:tc>
          <w:tcPr>
            <w:tcW w:w="0" w:type="auto"/>
            <w:vAlign w:val="center"/>
            <w:hideMark/>
          </w:tcPr>
          <w:p w14:paraId="54473382" w14:textId="77777777" w:rsidR="00DF5E1C" w:rsidRPr="00DF5E1C" w:rsidRDefault="00DF5E1C" w:rsidP="00DF5E1C">
            <w:pPr>
              <w:jc w:val="center"/>
              <w:rPr>
                <w:rFonts w:ascii="Times New Roman" w:hAnsi="Times New Roman" w:cs="Times New Roman"/>
                <w:b/>
                <w:bCs/>
                <w:color w:val="000000" w:themeColor="text1"/>
              </w:rPr>
            </w:pPr>
            <w:r w:rsidRPr="00DF5E1C">
              <w:rPr>
                <w:rFonts w:ascii="Times New Roman" w:hAnsi="Times New Roman" w:cs="Times New Roman"/>
                <w:b/>
                <w:bCs/>
                <w:color w:val="000000" w:themeColor="text1"/>
              </w:rPr>
              <w:t>7. Future Directions / Proposed Improvements</w:t>
            </w:r>
          </w:p>
        </w:tc>
        <w:tc>
          <w:tcPr>
            <w:tcW w:w="0" w:type="auto"/>
            <w:vAlign w:val="center"/>
            <w:hideMark/>
          </w:tcPr>
          <w:p w14:paraId="4A8FEDAC" w14:textId="2B1A8878" w:rsidR="00DF5E1C" w:rsidRPr="00DF5E1C" w:rsidRDefault="001E0C47" w:rsidP="00DF5E1C">
            <w:pPr>
              <w:jc w:val="center"/>
              <w:rPr>
                <w:rFonts w:ascii="Times New Roman" w:hAnsi="Times New Roman" w:cs="Times New Roman"/>
                <w:b/>
                <w:bCs/>
                <w:color w:val="000000" w:themeColor="text1"/>
              </w:rPr>
            </w:pPr>
            <w:r>
              <w:rPr>
                <w:rFonts w:ascii="Times New Roman" w:hAnsi="Times New Roman" w:cs="Times New Roman"/>
                <w:b/>
                <w:bCs/>
                <w:color w:val="000000" w:themeColor="text1"/>
              </w:rPr>
              <w:t>10</w:t>
            </w:r>
          </w:p>
        </w:tc>
      </w:tr>
      <w:tr w:rsidR="00DF5E1C" w:rsidRPr="00DF5E1C" w14:paraId="1997834B" w14:textId="77777777" w:rsidTr="00DF5E1C">
        <w:trPr>
          <w:trHeight w:val="628"/>
          <w:tblCellSpacing w:w="15" w:type="dxa"/>
        </w:trPr>
        <w:tc>
          <w:tcPr>
            <w:tcW w:w="0" w:type="auto"/>
            <w:vAlign w:val="center"/>
            <w:hideMark/>
          </w:tcPr>
          <w:p w14:paraId="56931787" w14:textId="77777777" w:rsidR="00DF5E1C" w:rsidRPr="00DF5E1C" w:rsidRDefault="00DF5E1C" w:rsidP="00DF5E1C">
            <w:pPr>
              <w:jc w:val="center"/>
              <w:rPr>
                <w:rFonts w:ascii="Times New Roman" w:hAnsi="Times New Roman" w:cs="Times New Roman"/>
                <w:b/>
                <w:bCs/>
                <w:color w:val="000000" w:themeColor="text1"/>
              </w:rPr>
            </w:pPr>
            <w:r w:rsidRPr="00DF5E1C">
              <w:rPr>
                <w:rFonts w:ascii="Times New Roman" w:hAnsi="Times New Roman" w:cs="Times New Roman"/>
                <w:b/>
                <w:bCs/>
                <w:color w:val="000000" w:themeColor="text1"/>
              </w:rPr>
              <w:t>8. Mapping the Research Gap to the Proposed System's Objectives</w:t>
            </w:r>
          </w:p>
        </w:tc>
        <w:tc>
          <w:tcPr>
            <w:tcW w:w="0" w:type="auto"/>
            <w:vAlign w:val="center"/>
            <w:hideMark/>
          </w:tcPr>
          <w:p w14:paraId="63FA6F95" w14:textId="708B01F9" w:rsidR="00DF5E1C" w:rsidRPr="00DF5E1C" w:rsidRDefault="001E0C47" w:rsidP="00DF5E1C">
            <w:pPr>
              <w:jc w:val="center"/>
              <w:rPr>
                <w:rFonts w:ascii="Times New Roman" w:hAnsi="Times New Roman" w:cs="Times New Roman"/>
                <w:b/>
                <w:bCs/>
                <w:color w:val="000000" w:themeColor="text1"/>
              </w:rPr>
            </w:pPr>
            <w:r>
              <w:rPr>
                <w:rFonts w:ascii="Times New Roman" w:hAnsi="Times New Roman" w:cs="Times New Roman"/>
                <w:b/>
                <w:bCs/>
                <w:color w:val="000000" w:themeColor="text1"/>
              </w:rPr>
              <w:t>11</w:t>
            </w:r>
          </w:p>
        </w:tc>
      </w:tr>
      <w:tr w:rsidR="00DF5E1C" w:rsidRPr="00DF5E1C" w14:paraId="058A36BC" w14:textId="77777777" w:rsidTr="00DF5E1C">
        <w:trPr>
          <w:trHeight w:val="614"/>
          <w:tblCellSpacing w:w="15" w:type="dxa"/>
        </w:trPr>
        <w:tc>
          <w:tcPr>
            <w:tcW w:w="0" w:type="auto"/>
            <w:vAlign w:val="center"/>
            <w:hideMark/>
          </w:tcPr>
          <w:p w14:paraId="649497C1" w14:textId="77777777" w:rsidR="00DF5E1C" w:rsidRPr="00DF5E1C" w:rsidRDefault="00DF5E1C" w:rsidP="00DF5E1C">
            <w:pPr>
              <w:jc w:val="center"/>
              <w:rPr>
                <w:rFonts w:ascii="Times New Roman" w:hAnsi="Times New Roman" w:cs="Times New Roman"/>
                <w:b/>
                <w:bCs/>
                <w:color w:val="000000" w:themeColor="text1"/>
              </w:rPr>
            </w:pPr>
            <w:r w:rsidRPr="00DF5E1C">
              <w:rPr>
                <w:rFonts w:ascii="Times New Roman" w:hAnsi="Times New Roman" w:cs="Times New Roman"/>
                <w:b/>
                <w:bCs/>
                <w:color w:val="000000" w:themeColor="text1"/>
              </w:rPr>
              <w:t>9. Conclusion</w:t>
            </w:r>
          </w:p>
        </w:tc>
        <w:tc>
          <w:tcPr>
            <w:tcW w:w="0" w:type="auto"/>
            <w:vAlign w:val="center"/>
            <w:hideMark/>
          </w:tcPr>
          <w:p w14:paraId="338EBA34" w14:textId="0F91FB3F" w:rsidR="00DF5E1C" w:rsidRPr="00DF5E1C" w:rsidRDefault="00DF5E1C" w:rsidP="00DF5E1C">
            <w:pPr>
              <w:jc w:val="center"/>
              <w:rPr>
                <w:rFonts w:ascii="Times New Roman" w:hAnsi="Times New Roman" w:cs="Times New Roman"/>
                <w:b/>
                <w:bCs/>
                <w:color w:val="000000" w:themeColor="text1"/>
              </w:rPr>
            </w:pPr>
            <w:r>
              <w:rPr>
                <w:rFonts w:ascii="Times New Roman" w:hAnsi="Times New Roman" w:cs="Times New Roman"/>
                <w:b/>
                <w:bCs/>
                <w:color w:val="000000" w:themeColor="text1"/>
              </w:rPr>
              <w:t>11</w:t>
            </w:r>
          </w:p>
        </w:tc>
      </w:tr>
      <w:tr w:rsidR="00DF5E1C" w:rsidRPr="00DF5E1C" w14:paraId="4CC36541" w14:textId="77777777" w:rsidTr="00DF5E1C">
        <w:trPr>
          <w:trHeight w:val="628"/>
          <w:tblCellSpacing w:w="15" w:type="dxa"/>
        </w:trPr>
        <w:tc>
          <w:tcPr>
            <w:tcW w:w="0" w:type="auto"/>
            <w:vAlign w:val="center"/>
            <w:hideMark/>
          </w:tcPr>
          <w:p w14:paraId="2262759C" w14:textId="77777777" w:rsidR="00DF5E1C" w:rsidRPr="00DF5E1C" w:rsidRDefault="00DF5E1C" w:rsidP="00DF5E1C">
            <w:pPr>
              <w:jc w:val="center"/>
              <w:rPr>
                <w:rFonts w:ascii="Times New Roman" w:hAnsi="Times New Roman" w:cs="Times New Roman"/>
                <w:b/>
                <w:bCs/>
                <w:color w:val="000000" w:themeColor="text1"/>
              </w:rPr>
            </w:pPr>
            <w:r w:rsidRPr="00DF5E1C">
              <w:rPr>
                <w:rFonts w:ascii="Times New Roman" w:hAnsi="Times New Roman" w:cs="Times New Roman"/>
                <w:b/>
                <w:bCs/>
                <w:color w:val="000000" w:themeColor="text1"/>
              </w:rPr>
              <w:t>10. References</w:t>
            </w:r>
          </w:p>
        </w:tc>
        <w:tc>
          <w:tcPr>
            <w:tcW w:w="0" w:type="auto"/>
            <w:vAlign w:val="center"/>
            <w:hideMark/>
          </w:tcPr>
          <w:p w14:paraId="364694B3" w14:textId="69AF48E3" w:rsidR="00DF5E1C" w:rsidRPr="00DF5E1C" w:rsidRDefault="00DF5E1C" w:rsidP="00DF5E1C">
            <w:pPr>
              <w:jc w:val="center"/>
              <w:rPr>
                <w:rFonts w:ascii="Times New Roman" w:hAnsi="Times New Roman" w:cs="Times New Roman"/>
                <w:b/>
                <w:bCs/>
                <w:color w:val="000000" w:themeColor="text1"/>
              </w:rPr>
            </w:pPr>
            <w:r>
              <w:rPr>
                <w:rFonts w:ascii="Times New Roman" w:hAnsi="Times New Roman" w:cs="Times New Roman"/>
                <w:b/>
                <w:bCs/>
                <w:color w:val="000000" w:themeColor="text1"/>
              </w:rPr>
              <w:t>12</w:t>
            </w:r>
          </w:p>
        </w:tc>
      </w:tr>
    </w:tbl>
    <w:p w14:paraId="4E76B7AF" w14:textId="77777777" w:rsidR="00DF5E1C" w:rsidRDefault="00DF5E1C" w:rsidP="002C3E65">
      <w:pPr>
        <w:jc w:val="both"/>
        <w:rPr>
          <w:rFonts w:ascii="Times New Roman" w:hAnsi="Times New Roman" w:cs="Times New Roman"/>
          <w:b/>
          <w:bCs/>
          <w:color w:val="000000" w:themeColor="text1"/>
          <w:lang w:val="en-CA"/>
        </w:rPr>
      </w:pPr>
    </w:p>
    <w:p w14:paraId="754E517E" w14:textId="77777777" w:rsidR="00DF5E1C" w:rsidRDefault="00DF5E1C" w:rsidP="002C3E65">
      <w:pPr>
        <w:jc w:val="both"/>
        <w:rPr>
          <w:rFonts w:ascii="Times New Roman" w:hAnsi="Times New Roman" w:cs="Times New Roman"/>
          <w:b/>
          <w:bCs/>
          <w:color w:val="000000" w:themeColor="text1"/>
          <w:lang w:val="en-CA"/>
        </w:rPr>
      </w:pPr>
    </w:p>
    <w:p w14:paraId="5EBD7436" w14:textId="77777777" w:rsidR="00DF5E1C" w:rsidRDefault="00DF5E1C" w:rsidP="002C3E65">
      <w:pPr>
        <w:jc w:val="both"/>
        <w:rPr>
          <w:rFonts w:ascii="Times New Roman" w:hAnsi="Times New Roman" w:cs="Times New Roman"/>
          <w:b/>
          <w:bCs/>
          <w:color w:val="000000" w:themeColor="text1"/>
          <w:lang w:val="en-CA"/>
        </w:rPr>
      </w:pPr>
    </w:p>
    <w:p w14:paraId="2583435F" w14:textId="77777777" w:rsidR="00DF5E1C" w:rsidRDefault="00DF5E1C" w:rsidP="002C3E65">
      <w:pPr>
        <w:jc w:val="both"/>
        <w:rPr>
          <w:rFonts w:ascii="Times New Roman" w:hAnsi="Times New Roman" w:cs="Times New Roman"/>
          <w:b/>
          <w:bCs/>
          <w:color w:val="000000" w:themeColor="text1"/>
          <w:lang w:val="en-CA"/>
        </w:rPr>
      </w:pPr>
    </w:p>
    <w:p w14:paraId="508E4075" w14:textId="77777777" w:rsidR="00DF5E1C" w:rsidRPr="00684401" w:rsidRDefault="00DF5E1C" w:rsidP="002C3E65">
      <w:pPr>
        <w:jc w:val="both"/>
        <w:rPr>
          <w:rFonts w:ascii="Times New Roman" w:hAnsi="Times New Roman" w:cs="Times New Roman"/>
          <w:b/>
          <w:bCs/>
          <w:color w:val="000000" w:themeColor="text1"/>
          <w:lang w:val="en-CA"/>
        </w:rPr>
      </w:pPr>
    </w:p>
    <w:p w14:paraId="1CEB55EC" w14:textId="77777777" w:rsidR="00684401" w:rsidRPr="00684401" w:rsidRDefault="00684401" w:rsidP="002C3E65">
      <w:pPr>
        <w:rPr>
          <w:rFonts w:ascii="Times New Roman" w:hAnsi="Times New Roman" w:cs="Times New Roman"/>
          <w:b/>
          <w:bCs/>
          <w:color w:val="000000" w:themeColor="text1"/>
          <w:lang w:val="en-CA"/>
        </w:rPr>
      </w:pPr>
    </w:p>
    <w:p w14:paraId="2657E5D7" w14:textId="77777777" w:rsidR="00684401" w:rsidRPr="00684401" w:rsidRDefault="00684401" w:rsidP="00684401">
      <w:pPr>
        <w:rPr>
          <w:rFonts w:ascii="Times New Roman" w:hAnsi="Times New Roman" w:cs="Times New Roman"/>
          <w:color w:val="000000" w:themeColor="text1"/>
        </w:rPr>
      </w:pPr>
    </w:p>
    <w:p w14:paraId="786F3B58" w14:textId="77777777" w:rsidR="00684401" w:rsidRPr="00684401" w:rsidRDefault="00684401" w:rsidP="00684401">
      <w:pPr>
        <w:pStyle w:val="Heading1"/>
        <w:spacing w:before="260" w:after="130"/>
        <w:rPr>
          <w:rFonts w:ascii="Times New Roman" w:hAnsi="Times New Roman" w:cs="Times New Roman"/>
          <w:color w:val="000000" w:themeColor="text1"/>
          <w:sz w:val="28"/>
          <w:szCs w:val="28"/>
        </w:rPr>
      </w:pPr>
      <w:r w:rsidRPr="00684401">
        <w:rPr>
          <w:rFonts w:ascii="Times New Roman" w:eastAsia="Calibri" w:hAnsi="Times New Roman" w:cs="Times New Roman"/>
          <w:b/>
          <w:bCs/>
          <w:color w:val="000000" w:themeColor="text1"/>
          <w:sz w:val="32"/>
          <w:szCs w:val="32"/>
        </w:rPr>
        <w:lastRenderedPageBreak/>
        <w:t>1</w:t>
      </w:r>
      <w:r w:rsidRPr="00684401">
        <w:rPr>
          <w:rFonts w:ascii="Times New Roman" w:eastAsia="Calibri" w:hAnsi="Times New Roman" w:cs="Times New Roman"/>
          <w:b/>
          <w:bCs/>
          <w:color w:val="000000" w:themeColor="text1"/>
          <w:sz w:val="28"/>
          <w:szCs w:val="28"/>
        </w:rPr>
        <w:t>. Introduction</w:t>
      </w:r>
    </w:p>
    <w:p w14:paraId="5E4495F4"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Vaccines are biological products that lose potency when exposed to temperatures outside the recommended 2°C-8°C range, and cold-chain failures are estimated to waste a significant share of doses worldwide. Hospitals, clinics, blood banks, pharmaceutical warehouses, and vaccination centres still depend heavily on manual temperature logging or standalone data loggers that only report an excursion after it has already occurred. By the time a deviation is noticed, the affected doses may already have lost their potency, resulting in direct financial loss, disrupted immunization campaigns, and, in the worst case, reduced protection for the population that receives a compromised dose.</w:t>
      </w:r>
    </w:p>
    <w:p w14:paraId="08399C91"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The assigned problem statement calls for an IoT-enabled Intelligent Vaccine Cold Storage Monitoring System that uses real-time sensing, artificial intelligence, and predictive analytics to detect abnormal conditions, forecast refrigeration failures before they occur, notify healthcare personnel instantly through multiple channels, maintain audit-ready historical records, and generate regulatory compliance reports across a network of healthcare facilities. Meeting this brief requires drawing on two largely separate bodies of research: IoT-based cold-chain monitoring systems built specifically for vaccines, and machine-learning-based predictive-maintenance techniques developed for refrigeration and industrial equipment more broadly.</w:t>
      </w:r>
    </w:p>
    <w:p w14:paraId="253821DF"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This literature survey reviews eight research contributions that together span both bodies of work: five IoT-based vaccine cold-chain monitoring prototypes, one blockchain-based audit-trail system for vaccine records, and two machine-learning/predictive-maintenance studies applied to refrigeration and cold-storage systems. The papers are compared on their research problem, methodology, technology stack, dataset or tools used, key findings, and limitations, and are then used to identify the specific research gap that motivates the proposed Intelligent Vaccine Cold Storage Monitoring System.</w:t>
      </w:r>
    </w:p>
    <w:p w14:paraId="75782E84" w14:textId="77777777" w:rsidR="00684401" w:rsidRPr="00684401" w:rsidRDefault="00684401" w:rsidP="00684401">
      <w:pPr>
        <w:pStyle w:val="Heading2"/>
        <w:spacing w:before="200" w:after="100"/>
        <w:rPr>
          <w:rFonts w:ascii="Times New Roman" w:hAnsi="Times New Roman" w:cs="Times New Roman"/>
          <w:color w:val="000000" w:themeColor="text1"/>
          <w:sz w:val="24"/>
          <w:szCs w:val="24"/>
        </w:rPr>
      </w:pPr>
      <w:r w:rsidRPr="00684401">
        <w:rPr>
          <w:rFonts w:ascii="Times New Roman" w:eastAsia="Calibri" w:hAnsi="Times New Roman" w:cs="Times New Roman"/>
          <w:b/>
          <w:bCs/>
          <w:color w:val="000000" w:themeColor="text1"/>
          <w:sz w:val="24"/>
          <w:szCs w:val="24"/>
        </w:rPr>
        <w:t>1.1 Objectives of the Survey</w:t>
      </w:r>
    </w:p>
    <w:p w14:paraId="1E9D7B3C"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t>To identify credible, recent research addressing IoT-based monitoring of vaccine or general cold-chain storage.</w:t>
      </w:r>
    </w:p>
    <w:p w14:paraId="1A8D7B40"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t>To summarise the objectives, methodology, technology stack, dataset/tools, and findings of each selected paper.</w:t>
      </w:r>
    </w:p>
    <w:p w14:paraId="40BE008B"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t>To compare the selected studies on parameters relevant to the problem statement: real-time sensing, predictive capability, alerting, audit logging, and compliance reporting.</w:t>
      </w:r>
    </w:p>
    <w:p w14:paraId="5427BA79"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t>To identify the limitations and unresolved challenges in the existing body of work.</w:t>
      </w:r>
    </w:p>
    <w:p w14:paraId="132995F7"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t>To derive a clear research gap and translate it into concrete future-work recommendations for the proposed system.</w:t>
      </w:r>
    </w:p>
    <w:p w14:paraId="3D6AEEAF" w14:textId="77777777" w:rsidR="00684401" w:rsidRPr="00684401" w:rsidRDefault="00684401" w:rsidP="00684401">
      <w:pPr>
        <w:pStyle w:val="Heading2"/>
        <w:spacing w:before="200" w:after="100"/>
        <w:rPr>
          <w:rFonts w:ascii="Times New Roman" w:hAnsi="Times New Roman" w:cs="Times New Roman"/>
          <w:color w:val="000000" w:themeColor="text1"/>
          <w:sz w:val="24"/>
          <w:szCs w:val="24"/>
        </w:rPr>
      </w:pPr>
      <w:r w:rsidRPr="00684401">
        <w:rPr>
          <w:rFonts w:ascii="Times New Roman" w:eastAsia="Calibri" w:hAnsi="Times New Roman" w:cs="Times New Roman"/>
          <w:b/>
          <w:bCs/>
          <w:color w:val="000000" w:themeColor="text1"/>
          <w:sz w:val="24"/>
          <w:szCs w:val="24"/>
        </w:rPr>
        <w:t>1.2 Survey Methodology</w:t>
      </w:r>
    </w:p>
    <w:p w14:paraId="4A539421"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 xml:space="preserve">Candidate papers were identified through targeted searches of IEEE Xplore, ScienceDirect, Springer, PMC/PubMed, and ResearchGate using search terms combining "IoT", "vaccine cold chain", "cold storage monitoring", "predictive maintenance", "anomaly detection", and </w:t>
      </w:r>
      <w:r w:rsidRPr="00684401">
        <w:rPr>
          <w:rFonts w:ascii="Times New Roman" w:eastAsia="Calibri" w:hAnsi="Times New Roman" w:cs="Times New Roman"/>
          <w:color w:val="000000" w:themeColor="text1"/>
        </w:rPr>
        <w:lastRenderedPageBreak/>
        <w:t>"refrigeration failure prediction". Papers were shortlisted based on three criteria: (i) direct relevance to vaccine or pharmaceutical cold-chain monitoring, or to predictive maintenance of refrigeration equipment that generalises to that domain; (ii) availability of a described methodology, technology stack, and reported findings rather than a purely conceptual discussion; and (iii) recency, with a preference for work published from 2020 onward to reflect the current state of IoT and AI adoption in this space. Eight papers meeting these criteria were selected for detailed review, covering a spread from basic sensor-and-cloud prototypes through to blockchain-secured audit trails and machine-learning-based failure forecasting.</w:t>
      </w:r>
    </w:p>
    <w:p w14:paraId="7A5FC5A9" w14:textId="77777777" w:rsidR="00684401" w:rsidRPr="00684401" w:rsidRDefault="00684401" w:rsidP="00684401">
      <w:pPr>
        <w:pStyle w:val="Heading1"/>
        <w:spacing w:before="260" w:after="130"/>
        <w:rPr>
          <w:rFonts w:ascii="Times New Roman" w:hAnsi="Times New Roman" w:cs="Times New Roman"/>
          <w:color w:val="000000" w:themeColor="text1"/>
        </w:rPr>
      </w:pPr>
      <w:r w:rsidRPr="00684401">
        <w:rPr>
          <w:rFonts w:ascii="Times New Roman" w:eastAsia="Calibri" w:hAnsi="Times New Roman" w:cs="Times New Roman"/>
          <w:b/>
          <w:bCs/>
          <w:color w:val="000000" w:themeColor="text1"/>
          <w:sz w:val="28"/>
          <w:szCs w:val="28"/>
        </w:rPr>
        <w:t>2. Individual Paper Reviews</w:t>
      </w:r>
    </w:p>
    <w:p w14:paraId="472EEAF7" w14:textId="77777777" w:rsidR="00684401" w:rsidRPr="00684401" w:rsidRDefault="00684401" w:rsidP="00684401">
      <w:pPr>
        <w:spacing w:before="200" w:after="60"/>
        <w:rPr>
          <w:rFonts w:ascii="Times New Roman" w:hAnsi="Times New Roman" w:cs="Times New Roman"/>
          <w:color w:val="000000" w:themeColor="text1"/>
        </w:rPr>
      </w:pPr>
      <w:r w:rsidRPr="00684401">
        <w:rPr>
          <w:rFonts w:ascii="Times New Roman" w:eastAsia="Calibri" w:hAnsi="Times New Roman" w:cs="Times New Roman"/>
          <w:b/>
          <w:bCs/>
          <w:color w:val="000000" w:themeColor="text1"/>
        </w:rPr>
        <w:t>2.1 An IoT-based Real-Time Data-Centric Monitoring System for Vaccine Cold Chain</w:t>
      </w:r>
    </w:p>
    <w:p w14:paraId="6DF8E842" w14:textId="77777777" w:rsidR="00684401" w:rsidRPr="00684401" w:rsidRDefault="00684401" w:rsidP="00684401">
      <w:pPr>
        <w:spacing w:after="100"/>
        <w:rPr>
          <w:rFonts w:ascii="Times New Roman" w:hAnsi="Times New Roman" w:cs="Times New Roman"/>
          <w:color w:val="000000" w:themeColor="text1"/>
        </w:rPr>
      </w:pPr>
      <w:r w:rsidRPr="00684401">
        <w:rPr>
          <w:rFonts w:ascii="Times New Roman" w:eastAsia="Calibri" w:hAnsi="Times New Roman" w:cs="Times New Roman"/>
          <w:i/>
          <w:iCs/>
          <w:color w:val="000000" w:themeColor="text1"/>
        </w:rPr>
        <w:t>Hasanat, R. T. et al., IEEE East-West Design &amp; Test Symposium (EWDTS), 2020</w:t>
      </w:r>
    </w:p>
    <w:p w14:paraId="00F326B7"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Objective: To continuously monitor temperature, humidity, and location of vaccine carriers during transport in order to reduce wastage and increase vaccine outreach in remote regions.</w:t>
      </w:r>
    </w:p>
    <w:p w14:paraId="0B20DBFA"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Methodology &amp; Technology: An Arduino-based wireless sensor network transmits data to the Xively (now defunct) sensor-cloud platform; the system supports trip-wise management so that each transportation run can be individually supervised, and GPS tracks carrier location.</w:t>
      </w:r>
    </w:p>
    <w:p w14:paraId="06A3C0B8"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Key Findings: The prototype demonstrated that remote, trip-based supervision improves transparency and can help reduce vaccine wastage rates in low-infrastructure settings, though it stops at data reporting and does not analyse or forecast failures.</w:t>
      </w:r>
    </w:p>
    <w:p w14:paraId="532508FB"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Relevance to the Proposed System: Confirms the baseline value of continuous IoT sensing and location tracking called for in the problem statement, but shows that sensing alone is insufficient — the proposed system must add a predictive and alerting layer on top of this kind of trip-wise data collection.</w:t>
      </w:r>
    </w:p>
    <w:p w14:paraId="4ED654DF" w14:textId="77777777" w:rsidR="00684401" w:rsidRPr="00684401" w:rsidRDefault="00684401" w:rsidP="00684401">
      <w:pPr>
        <w:spacing w:before="200" w:after="60"/>
        <w:rPr>
          <w:rFonts w:ascii="Times New Roman" w:hAnsi="Times New Roman" w:cs="Times New Roman"/>
          <w:color w:val="000000" w:themeColor="text1"/>
        </w:rPr>
      </w:pPr>
      <w:r w:rsidRPr="00684401">
        <w:rPr>
          <w:rFonts w:ascii="Times New Roman" w:eastAsia="Calibri" w:hAnsi="Times New Roman" w:cs="Times New Roman"/>
          <w:b/>
          <w:bCs/>
          <w:color w:val="000000" w:themeColor="text1"/>
        </w:rPr>
        <w:t>2.2 Smart IoT-Based COVID-19 Vaccine Supply Chain, Monitoring, and Control System</w:t>
      </w:r>
    </w:p>
    <w:p w14:paraId="0F82BC57" w14:textId="77777777" w:rsidR="00684401" w:rsidRPr="00684401" w:rsidRDefault="00684401" w:rsidP="00684401">
      <w:pPr>
        <w:spacing w:after="100"/>
        <w:rPr>
          <w:rFonts w:ascii="Times New Roman" w:hAnsi="Times New Roman" w:cs="Times New Roman"/>
          <w:color w:val="000000" w:themeColor="text1"/>
        </w:rPr>
      </w:pPr>
      <w:r w:rsidRPr="00684401">
        <w:rPr>
          <w:rFonts w:ascii="Times New Roman" w:eastAsia="Calibri" w:hAnsi="Times New Roman" w:cs="Times New Roman"/>
          <w:i/>
          <w:iCs/>
          <w:color w:val="000000" w:themeColor="text1"/>
        </w:rPr>
        <w:t>Elsayed et al., ECSA Conference Proceedings, 2025</w:t>
      </w:r>
    </w:p>
    <w:p w14:paraId="25801A77"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Objective: To design a low-cost system that monitors temperature, humidity, quantity, and location of COVID-19 vaccine storage sites across supply-chain stages and alerts staff to out-of-range conditions.</w:t>
      </w:r>
    </w:p>
    <w:p w14:paraId="3E841E4C"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Methodology &amp; Technology: An Arduino Uno microcontroller integrates temperature, humidity, and ultrasonic sensors with a GPS and Wi-Fi module; readings are pushed to the ThingSpeak cloud platform and viewed on desktop or mobile clients.</w:t>
      </w:r>
    </w:p>
    <w:p w14:paraId="6D8B25FE"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Key Findings: The working prototype confirmed that a simple embedded-sensor stack can provide live dashboards and threshold alarms, but the study was limited to a single prototype without multi-site scalability testing or predictive analytics.</w:t>
      </w:r>
    </w:p>
    <w:p w14:paraId="0E3D800E"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 xml:space="preserve">Relevance to the Proposed System: Reinforces that a multi-parameter sensor stack (temperature, humidity, quantity, location) is achievable with low-cost hardware; the proposed system should </w:t>
      </w:r>
      <w:r w:rsidRPr="00684401">
        <w:rPr>
          <w:rFonts w:ascii="Times New Roman" w:eastAsia="Calibri" w:hAnsi="Times New Roman" w:cs="Times New Roman"/>
          <w:color w:val="000000" w:themeColor="text1"/>
        </w:rPr>
        <w:lastRenderedPageBreak/>
        <w:t>build on this stack but add multi-facility scalability and AI-based forecasting that this study did not attempt.</w:t>
      </w:r>
    </w:p>
    <w:p w14:paraId="68665972" w14:textId="77777777" w:rsidR="00684401" w:rsidRPr="00684401" w:rsidRDefault="00684401" w:rsidP="00684401">
      <w:pPr>
        <w:spacing w:before="200" w:after="60"/>
        <w:rPr>
          <w:rFonts w:ascii="Times New Roman" w:hAnsi="Times New Roman" w:cs="Times New Roman"/>
          <w:color w:val="000000" w:themeColor="text1"/>
        </w:rPr>
      </w:pPr>
      <w:r w:rsidRPr="00684401">
        <w:rPr>
          <w:rFonts w:ascii="Times New Roman" w:eastAsia="Calibri" w:hAnsi="Times New Roman" w:cs="Times New Roman"/>
          <w:b/>
          <w:bCs/>
          <w:color w:val="000000" w:themeColor="text1"/>
        </w:rPr>
        <w:t>2.3 IoT-Enabled Real-Time Vaccine Storage Monitoring and Alert System</w:t>
      </w:r>
    </w:p>
    <w:p w14:paraId="39826BBE" w14:textId="77777777" w:rsidR="00684401" w:rsidRPr="00684401" w:rsidRDefault="00684401" w:rsidP="00684401">
      <w:pPr>
        <w:spacing w:after="100"/>
        <w:rPr>
          <w:rFonts w:ascii="Times New Roman" w:hAnsi="Times New Roman" w:cs="Times New Roman"/>
          <w:color w:val="000000" w:themeColor="text1"/>
        </w:rPr>
      </w:pPr>
      <w:r w:rsidRPr="00684401">
        <w:rPr>
          <w:rFonts w:ascii="Times New Roman" w:eastAsia="Calibri" w:hAnsi="Times New Roman" w:cs="Times New Roman"/>
          <w:i/>
          <w:iCs/>
          <w:color w:val="000000" w:themeColor="text1"/>
        </w:rPr>
        <w:t>IEEE Conference Publication, 2024</w:t>
      </w:r>
    </w:p>
    <w:p w14:paraId="5B6C1F21"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Objective: To maintain vaccine storage temperature strictly within +2°C to +8°C and alert healthcare staff automatically when deviations occur.</w:t>
      </w:r>
    </w:p>
    <w:p w14:paraId="5DF31D49"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Methodology &amp; Technology: An STM32 Blue Pill microcontroller drives a thermoelectric cooling module and temperature sensors; an ESP8266 Wi-Fi module streams data to a cloud dashboard with mobile alerting.</w:t>
      </w:r>
    </w:p>
    <w:p w14:paraId="52B773BA"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Key Findings: The system improved responsiveness over paper-based logging and reduced human error, but it monitors only temperature and offers no diagnostics on refrigerator health or power-supply status.</w:t>
      </w:r>
    </w:p>
    <w:p w14:paraId="62DF8A39"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Relevance to the Proposed System: Validates the mobile-alerting requirement in the problem statement, but its single-parameter focus highlights the need for the proposed system to also track power supply status and refrigerator health, not temperature alone.</w:t>
      </w:r>
    </w:p>
    <w:p w14:paraId="34C69CE0" w14:textId="77777777" w:rsidR="00684401" w:rsidRPr="00684401" w:rsidRDefault="00684401" w:rsidP="00684401">
      <w:pPr>
        <w:spacing w:before="200" w:after="60"/>
        <w:rPr>
          <w:rFonts w:ascii="Times New Roman" w:hAnsi="Times New Roman" w:cs="Times New Roman"/>
          <w:color w:val="000000" w:themeColor="text1"/>
        </w:rPr>
      </w:pPr>
      <w:r w:rsidRPr="00684401">
        <w:rPr>
          <w:rFonts w:ascii="Times New Roman" w:eastAsia="Calibri" w:hAnsi="Times New Roman" w:cs="Times New Roman"/>
          <w:b/>
          <w:bCs/>
          <w:color w:val="000000" w:themeColor="text1"/>
        </w:rPr>
        <w:t>2.4 IoT-Enabled Framework for a Sustainable Vaccine Cold Chain Management System</w:t>
      </w:r>
    </w:p>
    <w:p w14:paraId="427D13FE" w14:textId="77777777" w:rsidR="00684401" w:rsidRPr="00684401" w:rsidRDefault="00684401" w:rsidP="00684401">
      <w:pPr>
        <w:spacing w:after="100"/>
        <w:rPr>
          <w:rFonts w:ascii="Times New Roman" w:hAnsi="Times New Roman" w:cs="Times New Roman"/>
          <w:color w:val="000000" w:themeColor="text1"/>
        </w:rPr>
      </w:pPr>
      <w:r w:rsidRPr="00684401">
        <w:rPr>
          <w:rFonts w:ascii="Times New Roman" w:eastAsia="Calibri" w:hAnsi="Times New Roman" w:cs="Times New Roman"/>
          <w:i/>
          <w:iCs/>
          <w:color w:val="000000" w:themeColor="text1"/>
        </w:rPr>
        <w:t>Jiang, S., Jia, S., &amp; Guo, H., Heliyon, 2024</w:t>
      </w:r>
    </w:p>
    <w:p w14:paraId="5374D036"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Objective: To build trust and transparency in province-wide vaccine surveillance data by authenticating IoT devices and standardising the monitoring infrastructure.</w:t>
      </w:r>
    </w:p>
    <w:p w14:paraId="436498C2"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Methodology &amp; Technology: A device-authentication and data-access framework layered over an IoT hardware/software platform, evaluated through a real deployment covering a Chinese province.</w:t>
      </w:r>
    </w:p>
    <w:p w14:paraId="05452EF6"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Key Findings: The framework reduced reliance on manual monitoring and improved the trustworthiness of stored surveillance data, but it emphasises authentication and governance rather than predictive detection of equipment failure.</w:t>
      </w:r>
    </w:p>
    <w:p w14:paraId="4A2736BC"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Relevance to the Proposed System: Demonstrates that province-scale, multi-facility deployment of a vaccine cold-chain IoT platform is achievable, directly supporting the scalable-deployment requirement of the problem statement, though it needs to be paired with predictive analytics and compliance reporting.</w:t>
      </w:r>
    </w:p>
    <w:p w14:paraId="5D6B99F2" w14:textId="77777777" w:rsidR="00684401" w:rsidRPr="00684401" w:rsidRDefault="00684401" w:rsidP="00684401">
      <w:pPr>
        <w:spacing w:before="200" w:after="60"/>
        <w:rPr>
          <w:rFonts w:ascii="Times New Roman" w:hAnsi="Times New Roman" w:cs="Times New Roman"/>
          <w:color w:val="000000" w:themeColor="text1"/>
        </w:rPr>
      </w:pPr>
      <w:r w:rsidRPr="00684401">
        <w:rPr>
          <w:rFonts w:ascii="Times New Roman" w:eastAsia="Calibri" w:hAnsi="Times New Roman" w:cs="Times New Roman"/>
          <w:b/>
          <w:bCs/>
          <w:color w:val="000000" w:themeColor="text1"/>
        </w:rPr>
        <w:t>2.5 A Reliable Vaccine Tracking and Monitoring System for Health Clinics Using Blockchain</w:t>
      </w:r>
    </w:p>
    <w:p w14:paraId="03FDB5FB" w14:textId="77777777" w:rsidR="00684401" w:rsidRPr="00684401" w:rsidRDefault="00684401" w:rsidP="00684401">
      <w:pPr>
        <w:spacing w:after="100"/>
        <w:rPr>
          <w:rFonts w:ascii="Times New Roman" w:hAnsi="Times New Roman" w:cs="Times New Roman"/>
          <w:color w:val="000000" w:themeColor="text1"/>
        </w:rPr>
      </w:pPr>
      <w:r w:rsidRPr="00684401">
        <w:rPr>
          <w:rFonts w:ascii="Times New Roman" w:eastAsia="Calibri" w:hAnsi="Times New Roman" w:cs="Times New Roman"/>
          <w:i/>
          <w:iCs/>
          <w:color w:val="000000" w:themeColor="text1"/>
        </w:rPr>
        <w:t>PMC (PubMed Central) journal article</w:t>
      </w:r>
    </w:p>
    <w:p w14:paraId="373B023A"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Objective: To ensure integrity, transparency, and non-repudiation of vaccine storage and handling records at health clinics, addressing gaps left by prior IoT-only solutions.</w:t>
      </w:r>
    </w:p>
    <w:p w14:paraId="6DD12CB4"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lastRenderedPageBreak/>
        <w:t>Methodology &amp; Technology: A smart-contract-enabled blockchain ledger records every deviation from required storage standards reported by connected IoT sensors, creating an immutable, decentralised audit trail.</w:t>
      </w:r>
    </w:p>
    <w:p w14:paraId="0CACFA18"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Key Findings: The blockchain layer provided strong data provenance and tamper-evidence for audit purposes, but the study notes that computational and storage overhead is high and that the system does not forecast failures before they occur.</w:t>
      </w:r>
    </w:p>
    <w:p w14:paraId="63031234"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Relevance to the Proposed System: Offers a model for the tamper-evident historical audit logs and audit trails the problem statement requires, but its overhead means the proposed system should adopt lighter-weight integrity mechanisms suited to routine, high-frequency sensor data.</w:t>
      </w:r>
    </w:p>
    <w:p w14:paraId="07DE4A88" w14:textId="77777777" w:rsidR="00684401" w:rsidRPr="00684401" w:rsidRDefault="00684401" w:rsidP="00684401">
      <w:pPr>
        <w:spacing w:before="200" w:after="60"/>
        <w:rPr>
          <w:rFonts w:ascii="Times New Roman" w:hAnsi="Times New Roman" w:cs="Times New Roman"/>
          <w:color w:val="000000" w:themeColor="text1"/>
        </w:rPr>
      </w:pPr>
      <w:r w:rsidRPr="00684401">
        <w:rPr>
          <w:rFonts w:ascii="Times New Roman" w:eastAsia="Calibri" w:hAnsi="Times New Roman" w:cs="Times New Roman"/>
          <w:b/>
          <w:bCs/>
          <w:color w:val="000000" w:themeColor="text1"/>
        </w:rPr>
        <w:t>2.6 IoT-Based Smart Cold Chain Temperature Monitoring with Alert System for Vaccination Containers</w:t>
      </w:r>
    </w:p>
    <w:p w14:paraId="75DDFD9F" w14:textId="77777777" w:rsidR="00684401" w:rsidRPr="00684401" w:rsidRDefault="00684401" w:rsidP="00684401">
      <w:pPr>
        <w:spacing w:after="100"/>
        <w:rPr>
          <w:rFonts w:ascii="Times New Roman" w:hAnsi="Times New Roman" w:cs="Times New Roman"/>
          <w:color w:val="000000" w:themeColor="text1"/>
        </w:rPr>
      </w:pPr>
      <w:r w:rsidRPr="00684401">
        <w:rPr>
          <w:rFonts w:ascii="Times New Roman" w:eastAsia="Calibri" w:hAnsi="Times New Roman" w:cs="Times New Roman"/>
          <w:i/>
          <w:iCs/>
          <w:color w:val="000000" w:themeColor="text1"/>
        </w:rPr>
        <w:t>Elngar, A. A. et al., AIP Conference Proceedings, 2023</w:t>
      </w:r>
    </w:p>
    <w:p w14:paraId="6057C222"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Objective: To maintain vaccine containers within the required 2°C-8°C range for university and school vaccination drives and to alert staff during excursions.</w:t>
      </w:r>
    </w:p>
    <w:p w14:paraId="21BF787B"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Methodology &amp; Technology: A thermocouple sensor feeds a Wi-Fi-enabled smart controller, which pushes readings to a cloud server and mobile dashboard with emergency indication.</w:t>
      </w:r>
    </w:p>
    <w:p w14:paraId="497DD043"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Key Findings: The system achieved 99.5% temperature-monitoring accuracy in testing, demonstrating that low-cost hardware can be highly reliable, though it was validated only on a single small-scale container and lacks predictive or compliance-reporting features.</w:t>
      </w:r>
    </w:p>
    <w:p w14:paraId="7AAB8269"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Relevance to the Proposed System: The high measured accuracy shows that basic sensing reliability is largely a solved problem; the proposed system's differentiation must therefore come from the predictive, alerting, and compliance layers this study does not attempt.</w:t>
      </w:r>
    </w:p>
    <w:p w14:paraId="20B701D0" w14:textId="77777777" w:rsidR="00684401" w:rsidRPr="00684401" w:rsidRDefault="00684401" w:rsidP="00684401">
      <w:pPr>
        <w:spacing w:before="200" w:after="60"/>
        <w:rPr>
          <w:rFonts w:ascii="Times New Roman" w:hAnsi="Times New Roman" w:cs="Times New Roman"/>
          <w:color w:val="000000" w:themeColor="text1"/>
        </w:rPr>
      </w:pPr>
      <w:r w:rsidRPr="00684401">
        <w:rPr>
          <w:rFonts w:ascii="Times New Roman" w:eastAsia="Calibri" w:hAnsi="Times New Roman" w:cs="Times New Roman"/>
          <w:b/>
          <w:bCs/>
          <w:color w:val="000000" w:themeColor="text1"/>
        </w:rPr>
        <w:t>2.7 Anomaly Detection on an IoT-Based Vaccine Storage Refrigerator Temperature Monitoring System</w:t>
      </w:r>
    </w:p>
    <w:p w14:paraId="27CD5238" w14:textId="77777777" w:rsidR="00684401" w:rsidRPr="00684401" w:rsidRDefault="00684401" w:rsidP="00684401">
      <w:pPr>
        <w:spacing w:after="100"/>
        <w:rPr>
          <w:rFonts w:ascii="Times New Roman" w:hAnsi="Times New Roman" w:cs="Times New Roman"/>
          <w:color w:val="000000" w:themeColor="text1"/>
        </w:rPr>
      </w:pPr>
      <w:r w:rsidRPr="00684401">
        <w:rPr>
          <w:rFonts w:ascii="Times New Roman" w:eastAsia="Calibri" w:hAnsi="Times New Roman" w:cs="Times New Roman"/>
          <w:i/>
          <w:iCs/>
          <w:color w:val="000000" w:themeColor="text1"/>
        </w:rPr>
        <w:t>Putrada, A. G., &amp; Abdurohman, M., International Conference on Intelligent Cybernetics Technology &amp; Applications (ICICyTA), 2021</w:t>
      </w:r>
    </w:p>
    <w:p w14:paraId="0AD7F707"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Objective: To move beyond fixed-threshold alerts by applying machine learning to detect abnormal temperature behaviour in vaccine-storage refrigerators.</w:t>
      </w:r>
    </w:p>
    <w:p w14:paraId="1A2C825D"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Methodology &amp; Technology: Machine-learning anomaly-detection models are trained on time-series temperature data collected from an IoT-connected vaccine refrigerator.</w:t>
      </w:r>
    </w:p>
    <w:p w14:paraId="3891F3D1"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Key Findings: The ML-based approach detected subtler deviations than simple threshold rules, showing the value of intelligent analytics, but the work addresses detection only and does not integrate alerting, audit logging, or compliance reporting into a complete platform.</w:t>
      </w:r>
    </w:p>
    <w:p w14:paraId="52435E15"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Relevance to the Proposed System: Directly supports the problem statement's requirement to move beyond threshold alerts, providing evidence that ML-based anomaly detection on refrigerator temperature streams is both feasible and more sensitive than rule-based logic.</w:t>
      </w:r>
    </w:p>
    <w:p w14:paraId="7D7D3E91" w14:textId="77777777" w:rsidR="00684401" w:rsidRPr="00684401" w:rsidRDefault="00684401" w:rsidP="00684401">
      <w:pPr>
        <w:spacing w:before="200" w:after="60"/>
        <w:rPr>
          <w:rFonts w:ascii="Times New Roman" w:hAnsi="Times New Roman" w:cs="Times New Roman"/>
          <w:color w:val="000000" w:themeColor="text1"/>
        </w:rPr>
      </w:pPr>
      <w:r w:rsidRPr="00684401">
        <w:rPr>
          <w:rFonts w:ascii="Times New Roman" w:eastAsia="Calibri" w:hAnsi="Times New Roman" w:cs="Times New Roman"/>
          <w:b/>
          <w:bCs/>
          <w:color w:val="000000" w:themeColor="text1"/>
        </w:rPr>
        <w:lastRenderedPageBreak/>
        <w:t>2.8 Advanced IoT-AI Integration for Predictive Management of Positive-Temperature Cold Storage Systems</w:t>
      </w:r>
    </w:p>
    <w:p w14:paraId="48D632F1" w14:textId="77777777" w:rsidR="00684401" w:rsidRPr="00684401" w:rsidRDefault="00684401" w:rsidP="00684401">
      <w:pPr>
        <w:spacing w:after="100"/>
        <w:rPr>
          <w:rFonts w:ascii="Times New Roman" w:hAnsi="Times New Roman" w:cs="Times New Roman"/>
          <w:color w:val="000000" w:themeColor="text1"/>
        </w:rPr>
      </w:pPr>
      <w:r w:rsidRPr="00684401">
        <w:rPr>
          <w:rFonts w:ascii="Times New Roman" w:eastAsia="Calibri" w:hAnsi="Times New Roman" w:cs="Times New Roman"/>
          <w:i/>
          <w:iCs/>
          <w:color w:val="000000" w:themeColor="text1"/>
        </w:rPr>
        <w:t>Springer Nature (Book Chapter / Conference Paper), 2025</w:t>
      </w:r>
    </w:p>
    <w:p w14:paraId="5C6D218A"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Objective: To optimise refrigeration-facility management by proactively identifying impending failures rather than reacting after a breakdown.</w:t>
      </w:r>
    </w:p>
    <w:p w14:paraId="61AC8ABD"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Methodology &amp; Technology: IoT sensors capture temperature, humidity, and electrical parameters; XGBoost classifies anomalies and impending failures while an LSTM model forecasts future temperature and humidity trends; XGBoost and Random Forest are compared for accuracy.</w:t>
      </w:r>
    </w:p>
    <w:p w14:paraId="33536C2C"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Key Findings: The combined XGBoost/LSTM pipeline enabled genuinely proactive refrigeration management, but the study targets general commercial cold storage rather than vaccines, and it does not include regulatory audit trails or healthcare-specific compliance reporting.</w:t>
      </w:r>
    </w:p>
    <w:p w14:paraId="2269A2F6"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Relevance to the Proposed System: Provides the closest available blueprint for the AI-based failure-prediction requirement in the problem statement; the proposed system should adapt this XGBoost/LSTM pattern to vaccine-specific storage conditions and couple it with compliance and audit features.</w:t>
      </w:r>
    </w:p>
    <w:p w14:paraId="499D7C14" w14:textId="77777777" w:rsidR="00684401" w:rsidRPr="00684401" w:rsidRDefault="00684401" w:rsidP="00684401">
      <w:pPr>
        <w:rPr>
          <w:rFonts w:ascii="Times New Roman" w:hAnsi="Times New Roman" w:cs="Times New Roman"/>
          <w:color w:val="000000" w:themeColor="text1"/>
        </w:rPr>
      </w:pPr>
      <w:r w:rsidRPr="00684401">
        <w:rPr>
          <w:rFonts w:ascii="Times New Roman" w:hAnsi="Times New Roman" w:cs="Times New Roman"/>
          <w:color w:val="000000" w:themeColor="text1"/>
        </w:rPr>
        <w:br w:type="page"/>
      </w:r>
    </w:p>
    <w:p w14:paraId="39ADD465" w14:textId="77777777" w:rsidR="00684401" w:rsidRPr="00684401" w:rsidRDefault="00684401" w:rsidP="00684401">
      <w:pPr>
        <w:pStyle w:val="Heading1"/>
        <w:spacing w:before="260" w:after="130"/>
        <w:rPr>
          <w:rFonts w:ascii="Times New Roman" w:hAnsi="Times New Roman" w:cs="Times New Roman"/>
          <w:color w:val="000000" w:themeColor="text1"/>
          <w:sz w:val="24"/>
          <w:szCs w:val="24"/>
        </w:rPr>
      </w:pPr>
      <w:r w:rsidRPr="00684401">
        <w:rPr>
          <w:rFonts w:ascii="Times New Roman" w:eastAsia="Calibri" w:hAnsi="Times New Roman" w:cs="Times New Roman"/>
          <w:b/>
          <w:bCs/>
          <w:color w:val="000000" w:themeColor="text1"/>
          <w:sz w:val="24"/>
          <w:szCs w:val="24"/>
        </w:rPr>
        <w:lastRenderedPageBreak/>
        <w:t>3. Comparative Literature Survey Table</w:t>
      </w:r>
    </w:p>
    <w:tbl>
      <w:tblPr>
        <w:tblW w:w="10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1303"/>
        <w:gridCol w:w="1738"/>
        <w:gridCol w:w="1283"/>
        <w:gridCol w:w="1644"/>
        <w:gridCol w:w="1542"/>
        <w:gridCol w:w="1412"/>
      </w:tblGrid>
      <w:tr w:rsidR="00684401" w:rsidRPr="00684401" w14:paraId="2033354F" w14:textId="77777777" w:rsidTr="00684401">
        <w:trPr>
          <w:trHeight w:val="184"/>
          <w:tblHeader/>
        </w:trPr>
        <w:tc>
          <w:tcPr>
            <w:tcW w:w="1183" w:type="dxa"/>
            <w:shd w:val="clear" w:color="auto" w:fill="1F4E5F"/>
            <w:tcMar>
              <w:top w:w="50" w:type="dxa"/>
              <w:left w:w="60" w:type="dxa"/>
              <w:bottom w:w="50" w:type="dxa"/>
              <w:right w:w="60" w:type="dxa"/>
            </w:tcMar>
            <w:vAlign w:val="center"/>
          </w:tcPr>
          <w:p w14:paraId="5CBA0B52"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b/>
                <w:bCs/>
                <w:color w:val="000000" w:themeColor="text1"/>
                <w:sz w:val="16"/>
                <w:szCs w:val="16"/>
              </w:rPr>
              <w:t>Author / Year</w:t>
            </w:r>
          </w:p>
        </w:tc>
        <w:tc>
          <w:tcPr>
            <w:tcW w:w="1365" w:type="dxa"/>
            <w:shd w:val="clear" w:color="auto" w:fill="1F4E5F"/>
            <w:tcMar>
              <w:top w:w="50" w:type="dxa"/>
              <w:left w:w="60" w:type="dxa"/>
              <w:bottom w:w="50" w:type="dxa"/>
              <w:right w:w="60" w:type="dxa"/>
            </w:tcMar>
            <w:vAlign w:val="center"/>
          </w:tcPr>
          <w:p w14:paraId="68512074"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b/>
                <w:bCs/>
                <w:color w:val="000000" w:themeColor="text1"/>
                <w:sz w:val="16"/>
                <w:szCs w:val="16"/>
              </w:rPr>
              <w:t>Research Problem</w:t>
            </w:r>
          </w:p>
        </w:tc>
        <w:tc>
          <w:tcPr>
            <w:tcW w:w="1456" w:type="dxa"/>
            <w:shd w:val="clear" w:color="auto" w:fill="1F4E5F"/>
            <w:tcMar>
              <w:top w:w="50" w:type="dxa"/>
              <w:left w:w="60" w:type="dxa"/>
              <w:bottom w:w="50" w:type="dxa"/>
              <w:right w:w="60" w:type="dxa"/>
            </w:tcMar>
            <w:vAlign w:val="center"/>
          </w:tcPr>
          <w:p w14:paraId="0B56EFEA"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b/>
                <w:bCs/>
                <w:color w:val="000000" w:themeColor="text1"/>
                <w:sz w:val="16"/>
                <w:szCs w:val="16"/>
              </w:rPr>
              <w:t>Methodology / Technology</w:t>
            </w:r>
          </w:p>
        </w:tc>
        <w:tc>
          <w:tcPr>
            <w:tcW w:w="1365" w:type="dxa"/>
            <w:shd w:val="clear" w:color="auto" w:fill="1F4E5F"/>
            <w:tcMar>
              <w:top w:w="50" w:type="dxa"/>
              <w:left w:w="60" w:type="dxa"/>
              <w:bottom w:w="50" w:type="dxa"/>
              <w:right w:w="60" w:type="dxa"/>
            </w:tcMar>
            <w:vAlign w:val="center"/>
          </w:tcPr>
          <w:p w14:paraId="213E9B75"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b/>
                <w:bCs/>
                <w:color w:val="000000" w:themeColor="text1"/>
                <w:sz w:val="16"/>
                <w:szCs w:val="16"/>
              </w:rPr>
              <w:t>Dataset / Tools</w:t>
            </w:r>
          </w:p>
        </w:tc>
        <w:tc>
          <w:tcPr>
            <w:tcW w:w="1729" w:type="dxa"/>
            <w:shd w:val="clear" w:color="auto" w:fill="1F4E5F"/>
            <w:tcMar>
              <w:top w:w="50" w:type="dxa"/>
              <w:left w:w="60" w:type="dxa"/>
              <w:bottom w:w="50" w:type="dxa"/>
              <w:right w:w="60" w:type="dxa"/>
            </w:tcMar>
            <w:vAlign w:val="center"/>
          </w:tcPr>
          <w:p w14:paraId="79DE9ADC"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b/>
                <w:bCs/>
                <w:color w:val="000000" w:themeColor="text1"/>
                <w:sz w:val="16"/>
                <w:szCs w:val="16"/>
              </w:rPr>
              <w:t>Key Findings</w:t>
            </w:r>
          </w:p>
        </w:tc>
        <w:tc>
          <w:tcPr>
            <w:tcW w:w="1456" w:type="dxa"/>
            <w:shd w:val="clear" w:color="auto" w:fill="1F4E5F"/>
            <w:tcMar>
              <w:top w:w="50" w:type="dxa"/>
              <w:left w:w="60" w:type="dxa"/>
              <w:bottom w:w="50" w:type="dxa"/>
              <w:right w:w="60" w:type="dxa"/>
            </w:tcMar>
            <w:vAlign w:val="center"/>
          </w:tcPr>
          <w:p w14:paraId="6BE7F570"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b/>
                <w:bCs/>
                <w:color w:val="000000" w:themeColor="text1"/>
                <w:sz w:val="16"/>
                <w:szCs w:val="16"/>
              </w:rPr>
              <w:t>Limitations</w:t>
            </w:r>
          </w:p>
        </w:tc>
        <w:tc>
          <w:tcPr>
            <w:tcW w:w="1456" w:type="dxa"/>
            <w:shd w:val="clear" w:color="auto" w:fill="1F4E5F"/>
            <w:tcMar>
              <w:top w:w="50" w:type="dxa"/>
              <w:left w:w="60" w:type="dxa"/>
              <w:bottom w:w="50" w:type="dxa"/>
              <w:right w:w="60" w:type="dxa"/>
            </w:tcMar>
            <w:vAlign w:val="center"/>
          </w:tcPr>
          <w:p w14:paraId="3CBFABEB"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b/>
                <w:bCs/>
                <w:color w:val="000000" w:themeColor="text1"/>
                <w:sz w:val="16"/>
                <w:szCs w:val="16"/>
              </w:rPr>
              <w:t>Research Gap</w:t>
            </w:r>
          </w:p>
        </w:tc>
      </w:tr>
      <w:tr w:rsidR="00684401" w:rsidRPr="00684401" w14:paraId="00EC644B" w14:textId="77777777" w:rsidTr="00684401">
        <w:trPr>
          <w:cantSplit/>
          <w:trHeight w:val="199"/>
        </w:trPr>
        <w:tc>
          <w:tcPr>
            <w:tcW w:w="1183" w:type="dxa"/>
            <w:tcMar>
              <w:top w:w="50" w:type="dxa"/>
              <w:left w:w="60" w:type="dxa"/>
              <w:bottom w:w="50" w:type="dxa"/>
              <w:right w:w="60" w:type="dxa"/>
            </w:tcMar>
          </w:tcPr>
          <w:p w14:paraId="6790D07E"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Hasanat et al. (2020)</w:t>
            </w:r>
          </w:p>
        </w:tc>
        <w:tc>
          <w:tcPr>
            <w:tcW w:w="1365" w:type="dxa"/>
            <w:tcMar>
              <w:top w:w="50" w:type="dxa"/>
              <w:left w:w="60" w:type="dxa"/>
              <w:bottom w:w="50" w:type="dxa"/>
              <w:right w:w="60" w:type="dxa"/>
            </w:tcMar>
          </w:tcPr>
          <w:p w14:paraId="399B65D7"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Real-time monitoring of vaccine cold chain during transport</w:t>
            </w:r>
          </w:p>
        </w:tc>
        <w:tc>
          <w:tcPr>
            <w:tcW w:w="1456" w:type="dxa"/>
            <w:tcMar>
              <w:top w:w="50" w:type="dxa"/>
              <w:left w:w="60" w:type="dxa"/>
              <w:bottom w:w="50" w:type="dxa"/>
              <w:right w:w="60" w:type="dxa"/>
            </w:tcMar>
          </w:tcPr>
          <w:p w14:paraId="199EAA72"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Arduino-based WSN + Xively cloud; GPS location tracking</w:t>
            </w:r>
          </w:p>
        </w:tc>
        <w:tc>
          <w:tcPr>
            <w:tcW w:w="1365" w:type="dxa"/>
            <w:tcMar>
              <w:top w:w="50" w:type="dxa"/>
              <w:left w:w="60" w:type="dxa"/>
              <w:bottom w:w="50" w:type="dxa"/>
              <w:right w:w="60" w:type="dxa"/>
            </w:tcMar>
          </w:tcPr>
          <w:p w14:paraId="76FD99DF"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Prototype carrier box; Arduino, DHT sensors, Xively</w:t>
            </w:r>
          </w:p>
        </w:tc>
        <w:tc>
          <w:tcPr>
            <w:tcW w:w="1729" w:type="dxa"/>
            <w:tcMar>
              <w:top w:w="50" w:type="dxa"/>
              <w:left w:w="60" w:type="dxa"/>
              <w:bottom w:w="50" w:type="dxa"/>
              <w:right w:w="60" w:type="dxa"/>
            </w:tcMar>
          </w:tcPr>
          <w:p w14:paraId="7A0504A2"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Enabled trip-wise remote monitoring of temperature/humidity, improving transparency in distribution</w:t>
            </w:r>
          </w:p>
        </w:tc>
        <w:tc>
          <w:tcPr>
            <w:tcW w:w="1456" w:type="dxa"/>
            <w:tcMar>
              <w:top w:w="50" w:type="dxa"/>
              <w:left w:w="60" w:type="dxa"/>
              <w:bottom w:w="50" w:type="dxa"/>
              <w:right w:w="60" w:type="dxa"/>
            </w:tcMar>
          </w:tcPr>
          <w:p w14:paraId="2D8FA82C"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No predictive capability; alerts only after excursion; no ML-based analysis</w:t>
            </w:r>
          </w:p>
        </w:tc>
        <w:tc>
          <w:tcPr>
            <w:tcW w:w="1456" w:type="dxa"/>
            <w:tcMar>
              <w:top w:w="50" w:type="dxa"/>
              <w:left w:w="60" w:type="dxa"/>
              <w:bottom w:w="50" w:type="dxa"/>
              <w:right w:w="60" w:type="dxa"/>
            </w:tcMar>
          </w:tcPr>
          <w:p w14:paraId="7B337A6B"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Lacks predictive failure detection and automated compliance reporting</w:t>
            </w:r>
          </w:p>
        </w:tc>
      </w:tr>
      <w:tr w:rsidR="00684401" w:rsidRPr="00684401" w14:paraId="1D8C1FEB" w14:textId="77777777" w:rsidTr="00684401">
        <w:trPr>
          <w:cantSplit/>
          <w:trHeight w:val="184"/>
        </w:trPr>
        <w:tc>
          <w:tcPr>
            <w:tcW w:w="1183" w:type="dxa"/>
            <w:shd w:val="clear" w:color="auto" w:fill="F2F6F7"/>
            <w:tcMar>
              <w:top w:w="50" w:type="dxa"/>
              <w:left w:w="60" w:type="dxa"/>
              <w:bottom w:w="50" w:type="dxa"/>
              <w:right w:w="60" w:type="dxa"/>
            </w:tcMar>
          </w:tcPr>
          <w:p w14:paraId="07D049D2"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Elsayed et al. (2025)</w:t>
            </w:r>
          </w:p>
        </w:tc>
        <w:tc>
          <w:tcPr>
            <w:tcW w:w="1365" w:type="dxa"/>
            <w:shd w:val="clear" w:color="auto" w:fill="F2F6F7"/>
            <w:tcMar>
              <w:top w:w="50" w:type="dxa"/>
              <w:left w:w="60" w:type="dxa"/>
              <w:bottom w:w="50" w:type="dxa"/>
              <w:right w:w="60" w:type="dxa"/>
            </w:tcMar>
          </w:tcPr>
          <w:p w14:paraId="5CACB616"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Monitoring COVID-19 vaccine storage sites (temp., humidity, quantity, location)</w:t>
            </w:r>
          </w:p>
        </w:tc>
        <w:tc>
          <w:tcPr>
            <w:tcW w:w="1456" w:type="dxa"/>
            <w:shd w:val="clear" w:color="auto" w:fill="F2F6F7"/>
            <w:tcMar>
              <w:top w:w="50" w:type="dxa"/>
              <w:left w:w="60" w:type="dxa"/>
              <w:bottom w:w="50" w:type="dxa"/>
              <w:right w:w="60" w:type="dxa"/>
            </w:tcMar>
          </w:tcPr>
          <w:p w14:paraId="68D24331"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Arduino Uno + temp/humidity/ultrasonic sensors, GPS, Wi-Fi, ThingSpeak cloud</w:t>
            </w:r>
          </w:p>
        </w:tc>
        <w:tc>
          <w:tcPr>
            <w:tcW w:w="1365" w:type="dxa"/>
            <w:shd w:val="clear" w:color="auto" w:fill="F2F6F7"/>
            <w:tcMar>
              <w:top w:w="50" w:type="dxa"/>
              <w:left w:w="60" w:type="dxa"/>
              <w:bottom w:w="50" w:type="dxa"/>
              <w:right w:w="60" w:type="dxa"/>
            </w:tcMar>
          </w:tcPr>
          <w:p w14:paraId="6568A52F"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Prototype system built in Proteus/Arduino IDE</w:t>
            </w:r>
          </w:p>
        </w:tc>
        <w:tc>
          <w:tcPr>
            <w:tcW w:w="1729" w:type="dxa"/>
            <w:shd w:val="clear" w:color="auto" w:fill="F2F6F7"/>
            <w:tcMar>
              <w:top w:w="50" w:type="dxa"/>
              <w:left w:w="60" w:type="dxa"/>
              <w:bottom w:w="50" w:type="dxa"/>
              <w:right w:w="60" w:type="dxa"/>
            </w:tcMar>
          </w:tcPr>
          <w:p w14:paraId="7A95FBF9"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Working prototype gave real-time dashboard access via mobile/web with threshold alarms</w:t>
            </w:r>
          </w:p>
        </w:tc>
        <w:tc>
          <w:tcPr>
            <w:tcW w:w="1456" w:type="dxa"/>
            <w:shd w:val="clear" w:color="auto" w:fill="F2F6F7"/>
            <w:tcMar>
              <w:top w:w="50" w:type="dxa"/>
              <w:left w:w="60" w:type="dxa"/>
              <w:bottom w:w="50" w:type="dxa"/>
              <w:right w:w="60" w:type="dxa"/>
            </w:tcMar>
          </w:tcPr>
          <w:p w14:paraId="66F081FB"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Threshold-based alerts only; single-node prototype; not validated at multi-facility scale</w:t>
            </w:r>
          </w:p>
        </w:tc>
        <w:tc>
          <w:tcPr>
            <w:tcW w:w="1456" w:type="dxa"/>
            <w:shd w:val="clear" w:color="auto" w:fill="F2F6F7"/>
            <w:tcMar>
              <w:top w:w="50" w:type="dxa"/>
              <w:left w:w="60" w:type="dxa"/>
              <w:bottom w:w="50" w:type="dxa"/>
              <w:right w:w="60" w:type="dxa"/>
            </w:tcMar>
          </w:tcPr>
          <w:p w14:paraId="33B76435"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No scalability testing across multiple healthcare facilities; no AI-based forecasting</w:t>
            </w:r>
          </w:p>
        </w:tc>
      </w:tr>
      <w:tr w:rsidR="00684401" w:rsidRPr="00684401" w14:paraId="00BC7260" w14:textId="77777777" w:rsidTr="00684401">
        <w:trPr>
          <w:cantSplit/>
          <w:trHeight w:val="199"/>
        </w:trPr>
        <w:tc>
          <w:tcPr>
            <w:tcW w:w="1183" w:type="dxa"/>
            <w:tcMar>
              <w:top w:w="50" w:type="dxa"/>
              <w:left w:w="60" w:type="dxa"/>
              <w:bottom w:w="50" w:type="dxa"/>
              <w:right w:w="60" w:type="dxa"/>
            </w:tcMar>
          </w:tcPr>
          <w:p w14:paraId="23B14BF8"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IEEE Xplore Study (2024)</w:t>
            </w:r>
          </w:p>
        </w:tc>
        <w:tc>
          <w:tcPr>
            <w:tcW w:w="1365" w:type="dxa"/>
            <w:tcMar>
              <w:top w:w="50" w:type="dxa"/>
              <w:left w:w="60" w:type="dxa"/>
              <w:bottom w:w="50" w:type="dxa"/>
              <w:right w:w="60" w:type="dxa"/>
            </w:tcMar>
          </w:tcPr>
          <w:p w14:paraId="63BC3B83"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Maintaining 2-8°C during vaccine storage and transport</w:t>
            </w:r>
          </w:p>
        </w:tc>
        <w:tc>
          <w:tcPr>
            <w:tcW w:w="1456" w:type="dxa"/>
            <w:tcMar>
              <w:top w:w="50" w:type="dxa"/>
              <w:left w:w="60" w:type="dxa"/>
              <w:bottom w:w="50" w:type="dxa"/>
              <w:right w:w="60" w:type="dxa"/>
            </w:tcMar>
          </w:tcPr>
          <w:p w14:paraId="4744094D"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STM32 microcontroller + thermoelectric cooling + ESP8266 Wi-Fi</w:t>
            </w:r>
          </w:p>
        </w:tc>
        <w:tc>
          <w:tcPr>
            <w:tcW w:w="1365" w:type="dxa"/>
            <w:tcMar>
              <w:top w:w="50" w:type="dxa"/>
              <w:left w:w="60" w:type="dxa"/>
              <w:bottom w:w="50" w:type="dxa"/>
              <w:right w:w="60" w:type="dxa"/>
            </w:tcMar>
          </w:tcPr>
          <w:p w14:paraId="18259A5A"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Hardware prototype; cloud dashboard</w:t>
            </w:r>
          </w:p>
        </w:tc>
        <w:tc>
          <w:tcPr>
            <w:tcW w:w="1729" w:type="dxa"/>
            <w:tcMar>
              <w:top w:w="50" w:type="dxa"/>
              <w:left w:w="60" w:type="dxa"/>
              <w:bottom w:w="50" w:type="dxa"/>
              <w:right w:w="60" w:type="dxa"/>
            </w:tcMar>
          </w:tcPr>
          <w:p w14:paraId="759F3E31"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Reduced human error and improved responsiveness via mobile alerts compared to manual logging</w:t>
            </w:r>
          </w:p>
        </w:tc>
        <w:tc>
          <w:tcPr>
            <w:tcW w:w="1456" w:type="dxa"/>
            <w:tcMar>
              <w:top w:w="50" w:type="dxa"/>
              <w:left w:w="60" w:type="dxa"/>
              <w:bottom w:w="50" w:type="dxa"/>
              <w:right w:w="60" w:type="dxa"/>
            </w:tcMar>
          </w:tcPr>
          <w:p w14:paraId="7921D349"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Single-parameter (temperature) focus; no equipment health or power-failure prediction</w:t>
            </w:r>
          </w:p>
        </w:tc>
        <w:tc>
          <w:tcPr>
            <w:tcW w:w="1456" w:type="dxa"/>
            <w:tcMar>
              <w:top w:w="50" w:type="dxa"/>
              <w:left w:w="60" w:type="dxa"/>
              <w:bottom w:w="50" w:type="dxa"/>
              <w:right w:w="60" w:type="dxa"/>
            </w:tcMar>
          </w:tcPr>
          <w:p w14:paraId="21B39088"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No refrigerator health diagnostics or predictive maintenance module</w:t>
            </w:r>
          </w:p>
        </w:tc>
      </w:tr>
      <w:tr w:rsidR="00684401" w:rsidRPr="00684401" w14:paraId="1EECE0BF" w14:textId="77777777" w:rsidTr="00684401">
        <w:trPr>
          <w:cantSplit/>
          <w:trHeight w:val="184"/>
        </w:trPr>
        <w:tc>
          <w:tcPr>
            <w:tcW w:w="1183" w:type="dxa"/>
            <w:shd w:val="clear" w:color="auto" w:fill="F2F6F7"/>
            <w:tcMar>
              <w:top w:w="50" w:type="dxa"/>
              <w:left w:w="60" w:type="dxa"/>
              <w:bottom w:w="50" w:type="dxa"/>
              <w:right w:w="60" w:type="dxa"/>
            </w:tcMar>
          </w:tcPr>
          <w:p w14:paraId="587C6C7E"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Jiang, Jia &amp; Guo (2024)</w:t>
            </w:r>
          </w:p>
        </w:tc>
        <w:tc>
          <w:tcPr>
            <w:tcW w:w="1365" w:type="dxa"/>
            <w:shd w:val="clear" w:color="auto" w:fill="F2F6F7"/>
            <w:tcMar>
              <w:top w:w="50" w:type="dxa"/>
              <w:left w:w="60" w:type="dxa"/>
              <w:bottom w:w="50" w:type="dxa"/>
              <w:right w:w="60" w:type="dxa"/>
            </w:tcMar>
          </w:tcPr>
          <w:p w14:paraId="385B10A4"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Sustainability and trust in vaccine cold-chain data across a province-wide network</w:t>
            </w:r>
          </w:p>
        </w:tc>
        <w:tc>
          <w:tcPr>
            <w:tcW w:w="1456" w:type="dxa"/>
            <w:shd w:val="clear" w:color="auto" w:fill="F2F6F7"/>
            <w:tcMar>
              <w:top w:w="50" w:type="dxa"/>
              <w:left w:w="60" w:type="dxa"/>
              <w:bottom w:w="50" w:type="dxa"/>
              <w:right w:w="60" w:type="dxa"/>
            </w:tcMar>
          </w:tcPr>
          <w:p w14:paraId="189A33FB"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IoT device authentication framework; hardware + software platform for provincial deployment</w:t>
            </w:r>
          </w:p>
        </w:tc>
        <w:tc>
          <w:tcPr>
            <w:tcW w:w="1365" w:type="dxa"/>
            <w:shd w:val="clear" w:color="auto" w:fill="F2F6F7"/>
            <w:tcMar>
              <w:top w:w="50" w:type="dxa"/>
              <w:left w:w="60" w:type="dxa"/>
              <w:bottom w:w="50" w:type="dxa"/>
              <w:right w:w="60" w:type="dxa"/>
            </w:tcMar>
          </w:tcPr>
          <w:p w14:paraId="6EC8D3D6"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Field deployment data from a Chinese province</w:t>
            </w:r>
          </w:p>
        </w:tc>
        <w:tc>
          <w:tcPr>
            <w:tcW w:w="1729" w:type="dxa"/>
            <w:shd w:val="clear" w:color="auto" w:fill="F2F6F7"/>
            <w:tcMar>
              <w:top w:w="50" w:type="dxa"/>
              <w:left w:w="60" w:type="dxa"/>
              <w:bottom w:w="50" w:type="dxa"/>
              <w:right w:w="60" w:type="dxa"/>
            </w:tcMar>
          </w:tcPr>
          <w:p w14:paraId="2973A6AA"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Improved data trust/transparency and reduced dependence on manual monitoring</w:t>
            </w:r>
          </w:p>
        </w:tc>
        <w:tc>
          <w:tcPr>
            <w:tcW w:w="1456" w:type="dxa"/>
            <w:shd w:val="clear" w:color="auto" w:fill="F2F6F7"/>
            <w:tcMar>
              <w:top w:w="50" w:type="dxa"/>
              <w:left w:w="60" w:type="dxa"/>
              <w:bottom w:w="50" w:type="dxa"/>
              <w:right w:w="60" w:type="dxa"/>
            </w:tcMar>
          </w:tcPr>
          <w:p w14:paraId="54CD8D37"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Focuses on authentication/trust, not on failure prediction or ML analytics</w:t>
            </w:r>
          </w:p>
        </w:tc>
        <w:tc>
          <w:tcPr>
            <w:tcW w:w="1456" w:type="dxa"/>
            <w:shd w:val="clear" w:color="auto" w:fill="F2F6F7"/>
            <w:tcMar>
              <w:top w:w="50" w:type="dxa"/>
              <w:left w:w="60" w:type="dxa"/>
              <w:bottom w:w="50" w:type="dxa"/>
              <w:right w:w="60" w:type="dxa"/>
            </w:tcMar>
          </w:tcPr>
          <w:p w14:paraId="6CAF5F6E"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Limited integration of predictive analytics with the trust/authentication layer</w:t>
            </w:r>
          </w:p>
        </w:tc>
      </w:tr>
      <w:tr w:rsidR="00684401" w:rsidRPr="00684401" w14:paraId="41D8A04D" w14:textId="77777777" w:rsidTr="00684401">
        <w:trPr>
          <w:cantSplit/>
          <w:trHeight w:val="199"/>
        </w:trPr>
        <w:tc>
          <w:tcPr>
            <w:tcW w:w="1183" w:type="dxa"/>
            <w:tcMar>
              <w:top w:w="50" w:type="dxa"/>
              <w:left w:w="60" w:type="dxa"/>
              <w:bottom w:w="50" w:type="dxa"/>
              <w:right w:w="60" w:type="dxa"/>
            </w:tcMar>
          </w:tcPr>
          <w:p w14:paraId="0076B484"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Blockchain Vaccine Tracking Study (PMC)</w:t>
            </w:r>
          </w:p>
        </w:tc>
        <w:tc>
          <w:tcPr>
            <w:tcW w:w="1365" w:type="dxa"/>
            <w:tcMar>
              <w:top w:w="50" w:type="dxa"/>
              <w:left w:w="60" w:type="dxa"/>
              <w:bottom w:w="50" w:type="dxa"/>
              <w:right w:w="60" w:type="dxa"/>
            </w:tcMar>
          </w:tcPr>
          <w:p w14:paraId="64F7D71C"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Data integrity and transparency in vaccine storage records at clinics</w:t>
            </w:r>
          </w:p>
        </w:tc>
        <w:tc>
          <w:tcPr>
            <w:tcW w:w="1456" w:type="dxa"/>
            <w:tcMar>
              <w:top w:w="50" w:type="dxa"/>
              <w:left w:w="60" w:type="dxa"/>
              <w:bottom w:w="50" w:type="dxa"/>
              <w:right w:w="60" w:type="dxa"/>
            </w:tcMar>
          </w:tcPr>
          <w:p w14:paraId="13043EFE"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Smart-contract-enabled blockchain ledger linked to IoT sensor data</w:t>
            </w:r>
          </w:p>
        </w:tc>
        <w:tc>
          <w:tcPr>
            <w:tcW w:w="1365" w:type="dxa"/>
            <w:tcMar>
              <w:top w:w="50" w:type="dxa"/>
              <w:left w:w="60" w:type="dxa"/>
              <w:bottom w:w="50" w:type="dxa"/>
              <w:right w:w="60" w:type="dxa"/>
            </w:tcMar>
          </w:tcPr>
          <w:p w14:paraId="24F151D8"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Decentralized database; simulated clinic deployment</w:t>
            </w:r>
          </w:p>
        </w:tc>
        <w:tc>
          <w:tcPr>
            <w:tcW w:w="1729" w:type="dxa"/>
            <w:tcMar>
              <w:top w:w="50" w:type="dxa"/>
              <w:left w:w="60" w:type="dxa"/>
              <w:bottom w:w="50" w:type="dxa"/>
              <w:right w:w="60" w:type="dxa"/>
            </w:tcMar>
          </w:tcPr>
          <w:p w14:paraId="58DD8E74"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Immutable audit trail; deviations automatically flagged on-chain</w:t>
            </w:r>
          </w:p>
        </w:tc>
        <w:tc>
          <w:tcPr>
            <w:tcW w:w="1456" w:type="dxa"/>
            <w:tcMar>
              <w:top w:w="50" w:type="dxa"/>
              <w:left w:w="60" w:type="dxa"/>
              <w:bottom w:w="50" w:type="dxa"/>
              <w:right w:w="60" w:type="dxa"/>
            </w:tcMar>
          </w:tcPr>
          <w:p w14:paraId="46AEE0D1"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High computational/storage overhead; does not address predictive failure detection</w:t>
            </w:r>
          </w:p>
        </w:tc>
        <w:tc>
          <w:tcPr>
            <w:tcW w:w="1456" w:type="dxa"/>
            <w:tcMar>
              <w:top w:w="50" w:type="dxa"/>
              <w:left w:w="60" w:type="dxa"/>
              <w:bottom w:w="50" w:type="dxa"/>
              <w:right w:w="60" w:type="dxa"/>
            </w:tcMar>
          </w:tcPr>
          <w:p w14:paraId="3DF38240"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No mechanism for forecasting equipment failure before it occurs</w:t>
            </w:r>
          </w:p>
        </w:tc>
      </w:tr>
      <w:tr w:rsidR="00684401" w:rsidRPr="00684401" w14:paraId="13F456C9" w14:textId="77777777" w:rsidTr="00684401">
        <w:trPr>
          <w:cantSplit/>
          <w:trHeight w:val="184"/>
        </w:trPr>
        <w:tc>
          <w:tcPr>
            <w:tcW w:w="1183" w:type="dxa"/>
            <w:shd w:val="clear" w:color="auto" w:fill="F2F6F7"/>
            <w:tcMar>
              <w:top w:w="50" w:type="dxa"/>
              <w:left w:w="60" w:type="dxa"/>
              <w:bottom w:w="50" w:type="dxa"/>
              <w:right w:w="60" w:type="dxa"/>
            </w:tcMar>
          </w:tcPr>
          <w:p w14:paraId="2E8A75A7"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Elngar et al. (2023)</w:t>
            </w:r>
          </w:p>
        </w:tc>
        <w:tc>
          <w:tcPr>
            <w:tcW w:w="1365" w:type="dxa"/>
            <w:shd w:val="clear" w:color="auto" w:fill="F2F6F7"/>
            <w:tcMar>
              <w:top w:w="50" w:type="dxa"/>
              <w:left w:w="60" w:type="dxa"/>
              <w:bottom w:w="50" w:type="dxa"/>
              <w:right w:w="60" w:type="dxa"/>
            </w:tcMar>
          </w:tcPr>
          <w:p w14:paraId="10D04CAE"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Temperature monitoring for vaccine containers in university/school settings</w:t>
            </w:r>
          </w:p>
        </w:tc>
        <w:tc>
          <w:tcPr>
            <w:tcW w:w="1456" w:type="dxa"/>
            <w:shd w:val="clear" w:color="auto" w:fill="F2F6F7"/>
            <w:tcMar>
              <w:top w:w="50" w:type="dxa"/>
              <w:left w:w="60" w:type="dxa"/>
              <w:bottom w:w="50" w:type="dxa"/>
              <w:right w:w="60" w:type="dxa"/>
            </w:tcMar>
          </w:tcPr>
          <w:p w14:paraId="221A6DDA"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Thermocouple sensor + Wi-Fi controller + cloud + mobile alerting</w:t>
            </w:r>
          </w:p>
        </w:tc>
        <w:tc>
          <w:tcPr>
            <w:tcW w:w="1365" w:type="dxa"/>
            <w:shd w:val="clear" w:color="auto" w:fill="F2F6F7"/>
            <w:tcMar>
              <w:top w:w="50" w:type="dxa"/>
              <w:left w:w="60" w:type="dxa"/>
              <w:bottom w:w="50" w:type="dxa"/>
              <w:right w:w="60" w:type="dxa"/>
            </w:tcMar>
          </w:tcPr>
          <w:p w14:paraId="6AF51856"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Prototype container; cloud dashboard</w:t>
            </w:r>
          </w:p>
        </w:tc>
        <w:tc>
          <w:tcPr>
            <w:tcW w:w="1729" w:type="dxa"/>
            <w:shd w:val="clear" w:color="auto" w:fill="F2F6F7"/>
            <w:tcMar>
              <w:top w:w="50" w:type="dxa"/>
              <w:left w:w="60" w:type="dxa"/>
              <w:bottom w:w="50" w:type="dxa"/>
              <w:right w:w="60" w:type="dxa"/>
            </w:tcMar>
          </w:tcPr>
          <w:p w14:paraId="57B39AC5"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Achieved 99.5% temperature-monitoring accuracy with emergency indication</w:t>
            </w:r>
          </w:p>
        </w:tc>
        <w:tc>
          <w:tcPr>
            <w:tcW w:w="1456" w:type="dxa"/>
            <w:shd w:val="clear" w:color="auto" w:fill="F2F6F7"/>
            <w:tcMar>
              <w:top w:w="50" w:type="dxa"/>
              <w:left w:w="60" w:type="dxa"/>
              <w:bottom w:w="50" w:type="dxa"/>
              <w:right w:w="60" w:type="dxa"/>
            </w:tcMar>
          </w:tcPr>
          <w:p w14:paraId="20455767"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Small-scale, single-container prototype; no ML/predictive layer; no compliance reporting</w:t>
            </w:r>
          </w:p>
        </w:tc>
        <w:tc>
          <w:tcPr>
            <w:tcW w:w="1456" w:type="dxa"/>
            <w:shd w:val="clear" w:color="auto" w:fill="F2F6F7"/>
            <w:tcMar>
              <w:top w:w="50" w:type="dxa"/>
              <w:left w:w="60" w:type="dxa"/>
              <w:bottom w:w="50" w:type="dxa"/>
              <w:right w:w="60" w:type="dxa"/>
            </w:tcMar>
          </w:tcPr>
          <w:p w14:paraId="1F36CA1C"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Not designed for multi-facility, regulation-compliant deployment</w:t>
            </w:r>
          </w:p>
        </w:tc>
      </w:tr>
      <w:tr w:rsidR="00684401" w:rsidRPr="00684401" w14:paraId="1194336C" w14:textId="77777777" w:rsidTr="00684401">
        <w:trPr>
          <w:cantSplit/>
          <w:trHeight w:val="199"/>
        </w:trPr>
        <w:tc>
          <w:tcPr>
            <w:tcW w:w="1183" w:type="dxa"/>
            <w:tcMar>
              <w:top w:w="50" w:type="dxa"/>
              <w:left w:w="60" w:type="dxa"/>
              <w:bottom w:w="50" w:type="dxa"/>
              <w:right w:w="60" w:type="dxa"/>
            </w:tcMar>
          </w:tcPr>
          <w:p w14:paraId="1FB222DB"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Putrada &amp; Abdurohman (2021)</w:t>
            </w:r>
          </w:p>
        </w:tc>
        <w:tc>
          <w:tcPr>
            <w:tcW w:w="1365" w:type="dxa"/>
            <w:tcMar>
              <w:top w:w="50" w:type="dxa"/>
              <w:left w:w="60" w:type="dxa"/>
              <w:bottom w:w="50" w:type="dxa"/>
              <w:right w:w="60" w:type="dxa"/>
            </w:tcMar>
          </w:tcPr>
          <w:p w14:paraId="0FEFEA21"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Detecting abnormal behaviour in IoT-based vaccine refrigerators</w:t>
            </w:r>
          </w:p>
        </w:tc>
        <w:tc>
          <w:tcPr>
            <w:tcW w:w="1456" w:type="dxa"/>
            <w:tcMar>
              <w:top w:w="50" w:type="dxa"/>
              <w:left w:w="60" w:type="dxa"/>
              <w:bottom w:w="50" w:type="dxa"/>
              <w:right w:w="60" w:type="dxa"/>
            </w:tcMar>
          </w:tcPr>
          <w:p w14:paraId="01F59ACE"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Anomaly detection using machine learning on refrigerator temperature streams</w:t>
            </w:r>
          </w:p>
        </w:tc>
        <w:tc>
          <w:tcPr>
            <w:tcW w:w="1365" w:type="dxa"/>
            <w:tcMar>
              <w:top w:w="50" w:type="dxa"/>
              <w:left w:w="60" w:type="dxa"/>
              <w:bottom w:w="50" w:type="dxa"/>
              <w:right w:w="60" w:type="dxa"/>
            </w:tcMar>
          </w:tcPr>
          <w:p w14:paraId="464087C2"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Refrigerator sensor time-series dataset</w:t>
            </w:r>
          </w:p>
        </w:tc>
        <w:tc>
          <w:tcPr>
            <w:tcW w:w="1729" w:type="dxa"/>
            <w:tcMar>
              <w:top w:w="50" w:type="dxa"/>
              <w:left w:w="60" w:type="dxa"/>
              <w:bottom w:w="50" w:type="dxa"/>
              <w:right w:w="60" w:type="dxa"/>
            </w:tcMar>
          </w:tcPr>
          <w:p w14:paraId="34A4FCCA"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Demonstrated feasibility of ML-based anomaly detection over simple threshold rules</w:t>
            </w:r>
          </w:p>
        </w:tc>
        <w:tc>
          <w:tcPr>
            <w:tcW w:w="1456" w:type="dxa"/>
            <w:tcMar>
              <w:top w:w="50" w:type="dxa"/>
              <w:left w:w="60" w:type="dxa"/>
              <w:bottom w:w="50" w:type="dxa"/>
              <w:right w:w="60" w:type="dxa"/>
            </w:tcMar>
          </w:tcPr>
          <w:p w14:paraId="38829DA9"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Focused only on anomaly detection, not failure forecasting or full compliance workflow</w:t>
            </w:r>
          </w:p>
        </w:tc>
        <w:tc>
          <w:tcPr>
            <w:tcW w:w="1456" w:type="dxa"/>
            <w:tcMar>
              <w:top w:w="50" w:type="dxa"/>
              <w:left w:w="60" w:type="dxa"/>
              <w:bottom w:w="50" w:type="dxa"/>
              <w:right w:w="60" w:type="dxa"/>
            </w:tcMar>
          </w:tcPr>
          <w:p w14:paraId="05E732CA"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No end-to-end system combining anomaly detection with alerting, audit logs, and reporting</w:t>
            </w:r>
          </w:p>
        </w:tc>
      </w:tr>
      <w:tr w:rsidR="00684401" w:rsidRPr="00684401" w14:paraId="499D6651" w14:textId="77777777" w:rsidTr="00684401">
        <w:trPr>
          <w:cantSplit/>
          <w:trHeight w:val="184"/>
        </w:trPr>
        <w:tc>
          <w:tcPr>
            <w:tcW w:w="1183" w:type="dxa"/>
            <w:shd w:val="clear" w:color="auto" w:fill="F2F6F7"/>
            <w:tcMar>
              <w:top w:w="50" w:type="dxa"/>
              <w:left w:w="60" w:type="dxa"/>
              <w:bottom w:w="50" w:type="dxa"/>
              <w:right w:w="60" w:type="dxa"/>
            </w:tcMar>
          </w:tcPr>
          <w:p w14:paraId="7D856702"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Cold-Storage AI Study (Springer, 2025)</w:t>
            </w:r>
          </w:p>
        </w:tc>
        <w:tc>
          <w:tcPr>
            <w:tcW w:w="1365" w:type="dxa"/>
            <w:shd w:val="clear" w:color="auto" w:fill="F2F6F7"/>
            <w:tcMar>
              <w:top w:w="50" w:type="dxa"/>
              <w:left w:w="60" w:type="dxa"/>
              <w:bottom w:w="50" w:type="dxa"/>
              <w:right w:w="60" w:type="dxa"/>
            </w:tcMar>
          </w:tcPr>
          <w:p w14:paraId="01CDC173"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Predictive management of positive-temperature cold storage systems</w:t>
            </w:r>
          </w:p>
        </w:tc>
        <w:tc>
          <w:tcPr>
            <w:tcW w:w="1456" w:type="dxa"/>
            <w:shd w:val="clear" w:color="auto" w:fill="F2F6F7"/>
            <w:tcMar>
              <w:top w:w="50" w:type="dxa"/>
              <w:left w:w="60" w:type="dxa"/>
              <w:bottom w:w="50" w:type="dxa"/>
              <w:right w:w="60" w:type="dxa"/>
            </w:tcMar>
          </w:tcPr>
          <w:p w14:paraId="4D8306DC"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IoT sensing + XGBoost (anomaly/failure classification) + LSTM (temperature/humidity forecasting)</w:t>
            </w:r>
          </w:p>
        </w:tc>
        <w:tc>
          <w:tcPr>
            <w:tcW w:w="1365" w:type="dxa"/>
            <w:shd w:val="clear" w:color="auto" w:fill="F2F6F7"/>
            <w:tcMar>
              <w:top w:w="50" w:type="dxa"/>
              <w:left w:w="60" w:type="dxa"/>
              <w:bottom w:w="50" w:type="dxa"/>
              <w:right w:w="60" w:type="dxa"/>
            </w:tcMar>
          </w:tcPr>
          <w:p w14:paraId="36AAF49A"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Real refrigeration facility sensor data</w:t>
            </w:r>
          </w:p>
        </w:tc>
        <w:tc>
          <w:tcPr>
            <w:tcW w:w="1729" w:type="dxa"/>
            <w:shd w:val="clear" w:color="auto" w:fill="F2F6F7"/>
            <w:tcMar>
              <w:top w:w="50" w:type="dxa"/>
              <w:left w:w="60" w:type="dxa"/>
              <w:bottom w:w="50" w:type="dxa"/>
              <w:right w:w="60" w:type="dxa"/>
            </w:tcMar>
          </w:tcPr>
          <w:p w14:paraId="577677C8"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XGBoost/LSTM combination enabled proactive detection of impending failures before breakdown</w:t>
            </w:r>
          </w:p>
        </w:tc>
        <w:tc>
          <w:tcPr>
            <w:tcW w:w="1456" w:type="dxa"/>
            <w:shd w:val="clear" w:color="auto" w:fill="F2F6F7"/>
            <w:tcMar>
              <w:top w:w="50" w:type="dxa"/>
              <w:left w:w="60" w:type="dxa"/>
              <w:bottom w:w="50" w:type="dxa"/>
              <w:right w:w="60" w:type="dxa"/>
            </w:tcMar>
          </w:tcPr>
          <w:p w14:paraId="76DE2A90"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Not vaccine/healthcare-specific; no regulatory audit or compliance-reporting component</w:t>
            </w:r>
          </w:p>
        </w:tc>
        <w:tc>
          <w:tcPr>
            <w:tcW w:w="1456" w:type="dxa"/>
            <w:shd w:val="clear" w:color="auto" w:fill="F2F6F7"/>
            <w:tcMar>
              <w:top w:w="50" w:type="dxa"/>
              <w:left w:w="60" w:type="dxa"/>
              <w:bottom w:w="50" w:type="dxa"/>
              <w:right w:w="60" w:type="dxa"/>
            </w:tcMar>
          </w:tcPr>
          <w:p w14:paraId="4413E0A1" w14:textId="77777777" w:rsidR="00684401" w:rsidRPr="00684401" w:rsidRDefault="00684401" w:rsidP="000C4C03">
            <w:pPr>
              <w:spacing w:line="230" w:lineRule="auto"/>
              <w:rPr>
                <w:rFonts w:ascii="Times New Roman" w:hAnsi="Times New Roman" w:cs="Times New Roman"/>
                <w:color w:val="000000" w:themeColor="text1"/>
                <w:sz w:val="16"/>
                <w:szCs w:val="16"/>
              </w:rPr>
            </w:pPr>
            <w:r w:rsidRPr="00684401">
              <w:rPr>
                <w:rFonts w:ascii="Times New Roman" w:eastAsia="Calibri" w:hAnsi="Times New Roman" w:cs="Times New Roman"/>
                <w:color w:val="000000" w:themeColor="text1"/>
                <w:sz w:val="16"/>
                <w:szCs w:val="16"/>
              </w:rPr>
              <w:t>Predictive ML approach not yet adapted to healthcare cold-chain compliance requirements</w:t>
            </w:r>
          </w:p>
        </w:tc>
      </w:tr>
    </w:tbl>
    <w:p w14:paraId="4F9521DA" w14:textId="77777777" w:rsidR="00684401" w:rsidRDefault="00684401" w:rsidP="00684401">
      <w:pPr>
        <w:pStyle w:val="Heading1"/>
        <w:spacing w:before="260" w:after="130"/>
        <w:rPr>
          <w:rFonts w:ascii="Times New Roman" w:eastAsia="Calibri" w:hAnsi="Times New Roman" w:cs="Times New Roman"/>
          <w:b/>
          <w:bCs/>
          <w:color w:val="000000" w:themeColor="text1"/>
          <w:sz w:val="24"/>
          <w:szCs w:val="24"/>
        </w:rPr>
      </w:pPr>
    </w:p>
    <w:p w14:paraId="744D1C76" w14:textId="77777777" w:rsidR="00684401" w:rsidRPr="00684401" w:rsidRDefault="00684401" w:rsidP="00684401"/>
    <w:p w14:paraId="366B057F" w14:textId="275DABD0" w:rsidR="00684401" w:rsidRPr="00684401" w:rsidRDefault="00684401" w:rsidP="00684401">
      <w:pPr>
        <w:pStyle w:val="Heading1"/>
        <w:spacing w:before="260" w:after="130"/>
        <w:rPr>
          <w:rFonts w:ascii="Times New Roman" w:hAnsi="Times New Roman" w:cs="Times New Roman"/>
          <w:color w:val="000000" w:themeColor="text1"/>
          <w:sz w:val="24"/>
          <w:szCs w:val="24"/>
        </w:rPr>
      </w:pPr>
      <w:r w:rsidRPr="00684401">
        <w:rPr>
          <w:rFonts w:ascii="Times New Roman" w:eastAsia="Calibri" w:hAnsi="Times New Roman" w:cs="Times New Roman"/>
          <w:b/>
          <w:bCs/>
          <w:color w:val="000000" w:themeColor="text1"/>
          <w:sz w:val="24"/>
          <w:szCs w:val="24"/>
        </w:rPr>
        <w:lastRenderedPageBreak/>
        <w:t>4. Discussion of the Comparative Analysis</w:t>
      </w:r>
    </w:p>
    <w:p w14:paraId="42BEAB55"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Read together, the eight studies trace a clear progression rather than a random scatter of unrelated prototypes. The earliest and most numerous group of papers (2.1, 2.2, 2.3, 2.6) establishes that low-cost microcontroller-and-cloud stacks — Arduino or STM32 boards paired with Wi-Fi modules and platforms such as ThingSpeak or Xively — can reliably capture temperature, humidity, and sometimes location or quantity data, and can push that data to a dashboard with basic threshold alerts. Reported accuracy is high where measured (99.5% in Elngar et al.), which suggests that raw sensing is a largely solved sub-problem for a student or early-stage system to build on rather than a research frontier in itself.</w:t>
      </w:r>
    </w:p>
    <w:p w14:paraId="27BFBFAF"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A second, smaller group of papers pushes past raw sensing toward analytics and governance. Putrada and Abdurohman (2.7) and the Springer XGBoost/LSTM study (2.8) show that machine-learning models — from simple anomaly detectors to a combined classification-and-forecasting pipeline — can flag equipment problems that a fixed threshold would miss entirely, and can do so before a full breakdown occurs. In parallel, the blockchain-based clinic study (2.5) shows that a tamper-evident ledger can give healthcare auditors confidence that stored records have not been altered after the fact, addressing a very different but equally important requirement of the problem statement: audit-trail integrity.</w:t>
      </w:r>
    </w:p>
    <w:p w14:paraId="02297452"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The province-scale deployment described by Jiang, Jia, and Guo (2.4) is notable because it is the only reviewed study that operates at a scale close to what the problem statement demands, yet even this framework does not incorporate predictive analytics or automated compliance reporting. Each individual capability required by the problem statement — sensing, alerting, prediction, audit integrity, and multi-facility scale — has been demonstrated by at least one study, but no single study demonstrates all of them together, which directly motivates the research gap identified in Section 6.</w:t>
      </w:r>
    </w:p>
    <w:p w14:paraId="0B6015CE" w14:textId="77777777" w:rsidR="00684401" w:rsidRPr="00684401" w:rsidRDefault="00684401" w:rsidP="00684401">
      <w:pPr>
        <w:pStyle w:val="Heading1"/>
        <w:spacing w:before="260" w:after="130"/>
        <w:rPr>
          <w:rFonts w:ascii="Times New Roman" w:hAnsi="Times New Roman" w:cs="Times New Roman"/>
          <w:color w:val="000000" w:themeColor="text1"/>
          <w:sz w:val="24"/>
          <w:szCs w:val="24"/>
        </w:rPr>
      </w:pPr>
      <w:r w:rsidRPr="00684401">
        <w:rPr>
          <w:rFonts w:ascii="Times New Roman" w:eastAsia="Calibri" w:hAnsi="Times New Roman" w:cs="Times New Roman"/>
          <w:b/>
          <w:bCs/>
          <w:color w:val="000000" w:themeColor="text1"/>
          <w:sz w:val="24"/>
          <w:szCs w:val="24"/>
        </w:rPr>
        <w:t>5. Limitations and Challenges of Existing Approaches</w:t>
      </w:r>
    </w:p>
    <w:p w14:paraId="0031332B"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t>Reactive rather than predictive: most IoT prototypes (2.1-2.3, 2.6) raise an alert only after a temperature excursion has already begun, rather than forecasting the failure in advance, which limits the corrective-action window available to staff.</w:t>
      </w:r>
    </w:p>
    <w:p w14:paraId="7A84ACFC"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t>Narrow parameter coverage: the majority of systems monitor temperature and sometimes humidity, but rarely capture power-supply status, compressor/refrigerant health, or door-open events together in one platform, so a failure mode outside the monitored parameter can go undetected.</w:t>
      </w:r>
    </w:p>
    <w:p w14:paraId="4EED2F38"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t>Limited scalability validation: nearly all studies (2.1, 2.2, 2.3, 2.6) report single-prototype or single-site results and do not demonstrate multi-facility deployment across hospitals, clinics, pharmacies, blood banks, and vaccination centres simultaneously, leaving open questions about network load, device management, and data consistency at scale.</w:t>
      </w:r>
    </w:p>
    <w:p w14:paraId="7C39596C"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t>Fragmented functionality: predictive/ML capability (2.7, 2.8) and audit-trail/data-integrity capability (2.5) have been developed as separate, standalone solutions rather than combined into one system, so integrating them would require substantial additional engineering not covered by any single paper.</w:t>
      </w:r>
    </w:p>
    <w:p w14:paraId="3F287B85"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lastRenderedPageBreak/>
        <w:t>No automated regulatory compliance reporting: none of the reviewed systems automatically generates the audit-ready compliance reports required by national health authorities and international bodies; most stop at dashboards and mobile alerts, leaving report generation as a manual, after-the-fact task.</w:t>
      </w:r>
    </w:p>
    <w:p w14:paraId="0F177DC1"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t>Healthcare-specific gap in AI-based predictive maintenance: the strongest predictive/ML techniques (XGBoost, LSTM, anomaly detection) have so far been demonstrated on general commercial cold storage (2.8) or generic refrigerators (2.7), not on regulation-bound vaccine storage, so their accuracy and false-alarm behaviour under vaccine-specific storage conditions remains unverified.</w:t>
      </w:r>
    </w:p>
    <w:p w14:paraId="133FFFD3"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t>High overhead of the strongest integrity mechanism: the blockchain-based approach (2.5) that best supports tamper-evident audit logs comes with computational and storage overhead that may be difficult to sustain at the sensor-data update frequencies required for continuous cold-chain monitoring.</w:t>
      </w:r>
    </w:p>
    <w:p w14:paraId="194609A9" w14:textId="77777777" w:rsidR="00684401" w:rsidRPr="00684401" w:rsidRDefault="00684401" w:rsidP="00684401">
      <w:pPr>
        <w:pStyle w:val="Heading1"/>
        <w:spacing w:before="260" w:after="130"/>
        <w:rPr>
          <w:rFonts w:ascii="Times New Roman" w:hAnsi="Times New Roman" w:cs="Times New Roman"/>
          <w:color w:val="000000" w:themeColor="text1"/>
          <w:sz w:val="24"/>
          <w:szCs w:val="24"/>
        </w:rPr>
      </w:pPr>
      <w:r w:rsidRPr="00684401">
        <w:rPr>
          <w:rFonts w:ascii="Times New Roman" w:eastAsia="Calibri" w:hAnsi="Times New Roman" w:cs="Times New Roman"/>
          <w:b/>
          <w:bCs/>
          <w:color w:val="000000" w:themeColor="text1"/>
          <w:sz w:val="24"/>
          <w:szCs w:val="24"/>
        </w:rPr>
        <w:t>6. Research Gap</w:t>
      </w:r>
    </w:p>
    <w:p w14:paraId="2EED613A"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Across the reviewed literature, IoT-based cold-chain systems (2.1-2.3, 2.6) reliably capture and transmit sensor data but remain reactive, alerting staff only after conditions have already deviated. Machine-learning studies (2.7, 2.8) show that predictive analytics can forecast refrigeration failures before they occur, but these techniques have not yet been integrated into a vaccine-specific, multi-facility platform. Separately, blockchain-based work (2.5) demonstrates how to build a tamper-evident audit trail, but does not incorporate predictive detection, and the province-scale framework (2.4) demonstrates deployment scale without predictive or compliance capability.</w:t>
      </w:r>
    </w:p>
    <w:p w14:paraId="63B7B6D3"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No single study reviewed combines (a) continuous multi-parameter IoT sensing, (b) AI-based predictive failure forecasting, (c) instant multi-channel alerting, (d) tamper-evident historical audit logging, and (e) automated regulatory compliance reporting into one scalable system deployable across hospitals, clinics, pharmacies, blood banks, and vaccination centres. This integration gap — not the absence of any individual technique, but the absence of a system that unifies all five capabilities for the vaccine cold-chain domain specifically — is precisely the problem the assigned Intelligent Vaccine Cold Storage Monitoring System is intended to close.</w:t>
      </w:r>
    </w:p>
    <w:p w14:paraId="19EDA4CE" w14:textId="77777777" w:rsidR="00684401" w:rsidRPr="00684401" w:rsidRDefault="00684401" w:rsidP="00684401">
      <w:pPr>
        <w:pStyle w:val="Heading1"/>
        <w:spacing w:before="260" w:after="130"/>
        <w:rPr>
          <w:rFonts w:ascii="Times New Roman" w:hAnsi="Times New Roman" w:cs="Times New Roman"/>
          <w:color w:val="000000" w:themeColor="text1"/>
          <w:sz w:val="24"/>
          <w:szCs w:val="24"/>
        </w:rPr>
      </w:pPr>
      <w:r w:rsidRPr="00684401">
        <w:rPr>
          <w:rFonts w:ascii="Times New Roman" w:eastAsia="Calibri" w:hAnsi="Times New Roman" w:cs="Times New Roman"/>
          <w:b/>
          <w:bCs/>
          <w:color w:val="000000" w:themeColor="text1"/>
          <w:sz w:val="24"/>
          <w:szCs w:val="24"/>
        </w:rPr>
        <w:t>7. Future Directions / Proposed Improvements</w:t>
      </w:r>
    </w:p>
    <w:p w14:paraId="4CD838BE"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t>Integrate an ML-based predictive-maintenance layer (building on the anomaly-detection and XGBoost/LSTM approaches in 2.7 and 2.8) directly into a vaccine cold-chain platform, rather than treating prediction as a separate, general-purpose refrigeration study.</w:t>
      </w:r>
    </w:p>
    <w:p w14:paraId="1E05BCEC"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t>Expand sensor coverage beyond temperature/humidity to include power-supply status, compressor current draw, and door-open events, so equipment health can be assessed holistically rather than through a single parameter.</w:t>
      </w:r>
    </w:p>
    <w:p w14:paraId="5D2D72CA"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t>Adopt a tamper-evident audit-log design (informed by the blockchain approach in 2.5) for historical records and maintenance logs, while keeping computational overhead low enough for resource-constrained facilities — for example through periodic hashing/anchoring rather than a full transactional ledger for every reading.</w:t>
      </w:r>
    </w:p>
    <w:p w14:paraId="33998D0B"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lastRenderedPageBreak/>
        <w:t>Design the alerting layer to be multi-channel (mobile app, SMS, email) from the outset, as recommended by the problem statement, rather than the single-channel dashboards used in most reviewed prototypes.</w:t>
      </w:r>
    </w:p>
    <w:p w14:paraId="24C4BAC9"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t>Build automated, standards-aligned compliance-report generation as a first-class feature, since this capability is absent from every system reviewed, and validate the generated reports against the format expected by relevant national health authorities.</w:t>
      </w:r>
    </w:p>
    <w:p w14:paraId="2A3E780E" w14:textId="77777777" w:rsidR="00684401" w:rsidRPr="00684401" w:rsidRDefault="00684401" w:rsidP="00684401">
      <w:pPr>
        <w:pStyle w:val="ListParagraph"/>
        <w:numPr>
          <w:ilvl w:val="0"/>
          <w:numId w:val="1"/>
        </w:numPr>
        <w:spacing w:after="70" w:line="240" w:lineRule="auto"/>
        <w:contextualSpacing w:val="0"/>
        <w:rPr>
          <w:rFonts w:ascii="Times New Roman" w:hAnsi="Times New Roman" w:cs="Times New Roman"/>
          <w:color w:val="000000" w:themeColor="text1"/>
        </w:rPr>
      </w:pPr>
      <w:r w:rsidRPr="00684401">
        <w:rPr>
          <w:rFonts w:ascii="Times New Roman" w:eastAsia="Calibri" w:hAnsi="Times New Roman" w:cs="Times New Roman"/>
          <w:color w:val="000000" w:themeColor="text1"/>
        </w:rPr>
        <w:t>Validate the system across multiple facility types and locations (hospitals, clinics, pharmacies, blood banks, vaccination centres) to demonstrate scalable deployment, and benchmark predictive-model accuracy, false-alarm rate, and lead time before failure specifically on vaccine-refrigerator data, since this validation is currently missing from the literature.</w:t>
      </w:r>
    </w:p>
    <w:p w14:paraId="39906C0E" w14:textId="77777777" w:rsidR="00684401" w:rsidRPr="00684401" w:rsidRDefault="00684401" w:rsidP="00684401">
      <w:pPr>
        <w:pStyle w:val="Heading1"/>
        <w:spacing w:before="260" w:after="130"/>
        <w:rPr>
          <w:rFonts w:ascii="Times New Roman" w:hAnsi="Times New Roman" w:cs="Times New Roman"/>
          <w:color w:val="000000" w:themeColor="text1"/>
          <w:sz w:val="24"/>
          <w:szCs w:val="24"/>
        </w:rPr>
      </w:pPr>
      <w:r w:rsidRPr="00684401">
        <w:rPr>
          <w:rFonts w:ascii="Times New Roman" w:eastAsia="Calibri" w:hAnsi="Times New Roman" w:cs="Times New Roman"/>
          <w:b/>
          <w:bCs/>
          <w:color w:val="000000" w:themeColor="text1"/>
          <w:sz w:val="24"/>
          <w:szCs w:val="24"/>
        </w:rPr>
        <w:t>8. Mapping the Research Gap to the Proposed System's Objectives</w:t>
      </w:r>
    </w:p>
    <w:p w14:paraId="748E2D0D"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The table below connects each objective from the assigned problem statement to the literature reviewed above, showing which existing work partially supports it and what the proposed system must add to close the remaining gap.</w:t>
      </w:r>
    </w:p>
    <w:tbl>
      <w:tblPr>
        <w:tblW w:w="9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5"/>
        <w:gridCol w:w="3255"/>
        <w:gridCol w:w="3662"/>
      </w:tblGrid>
      <w:tr w:rsidR="00684401" w:rsidRPr="00684401" w14:paraId="51FB5ADA" w14:textId="77777777" w:rsidTr="00684401">
        <w:trPr>
          <w:trHeight w:val="504"/>
          <w:tblHeader/>
        </w:trPr>
        <w:tc>
          <w:tcPr>
            <w:tcW w:w="2645" w:type="dxa"/>
            <w:shd w:val="clear" w:color="auto" w:fill="1F4E5F"/>
            <w:tcMar>
              <w:top w:w="50" w:type="dxa"/>
              <w:left w:w="60" w:type="dxa"/>
              <w:bottom w:w="50" w:type="dxa"/>
              <w:right w:w="60" w:type="dxa"/>
            </w:tcMar>
            <w:vAlign w:val="center"/>
          </w:tcPr>
          <w:p w14:paraId="0D632F02" w14:textId="77777777" w:rsidR="00684401" w:rsidRPr="0073613D" w:rsidRDefault="00684401" w:rsidP="000C4C03">
            <w:pPr>
              <w:spacing w:line="230" w:lineRule="auto"/>
              <w:rPr>
                <w:rFonts w:ascii="Times New Roman" w:hAnsi="Times New Roman" w:cs="Times New Roman"/>
                <w:color w:val="000000" w:themeColor="text1"/>
                <w:sz w:val="20"/>
                <w:szCs w:val="20"/>
              </w:rPr>
            </w:pPr>
            <w:r w:rsidRPr="0073613D">
              <w:rPr>
                <w:rFonts w:ascii="Times New Roman" w:eastAsia="Calibri" w:hAnsi="Times New Roman" w:cs="Times New Roman"/>
                <w:b/>
                <w:bCs/>
                <w:color w:val="000000" w:themeColor="text1"/>
                <w:sz w:val="20"/>
                <w:szCs w:val="20"/>
              </w:rPr>
              <w:t>Problem-Statement Objective</w:t>
            </w:r>
          </w:p>
        </w:tc>
        <w:tc>
          <w:tcPr>
            <w:tcW w:w="3255" w:type="dxa"/>
            <w:shd w:val="clear" w:color="auto" w:fill="1F4E5F"/>
            <w:tcMar>
              <w:top w:w="50" w:type="dxa"/>
              <w:left w:w="60" w:type="dxa"/>
              <w:bottom w:w="50" w:type="dxa"/>
              <w:right w:w="60" w:type="dxa"/>
            </w:tcMar>
            <w:vAlign w:val="center"/>
          </w:tcPr>
          <w:p w14:paraId="310F06C4" w14:textId="77777777" w:rsidR="00684401" w:rsidRPr="0073613D" w:rsidRDefault="00684401" w:rsidP="000C4C03">
            <w:pPr>
              <w:spacing w:line="230" w:lineRule="auto"/>
              <w:rPr>
                <w:rFonts w:ascii="Times New Roman" w:hAnsi="Times New Roman" w:cs="Times New Roman"/>
                <w:color w:val="000000" w:themeColor="text1"/>
                <w:sz w:val="20"/>
                <w:szCs w:val="20"/>
              </w:rPr>
            </w:pPr>
            <w:r w:rsidRPr="0073613D">
              <w:rPr>
                <w:rFonts w:ascii="Times New Roman" w:eastAsia="Calibri" w:hAnsi="Times New Roman" w:cs="Times New Roman"/>
                <w:b/>
                <w:bCs/>
                <w:color w:val="000000" w:themeColor="text1"/>
                <w:sz w:val="20"/>
                <w:szCs w:val="20"/>
              </w:rPr>
              <w:t>Closest Supporting Work in the Survey</w:t>
            </w:r>
          </w:p>
        </w:tc>
        <w:tc>
          <w:tcPr>
            <w:tcW w:w="3662" w:type="dxa"/>
            <w:shd w:val="clear" w:color="auto" w:fill="1F4E5F"/>
            <w:tcMar>
              <w:top w:w="50" w:type="dxa"/>
              <w:left w:w="60" w:type="dxa"/>
              <w:bottom w:w="50" w:type="dxa"/>
              <w:right w:w="60" w:type="dxa"/>
            </w:tcMar>
            <w:vAlign w:val="center"/>
          </w:tcPr>
          <w:p w14:paraId="28835908" w14:textId="77777777" w:rsidR="00684401" w:rsidRPr="0073613D" w:rsidRDefault="00684401" w:rsidP="000C4C03">
            <w:pPr>
              <w:spacing w:line="230" w:lineRule="auto"/>
              <w:rPr>
                <w:rFonts w:ascii="Times New Roman" w:hAnsi="Times New Roman" w:cs="Times New Roman"/>
                <w:color w:val="000000" w:themeColor="text1"/>
                <w:sz w:val="20"/>
                <w:szCs w:val="20"/>
              </w:rPr>
            </w:pPr>
            <w:r w:rsidRPr="0073613D">
              <w:rPr>
                <w:rFonts w:ascii="Times New Roman" w:eastAsia="Calibri" w:hAnsi="Times New Roman" w:cs="Times New Roman"/>
                <w:b/>
                <w:bCs/>
                <w:color w:val="000000" w:themeColor="text1"/>
                <w:sz w:val="20"/>
                <w:szCs w:val="20"/>
              </w:rPr>
              <w:t>What the Proposed System Must Add</w:t>
            </w:r>
          </w:p>
        </w:tc>
      </w:tr>
      <w:tr w:rsidR="00684401" w:rsidRPr="00684401" w14:paraId="50758EAF" w14:textId="77777777" w:rsidTr="00684401">
        <w:trPr>
          <w:cantSplit/>
          <w:trHeight w:val="707"/>
        </w:trPr>
        <w:tc>
          <w:tcPr>
            <w:tcW w:w="2645" w:type="dxa"/>
            <w:tcMar>
              <w:top w:w="50" w:type="dxa"/>
              <w:left w:w="60" w:type="dxa"/>
              <w:bottom w:w="50" w:type="dxa"/>
              <w:right w:w="60" w:type="dxa"/>
            </w:tcMar>
          </w:tcPr>
          <w:p w14:paraId="32D939F5"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Monitor storage conditions continuously</w:t>
            </w:r>
          </w:p>
        </w:tc>
        <w:tc>
          <w:tcPr>
            <w:tcW w:w="3255" w:type="dxa"/>
            <w:tcMar>
              <w:top w:w="50" w:type="dxa"/>
              <w:left w:w="60" w:type="dxa"/>
              <w:bottom w:w="50" w:type="dxa"/>
              <w:right w:w="60" w:type="dxa"/>
            </w:tcMar>
          </w:tcPr>
          <w:p w14:paraId="529140E6"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2.1, 2.2, 2.3, 2.6 (temperature/humidity sensing)</w:t>
            </w:r>
          </w:p>
        </w:tc>
        <w:tc>
          <w:tcPr>
            <w:tcW w:w="3662" w:type="dxa"/>
            <w:tcMar>
              <w:top w:w="50" w:type="dxa"/>
              <w:left w:w="60" w:type="dxa"/>
              <w:bottom w:w="50" w:type="dxa"/>
              <w:right w:w="60" w:type="dxa"/>
            </w:tcMar>
          </w:tcPr>
          <w:p w14:paraId="297389AE"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Extend to power-supply and equipment-health parameters, not temperature/humidity alone</w:t>
            </w:r>
          </w:p>
        </w:tc>
      </w:tr>
      <w:tr w:rsidR="00684401" w:rsidRPr="00684401" w14:paraId="72A0D024" w14:textId="77777777" w:rsidTr="00684401">
        <w:trPr>
          <w:cantSplit/>
          <w:trHeight w:val="699"/>
        </w:trPr>
        <w:tc>
          <w:tcPr>
            <w:tcW w:w="2645" w:type="dxa"/>
            <w:shd w:val="clear" w:color="auto" w:fill="F2F6F7"/>
            <w:tcMar>
              <w:top w:w="50" w:type="dxa"/>
              <w:left w:w="60" w:type="dxa"/>
              <w:bottom w:w="50" w:type="dxa"/>
              <w:right w:w="60" w:type="dxa"/>
            </w:tcMar>
          </w:tcPr>
          <w:p w14:paraId="48EFAB70"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Collect real-time sensor data</w:t>
            </w:r>
          </w:p>
        </w:tc>
        <w:tc>
          <w:tcPr>
            <w:tcW w:w="3255" w:type="dxa"/>
            <w:shd w:val="clear" w:color="auto" w:fill="F2F6F7"/>
            <w:tcMar>
              <w:top w:w="50" w:type="dxa"/>
              <w:left w:w="60" w:type="dxa"/>
              <w:bottom w:w="50" w:type="dxa"/>
              <w:right w:w="60" w:type="dxa"/>
            </w:tcMar>
          </w:tcPr>
          <w:p w14:paraId="2D90B5B0"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2.1-2.3, 2.6 (Arduino/STM32 + cloud pipelines)</w:t>
            </w:r>
          </w:p>
        </w:tc>
        <w:tc>
          <w:tcPr>
            <w:tcW w:w="3662" w:type="dxa"/>
            <w:shd w:val="clear" w:color="auto" w:fill="F2F6F7"/>
            <w:tcMar>
              <w:top w:w="50" w:type="dxa"/>
              <w:left w:w="60" w:type="dxa"/>
              <w:bottom w:w="50" w:type="dxa"/>
              <w:right w:w="60" w:type="dxa"/>
            </w:tcMar>
          </w:tcPr>
          <w:p w14:paraId="2396FE26"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Consolidate into one multi-facility data pipeline instead of isolated single-site prototypes</w:t>
            </w:r>
          </w:p>
        </w:tc>
      </w:tr>
      <w:tr w:rsidR="00684401" w:rsidRPr="00684401" w14:paraId="4114D9CE" w14:textId="77777777" w:rsidTr="00684401">
        <w:trPr>
          <w:cantSplit/>
          <w:trHeight w:val="504"/>
        </w:trPr>
        <w:tc>
          <w:tcPr>
            <w:tcW w:w="2645" w:type="dxa"/>
            <w:tcMar>
              <w:top w:w="50" w:type="dxa"/>
              <w:left w:w="60" w:type="dxa"/>
              <w:bottom w:w="50" w:type="dxa"/>
              <w:right w:w="60" w:type="dxa"/>
            </w:tcMar>
          </w:tcPr>
          <w:p w14:paraId="1E5DFB34"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Detect temperature excursions immediately</w:t>
            </w:r>
          </w:p>
        </w:tc>
        <w:tc>
          <w:tcPr>
            <w:tcW w:w="3255" w:type="dxa"/>
            <w:tcMar>
              <w:top w:w="50" w:type="dxa"/>
              <w:left w:w="60" w:type="dxa"/>
              <w:bottom w:w="50" w:type="dxa"/>
              <w:right w:w="60" w:type="dxa"/>
            </w:tcMar>
          </w:tcPr>
          <w:p w14:paraId="167AB2C4"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2.3, 2.6 (mobile/cloud alerts on threshold breach)</w:t>
            </w:r>
          </w:p>
        </w:tc>
        <w:tc>
          <w:tcPr>
            <w:tcW w:w="3662" w:type="dxa"/>
            <w:tcMar>
              <w:top w:w="50" w:type="dxa"/>
              <w:left w:w="60" w:type="dxa"/>
              <w:bottom w:w="50" w:type="dxa"/>
              <w:right w:w="60" w:type="dxa"/>
            </w:tcMar>
          </w:tcPr>
          <w:p w14:paraId="7C28B781"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Retain immediate detection while adding the predictive layer below</w:t>
            </w:r>
          </w:p>
        </w:tc>
      </w:tr>
      <w:tr w:rsidR="00684401" w:rsidRPr="00684401" w14:paraId="25A2B1C0" w14:textId="77777777" w:rsidTr="00684401">
        <w:trPr>
          <w:cantSplit/>
          <w:trHeight w:val="707"/>
        </w:trPr>
        <w:tc>
          <w:tcPr>
            <w:tcW w:w="2645" w:type="dxa"/>
            <w:shd w:val="clear" w:color="auto" w:fill="F2F6F7"/>
            <w:tcMar>
              <w:top w:w="50" w:type="dxa"/>
              <w:left w:w="60" w:type="dxa"/>
              <w:bottom w:w="50" w:type="dxa"/>
              <w:right w:w="60" w:type="dxa"/>
            </w:tcMar>
          </w:tcPr>
          <w:p w14:paraId="57F49D1C"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Predict refrigeration failures using ML</w:t>
            </w:r>
          </w:p>
        </w:tc>
        <w:tc>
          <w:tcPr>
            <w:tcW w:w="3255" w:type="dxa"/>
            <w:shd w:val="clear" w:color="auto" w:fill="F2F6F7"/>
            <w:tcMar>
              <w:top w:w="50" w:type="dxa"/>
              <w:left w:w="60" w:type="dxa"/>
              <w:bottom w:w="50" w:type="dxa"/>
              <w:right w:w="60" w:type="dxa"/>
            </w:tcMar>
          </w:tcPr>
          <w:p w14:paraId="5E3C1CE0"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2.7 (anomaly detection), 2.8 (XGBoost/LSTM)</w:t>
            </w:r>
          </w:p>
        </w:tc>
        <w:tc>
          <w:tcPr>
            <w:tcW w:w="3662" w:type="dxa"/>
            <w:shd w:val="clear" w:color="auto" w:fill="F2F6F7"/>
            <w:tcMar>
              <w:top w:w="50" w:type="dxa"/>
              <w:left w:w="60" w:type="dxa"/>
              <w:bottom w:w="50" w:type="dxa"/>
              <w:right w:w="60" w:type="dxa"/>
            </w:tcMar>
          </w:tcPr>
          <w:p w14:paraId="432CB82F"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Adapt these general refrigeration models to vaccine-specific storage data</w:t>
            </w:r>
          </w:p>
        </w:tc>
      </w:tr>
      <w:tr w:rsidR="00684401" w:rsidRPr="00684401" w14:paraId="7AD555C1" w14:textId="77777777" w:rsidTr="00684401">
        <w:trPr>
          <w:cantSplit/>
          <w:trHeight w:val="699"/>
        </w:trPr>
        <w:tc>
          <w:tcPr>
            <w:tcW w:w="2645" w:type="dxa"/>
            <w:tcMar>
              <w:top w:w="50" w:type="dxa"/>
              <w:left w:w="60" w:type="dxa"/>
              <w:bottom w:w="50" w:type="dxa"/>
              <w:right w:w="60" w:type="dxa"/>
            </w:tcMar>
          </w:tcPr>
          <w:p w14:paraId="6D89E1F2"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Generate automatic compliance reports</w:t>
            </w:r>
          </w:p>
        </w:tc>
        <w:tc>
          <w:tcPr>
            <w:tcW w:w="3255" w:type="dxa"/>
            <w:tcMar>
              <w:top w:w="50" w:type="dxa"/>
              <w:left w:w="60" w:type="dxa"/>
              <w:bottom w:w="50" w:type="dxa"/>
              <w:right w:w="60" w:type="dxa"/>
            </w:tcMar>
          </w:tcPr>
          <w:p w14:paraId="5DAE00E4"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Not demonstrated in any reviewed paper</w:t>
            </w:r>
          </w:p>
        </w:tc>
        <w:tc>
          <w:tcPr>
            <w:tcW w:w="3662" w:type="dxa"/>
            <w:tcMar>
              <w:top w:w="50" w:type="dxa"/>
              <w:left w:w="60" w:type="dxa"/>
              <w:bottom w:w="50" w:type="dxa"/>
              <w:right w:w="60" w:type="dxa"/>
            </w:tcMar>
          </w:tcPr>
          <w:p w14:paraId="77650DF5"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Build report generation as a new, first-class module aligned to health-authority formats</w:t>
            </w:r>
          </w:p>
        </w:tc>
      </w:tr>
      <w:tr w:rsidR="00684401" w:rsidRPr="00684401" w14:paraId="32F04E02" w14:textId="77777777" w:rsidTr="00684401">
        <w:trPr>
          <w:cantSplit/>
          <w:trHeight w:val="707"/>
        </w:trPr>
        <w:tc>
          <w:tcPr>
            <w:tcW w:w="2645" w:type="dxa"/>
            <w:shd w:val="clear" w:color="auto" w:fill="F2F6F7"/>
            <w:tcMar>
              <w:top w:w="50" w:type="dxa"/>
              <w:left w:w="60" w:type="dxa"/>
              <w:bottom w:w="50" w:type="dxa"/>
              <w:right w:w="60" w:type="dxa"/>
            </w:tcMar>
          </w:tcPr>
          <w:p w14:paraId="6547C0BA"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Notify healthcare personnel instantly</w:t>
            </w:r>
          </w:p>
        </w:tc>
        <w:tc>
          <w:tcPr>
            <w:tcW w:w="3255" w:type="dxa"/>
            <w:shd w:val="clear" w:color="auto" w:fill="F2F6F7"/>
            <w:tcMar>
              <w:top w:w="50" w:type="dxa"/>
              <w:left w:w="60" w:type="dxa"/>
              <w:bottom w:w="50" w:type="dxa"/>
              <w:right w:w="60" w:type="dxa"/>
            </w:tcMar>
          </w:tcPr>
          <w:p w14:paraId="0CB983E7"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2.1-2.3, 2.6 (single-channel mobile/cloud alerts)</w:t>
            </w:r>
          </w:p>
        </w:tc>
        <w:tc>
          <w:tcPr>
            <w:tcW w:w="3662" w:type="dxa"/>
            <w:shd w:val="clear" w:color="auto" w:fill="F2F6F7"/>
            <w:tcMar>
              <w:top w:w="50" w:type="dxa"/>
              <w:left w:w="60" w:type="dxa"/>
              <w:bottom w:w="50" w:type="dxa"/>
              <w:right w:w="60" w:type="dxa"/>
            </w:tcMar>
          </w:tcPr>
          <w:p w14:paraId="4405F0B6"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Extend to multi-channel notification (app, SMS, email) as specified in the problem statement</w:t>
            </w:r>
          </w:p>
        </w:tc>
      </w:tr>
      <w:tr w:rsidR="00684401" w:rsidRPr="00684401" w14:paraId="2B7B4946" w14:textId="77777777" w:rsidTr="00684401">
        <w:trPr>
          <w:cantSplit/>
          <w:trHeight w:val="699"/>
        </w:trPr>
        <w:tc>
          <w:tcPr>
            <w:tcW w:w="2645" w:type="dxa"/>
            <w:tcMar>
              <w:top w:w="50" w:type="dxa"/>
              <w:left w:w="60" w:type="dxa"/>
              <w:bottom w:w="50" w:type="dxa"/>
              <w:right w:w="60" w:type="dxa"/>
            </w:tcMar>
          </w:tcPr>
          <w:p w14:paraId="47ED7F0A"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Maintain historical audit logs</w:t>
            </w:r>
          </w:p>
        </w:tc>
        <w:tc>
          <w:tcPr>
            <w:tcW w:w="3255" w:type="dxa"/>
            <w:tcMar>
              <w:top w:w="50" w:type="dxa"/>
              <w:left w:w="60" w:type="dxa"/>
              <w:bottom w:w="50" w:type="dxa"/>
              <w:right w:w="60" w:type="dxa"/>
            </w:tcMar>
          </w:tcPr>
          <w:p w14:paraId="7D2F7414"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2.5 (blockchain-based tamper-evident ledger)</w:t>
            </w:r>
          </w:p>
        </w:tc>
        <w:tc>
          <w:tcPr>
            <w:tcW w:w="3662" w:type="dxa"/>
            <w:tcMar>
              <w:top w:w="50" w:type="dxa"/>
              <w:left w:w="60" w:type="dxa"/>
              <w:bottom w:w="50" w:type="dxa"/>
              <w:right w:w="60" w:type="dxa"/>
            </w:tcMar>
          </w:tcPr>
          <w:p w14:paraId="20850E1E"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Adopt a lighter-weight integrity mechanism suited to continuous sensor-data logging</w:t>
            </w:r>
          </w:p>
        </w:tc>
      </w:tr>
      <w:tr w:rsidR="00684401" w:rsidRPr="00684401" w14:paraId="45A31D80" w14:textId="77777777" w:rsidTr="00684401">
        <w:trPr>
          <w:cantSplit/>
          <w:trHeight w:val="699"/>
        </w:trPr>
        <w:tc>
          <w:tcPr>
            <w:tcW w:w="2645" w:type="dxa"/>
            <w:shd w:val="clear" w:color="auto" w:fill="F2F6F7"/>
            <w:tcMar>
              <w:top w:w="50" w:type="dxa"/>
              <w:left w:w="60" w:type="dxa"/>
              <w:bottom w:w="50" w:type="dxa"/>
              <w:right w:w="60" w:type="dxa"/>
            </w:tcMar>
          </w:tcPr>
          <w:p w14:paraId="33B6DAFF"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Improve vaccine inventory safety / scalable deployment</w:t>
            </w:r>
          </w:p>
        </w:tc>
        <w:tc>
          <w:tcPr>
            <w:tcW w:w="3255" w:type="dxa"/>
            <w:shd w:val="clear" w:color="auto" w:fill="F2F6F7"/>
            <w:tcMar>
              <w:top w:w="50" w:type="dxa"/>
              <w:left w:w="60" w:type="dxa"/>
              <w:bottom w:w="50" w:type="dxa"/>
              <w:right w:w="60" w:type="dxa"/>
            </w:tcMar>
          </w:tcPr>
          <w:p w14:paraId="08FC36F1"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2.4 (province-scale authenticated IoT framework)</w:t>
            </w:r>
          </w:p>
        </w:tc>
        <w:tc>
          <w:tcPr>
            <w:tcW w:w="3662" w:type="dxa"/>
            <w:shd w:val="clear" w:color="auto" w:fill="F2F6F7"/>
            <w:tcMar>
              <w:top w:w="50" w:type="dxa"/>
              <w:left w:w="60" w:type="dxa"/>
              <w:bottom w:w="50" w:type="dxa"/>
              <w:right w:w="60" w:type="dxa"/>
            </w:tcMar>
          </w:tcPr>
          <w:p w14:paraId="4ED467E8" w14:textId="77777777" w:rsidR="00684401" w:rsidRPr="00684401" w:rsidRDefault="00684401" w:rsidP="000C4C03">
            <w:pPr>
              <w:spacing w:line="230" w:lineRule="auto"/>
              <w:rPr>
                <w:rFonts w:ascii="Times New Roman" w:hAnsi="Times New Roman" w:cs="Times New Roman"/>
                <w:color w:val="000000" w:themeColor="text1"/>
                <w:sz w:val="20"/>
                <w:szCs w:val="20"/>
              </w:rPr>
            </w:pPr>
            <w:r w:rsidRPr="00684401">
              <w:rPr>
                <w:rFonts w:ascii="Times New Roman" w:eastAsia="Calibri" w:hAnsi="Times New Roman" w:cs="Times New Roman"/>
                <w:color w:val="000000" w:themeColor="text1"/>
                <w:sz w:val="20"/>
                <w:szCs w:val="20"/>
              </w:rPr>
              <w:t>Combine this deployment scale with the predictive and compliance capabilities above</w:t>
            </w:r>
          </w:p>
        </w:tc>
      </w:tr>
    </w:tbl>
    <w:p w14:paraId="1DAF98C2" w14:textId="77777777" w:rsidR="00684401" w:rsidRPr="00684401" w:rsidRDefault="00684401" w:rsidP="00684401">
      <w:pPr>
        <w:pStyle w:val="Heading1"/>
        <w:spacing w:before="260" w:after="130"/>
        <w:rPr>
          <w:rFonts w:ascii="Times New Roman" w:hAnsi="Times New Roman" w:cs="Times New Roman"/>
          <w:color w:val="000000" w:themeColor="text1"/>
          <w:sz w:val="24"/>
          <w:szCs w:val="24"/>
        </w:rPr>
      </w:pPr>
      <w:r w:rsidRPr="00684401">
        <w:rPr>
          <w:rFonts w:ascii="Times New Roman" w:eastAsia="Calibri" w:hAnsi="Times New Roman" w:cs="Times New Roman"/>
          <w:b/>
          <w:bCs/>
          <w:color w:val="000000" w:themeColor="text1"/>
          <w:sz w:val="24"/>
          <w:szCs w:val="24"/>
        </w:rPr>
        <w:lastRenderedPageBreak/>
        <w:t>9. Conclusion</w:t>
      </w:r>
    </w:p>
    <w:p w14:paraId="74841B79"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The reviewed literature confirms strong and growing interest in IoT-enabled vaccine cold-chain monitoring, with clear progress from basic sensor-and-cloud prototypes toward blockchain-secured audit trails, province-scale device authentication frameworks, and machine-learning-based predictive maintenance. Each individual capability required by the problem statement — continuous sensing, immediate alerting, predictive failure detection, tamper-evident audit logging, and multi-facility scalability — has already been demonstrated in isolation by at least one of the eight studies reviewed here. However, none of these capabilities have yet been unified into a single, healthcare-specific, compliance-ready platform.</w:t>
      </w:r>
    </w:p>
    <w:p w14:paraId="0B1ED85D" w14:textId="77777777" w:rsidR="00684401" w:rsidRPr="00684401" w:rsidRDefault="00684401" w:rsidP="00684401">
      <w:pPr>
        <w:spacing w:after="130" w:line="268" w:lineRule="auto"/>
        <w:jc w:val="both"/>
        <w:rPr>
          <w:rFonts w:ascii="Times New Roman" w:hAnsi="Times New Roman" w:cs="Times New Roman"/>
          <w:color w:val="000000" w:themeColor="text1"/>
        </w:rPr>
      </w:pPr>
      <w:r w:rsidRPr="00684401">
        <w:rPr>
          <w:rFonts w:ascii="Times New Roman" w:eastAsia="Calibri" w:hAnsi="Times New Roman" w:cs="Times New Roman"/>
          <w:color w:val="000000" w:themeColor="text1"/>
        </w:rPr>
        <w:t>The proposed Intelligent Vaccine Cold Storage Monitoring System addresses this integration gap by combining continuous multi-parameter IoT sensing, AI-driven failure prediction adapted from general refrigeration research, instant multi-channel notification, a lightweight tamper-evident audit-logging mechanism, and automated regulatory compliance reporting into one scalable solution for hospitals, clinics, pharmacies, blood banks, and vaccination centres. Delivering this integration — rather than any single new sensing or algorithmic technique — represents the primary research and engineering contribution of the proposed work.</w:t>
      </w:r>
    </w:p>
    <w:p w14:paraId="395F0E60" w14:textId="77777777" w:rsidR="00684401" w:rsidRPr="00684401" w:rsidRDefault="00684401" w:rsidP="00684401">
      <w:pPr>
        <w:pStyle w:val="Heading1"/>
        <w:spacing w:before="260" w:after="130"/>
        <w:rPr>
          <w:rFonts w:ascii="Times New Roman" w:hAnsi="Times New Roman" w:cs="Times New Roman"/>
          <w:color w:val="000000" w:themeColor="text1"/>
          <w:sz w:val="24"/>
          <w:szCs w:val="24"/>
        </w:rPr>
      </w:pPr>
      <w:r w:rsidRPr="00684401">
        <w:rPr>
          <w:rFonts w:ascii="Times New Roman" w:eastAsia="Calibri" w:hAnsi="Times New Roman" w:cs="Times New Roman"/>
          <w:b/>
          <w:bCs/>
          <w:color w:val="000000" w:themeColor="text1"/>
          <w:sz w:val="24"/>
          <w:szCs w:val="24"/>
        </w:rPr>
        <w:t>10. References</w:t>
      </w:r>
    </w:p>
    <w:p w14:paraId="70090363" w14:textId="77777777" w:rsidR="00684401" w:rsidRPr="00684401" w:rsidRDefault="00684401" w:rsidP="00684401">
      <w:pPr>
        <w:pStyle w:val="ListParagraph"/>
        <w:numPr>
          <w:ilvl w:val="0"/>
          <w:numId w:val="2"/>
        </w:numPr>
        <w:spacing w:after="70" w:line="250" w:lineRule="auto"/>
        <w:rPr>
          <w:rFonts w:ascii="Times New Roman" w:hAnsi="Times New Roman" w:cs="Times New Roman"/>
          <w:color w:val="000000" w:themeColor="text1"/>
        </w:rPr>
      </w:pPr>
      <w:r w:rsidRPr="00684401">
        <w:rPr>
          <w:rFonts w:ascii="Times New Roman" w:eastAsia="Calibri" w:hAnsi="Times New Roman" w:cs="Times New Roman"/>
          <w:color w:val="000000" w:themeColor="text1"/>
        </w:rPr>
        <w:t>R. T. Hasanat et al., "An IoT based real-time data-centric monitoring system for vaccine cold chain," 2020 IEEE East-West Design &amp; Test Symposium (EWDTS), 2020.</w:t>
      </w:r>
    </w:p>
    <w:p w14:paraId="47AF0E12" w14:textId="77777777" w:rsidR="00684401" w:rsidRPr="00684401" w:rsidRDefault="00684401" w:rsidP="00684401">
      <w:pPr>
        <w:pStyle w:val="ListParagraph"/>
        <w:numPr>
          <w:ilvl w:val="0"/>
          <w:numId w:val="2"/>
        </w:numPr>
        <w:spacing w:after="70" w:line="250" w:lineRule="auto"/>
        <w:rPr>
          <w:rFonts w:ascii="Times New Roman" w:hAnsi="Times New Roman" w:cs="Times New Roman"/>
          <w:color w:val="000000" w:themeColor="text1"/>
        </w:rPr>
      </w:pPr>
      <w:r w:rsidRPr="00684401">
        <w:rPr>
          <w:rFonts w:ascii="Times New Roman" w:eastAsia="Calibri" w:hAnsi="Times New Roman" w:cs="Times New Roman"/>
          <w:color w:val="000000" w:themeColor="text1"/>
        </w:rPr>
        <w:t xml:space="preserve"> A. Elsayed et al., "Smart IoT-Based COVID-19 Vaccine Supply Chain, Monitoring, and Control System," Eng. Proc. / ECSA Conference Proceedings, 2025.</w:t>
      </w:r>
    </w:p>
    <w:p w14:paraId="01F3AD93" w14:textId="77777777" w:rsidR="00684401" w:rsidRPr="00684401" w:rsidRDefault="00684401" w:rsidP="00684401">
      <w:pPr>
        <w:pStyle w:val="ListParagraph"/>
        <w:numPr>
          <w:ilvl w:val="0"/>
          <w:numId w:val="2"/>
        </w:numPr>
        <w:spacing w:after="70" w:line="250" w:lineRule="auto"/>
        <w:rPr>
          <w:rFonts w:ascii="Times New Roman" w:hAnsi="Times New Roman" w:cs="Times New Roman"/>
          <w:color w:val="000000" w:themeColor="text1"/>
        </w:rPr>
      </w:pPr>
      <w:r w:rsidRPr="00684401">
        <w:rPr>
          <w:rFonts w:ascii="Times New Roman" w:eastAsia="Calibri" w:hAnsi="Times New Roman" w:cs="Times New Roman"/>
          <w:color w:val="000000" w:themeColor="text1"/>
        </w:rPr>
        <w:t xml:space="preserve"> "IoT-Enabled Real-Time Vaccine Storage Monitoring and Alert System," IEEE Conference Publication, IEEE Xplore, 2024.</w:t>
      </w:r>
    </w:p>
    <w:p w14:paraId="60DBF511" w14:textId="77777777" w:rsidR="00684401" w:rsidRPr="00684401" w:rsidRDefault="00684401" w:rsidP="00684401">
      <w:pPr>
        <w:pStyle w:val="ListParagraph"/>
        <w:numPr>
          <w:ilvl w:val="0"/>
          <w:numId w:val="2"/>
        </w:numPr>
        <w:spacing w:after="70" w:line="250" w:lineRule="auto"/>
        <w:rPr>
          <w:rFonts w:ascii="Times New Roman" w:hAnsi="Times New Roman" w:cs="Times New Roman"/>
          <w:color w:val="000000" w:themeColor="text1"/>
        </w:rPr>
      </w:pPr>
      <w:r w:rsidRPr="00684401">
        <w:rPr>
          <w:rFonts w:ascii="Times New Roman" w:eastAsia="Calibri" w:hAnsi="Times New Roman" w:cs="Times New Roman"/>
          <w:color w:val="000000" w:themeColor="text1"/>
        </w:rPr>
        <w:t xml:space="preserve"> S. Jiang, S. Jia, and H. Guo, "Internet of Things (IoT)-enabled framework for a sustainable Vaccine cold chain management system," Heliyon, vol. 10, no. 7, e28910, 2024.</w:t>
      </w:r>
    </w:p>
    <w:p w14:paraId="0AE7DE8F" w14:textId="77777777" w:rsidR="00684401" w:rsidRPr="00684401" w:rsidRDefault="00684401" w:rsidP="00684401">
      <w:pPr>
        <w:pStyle w:val="ListParagraph"/>
        <w:numPr>
          <w:ilvl w:val="0"/>
          <w:numId w:val="2"/>
        </w:numPr>
        <w:spacing w:after="70" w:line="250" w:lineRule="auto"/>
        <w:rPr>
          <w:rFonts w:ascii="Times New Roman" w:hAnsi="Times New Roman" w:cs="Times New Roman"/>
          <w:color w:val="000000" w:themeColor="text1"/>
        </w:rPr>
      </w:pPr>
      <w:r w:rsidRPr="00684401">
        <w:rPr>
          <w:rFonts w:ascii="Times New Roman" w:eastAsia="Calibri" w:hAnsi="Times New Roman" w:cs="Times New Roman"/>
          <w:color w:val="000000" w:themeColor="text1"/>
        </w:rPr>
        <w:t xml:space="preserve"> "A reliable vaccine tracking and monitoring system for health clinics using blockchain," PMC, National Library of Medicine.</w:t>
      </w:r>
    </w:p>
    <w:p w14:paraId="69902C56" w14:textId="77777777" w:rsidR="00684401" w:rsidRPr="00684401" w:rsidRDefault="00684401" w:rsidP="00684401">
      <w:pPr>
        <w:pStyle w:val="ListParagraph"/>
        <w:numPr>
          <w:ilvl w:val="0"/>
          <w:numId w:val="2"/>
        </w:numPr>
        <w:spacing w:after="70" w:line="250" w:lineRule="auto"/>
        <w:rPr>
          <w:rFonts w:ascii="Times New Roman" w:hAnsi="Times New Roman" w:cs="Times New Roman"/>
          <w:color w:val="000000" w:themeColor="text1"/>
        </w:rPr>
      </w:pPr>
      <w:r w:rsidRPr="00684401">
        <w:rPr>
          <w:rFonts w:ascii="Times New Roman" w:eastAsia="Calibri" w:hAnsi="Times New Roman" w:cs="Times New Roman"/>
          <w:color w:val="000000" w:themeColor="text1"/>
        </w:rPr>
        <w:t xml:space="preserve"> A. A. Elngar, B. Thiyaneswaran, K. Anguraj, S. Kumarganesh, K. M. Sagayam, and Muthmainnah, "IoT based smart cold chain temperature monitoring with alert system for vaccination container directed to universities and schools," AIP Conf. Proc., vol. 2736, no. 1, 050001, 2023.</w:t>
      </w:r>
    </w:p>
    <w:p w14:paraId="5ABD9050" w14:textId="77777777" w:rsidR="00684401" w:rsidRPr="00684401" w:rsidRDefault="00684401" w:rsidP="00684401">
      <w:pPr>
        <w:pStyle w:val="ListParagraph"/>
        <w:numPr>
          <w:ilvl w:val="0"/>
          <w:numId w:val="2"/>
        </w:numPr>
        <w:spacing w:after="70" w:line="250" w:lineRule="auto"/>
        <w:rPr>
          <w:rFonts w:ascii="Times New Roman" w:hAnsi="Times New Roman" w:cs="Times New Roman"/>
          <w:color w:val="000000" w:themeColor="text1"/>
        </w:rPr>
      </w:pPr>
      <w:r w:rsidRPr="00684401">
        <w:rPr>
          <w:rFonts w:ascii="Times New Roman" w:eastAsia="Calibri" w:hAnsi="Times New Roman" w:cs="Times New Roman"/>
          <w:color w:val="000000" w:themeColor="text1"/>
        </w:rPr>
        <w:t xml:space="preserve"> A. G. Putrada and M. Abdurohman, "Anomaly detection on an IoT-based vaccine storage refrigerator temperature monitoring system," 2021 Int. Conf. on Intelligent Cybernetics Technology &amp; Applications (ICICyTA), 2021.</w:t>
      </w:r>
    </w:p>
    <w:p w14:paraId="7ABC0C55" w14:textId="713D60F5" w:rsidR="00684401" w:rsidRPr="00684401" w:rsidRDefault="00684401" w:rsidP="00684401">
      <w:pPr>
        <w:pStyle w:val="ListParagraph"/>
        <w:numPr>
          <w:ilvl w:val="0"/>
          <w:numId w:val="2"/>
        </w:numPr>
        <w:spacing w:after="70" w:line="250" w:lineRule="auto"/>
        <w:rPr>
          <w:rFonts w:ascii="Times New Roman" w:hAnsi="Times New Roman" w:cs="Times New Roman"/>
          <w:color w:val="000000" w:themeColor="text1"/>
        </w:rPr>
      </w:pPr>
      <w:r w:rsidRPr="00684401">
        <w:rPr>
          <w:rFonts w:ascii="Times New Roman" w:eastAsia="Calibri" w:hAnsi="Times New Roman" w:cs="Times New Roman"/>
          <w:color w:val="000000" w:themeColor="text1"/>
        </w:rPr>
        <w:t xml:space="preserve"> "Advanced IoT-AI Integration for Predictive Management of Positive Temperature Cold Storage Systems," in Springer Nature proceedings, 2025.</w:t>
      </w:r>
    </w:p>
    <w:p w14:paraId="3A4B5E58" w14:textId="77777777" w:rsidR="00684401" w:rsidRPr="00684401" w:rsidRDefault="00684401" w:rsidP="00684401">
      <w:pPr>
        <w:rPr>
          <w:rFonts w:ascii="Times New Roman" w:hAnsi="Times New Roman" w:cs="Times New Roman"/>
          <w:color w:val="000000" w:themeColor="text1"/>
        </w:rPr>
      </w:pPr>
    </w:p>
    <w:sectPr w:rsidR="00684401" w:rsidRPr="0068440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BC84D" w14:textId="77777777" w:rsidR="00390E0F" w:rsidRDefault="00390E0F" w:rsidP="00A0778D">
      <w:pPr>
        <w:spacing w:after="0" w:line="240" w:lineRule="auto"/>
      </w:pPr>
      <w:r>
        <w:separator/>
      </w:r>
    </w:p>
  </w:endnote>
  <w:endnote w:type="continuationSeparator" w:id="0">
    <w:p w14:paraId="7B01968F" w14:textId="77777777" w:rsidR="00390E0F" w:rsidRDefault="00390E0F" w:rsidP="00A07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062713"/>
      <w:docPartObj>
        <w:docPartGallery w:val="Page Numbers (Bottom of Page)"/>
        <w:docPartUnique/>
      </w:docPartObj>
    </w:sdtPr>
    <w:sdtEndPr>
      <w:rPr>
        <w:noProof/>
      </w:rPr>
    </w:sdtEndPr>
    <w:sdtContent>
      <w:p w14:paraId="4D33BCE0" w14:textId="200BEDC9" w:rsidR="00A0778D" w:rsidRDefault="00A077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29F98A" w14:textId="77777777" w:rsidR="00A0778D" w:rsidRDefault="00A07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F474C" w14:textId="77777777" w:rsidR="00390E0F" w:rsidRDefault="00390E0F" w:rsidP="00A0778D">
      <w:pPr>
        <w:spacing w:after="0" w:line="240" w:lineRule="auto"/>
      </w:pPr>
      <w:r>
        <w:separator/>
      </w:r>
    </w:p>
  </w:footnote>
  <w:footnote w:type="continuationSeparator" w:id="0">
    <w:p w14:paraId="4F4A01CF" w14:textId="77777777" w:rsidR="00390E0F" w:rsidRDefault="00390E0F" w:rsidP="00A07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478BE"/>
    <w:multiLevelType w:val="hybridMultilevel"/>
    <w:tmpl w:val="F1EEFAA0"/>
    <w:lvl w:ilvl="0" w:tplc="90EE705A">
      <w:start w:val="1"/>
      <w:numFmt w:val="bullet"/>
      <w:lvlText w:val="●"/>
      <w:lvlJc w:val="left"/>
      <w:pPr>
        <w:ind w:left="720" w:hanging="360"/>
      </w:pPr>
    </w:lvl>
    <w:lvl w:ilvl="1" w:tplc="947CC82A">
      <w:start w:val="1"/>
      <w:numFmt w:val="bullet"/>
      <w:lvlText w:val="○"/>
      <w:lvlJc w:val="left"/>
      <w:pPr>
        <w:ind w:left="1440" w:hanging="360"/>
      </w:pPr>
    </w:lvl>
    <w:lvl w:ilvl="2" w:tplc="A6047D0C">
      <w:start w:val="1"/>
      <w:numFmt w:val="bullet"/>
      <w:lvlText w:val="■"/>
      <w:lvlJc w:val="left"/>
      <w:pPr>
        <w:ind w:left="2160" w:hanging="360"/>
      </w:pPr>
    </w:lvl>
    <w:lvl w:ilvl="3" w:tplc="AD5048D2">
      <w:start w:val="1"/>
      <w:numFmt w:val="bullet"/>
      <w:lvlText w:val="●"/>
      <w:lvlJc w:val="left"/>
      <w:pPr>
        <w:ind w:left="2880" w:hanging="360"/>
      </w:pPr>
    </w:lvl>
    <w:lvl w:ilvl="4" w:tplc="1FF2E98C">
      <w:start w:val="1"/>
      <w:numFmt w:val="bullet"/>
      <w:lvlText w:val="○"/>
      <w:lvlJc w:val="left"/>
      <w:pPr>
        <w:ind w:left="3600" w:hanging="360"/>
      </w:pPr>
    </w:lvl>
    <w:lvl w:ilvl="5" w:tplc="351A7382">
      <w:start w:val="1"/>
      <w:numFmt w:val="bullet"/>
      <w:lvlText w:val="■"/>
      <w:lvlJc w:val="left"/>
      <w:pPr>
        <w:ind w:left="4320" w:hanging="360"/>
      </w:pPr>
    </w:lvl>
    <w:lvl w:ilvl="6" w:tplc="A296FABE">
      <w:start w:val="1"/>
      <w:numFmt w:val="bullet"/>
      <w:lvlText w:val="●"/>
      <w:lvlJc w:val="left"/>
      <w:pPr>
        <w:ind w:left="5040" w:hanging="360"/>
      </w:pPr>
    </w:lvl>
    <w:lvl w:ilvl="7" w:tplc="E55692E4">
      <w:start w:val="1"/>
      <w:numFmt w:val="bullet"/>
      <w:lvlText w:val="●"/>
      <w:lvlJc w:val="left"/>
      <w:pPr>
        <w:ind w:left="5760" w:hanging="360"/>
      </w:pPr>
    </w:lvl>
    <w:lvl w:ilvl="8" w:tplc="DF100AF0">
      <w:start w:val="1"/>
      <w:numFmt w:val="bullet"/>
      <w:lvlText w:val="●"/>
      <w:lvlJc w:val="left"/>
      <w:pPr>
        <w:ind w:left="6480" w:hanging="360"/>
      </w:pPr>
    </w:lvl>
  </w:abstractNum>
  <w:abstractNum w:abstractNumId="1" w15:restartNumberingAfterBreak="0">
    <w:nsid w:val="59C52935"/>
    <w:multiLevelType w:val="hybridMultilevel"/>
    <w:tmpl w:val="3E2EE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7440186">
    <w:abstractNumId w:val="0"/>
    <w:lvlOverride w:ilvl="0">
      <w:startOverride w:val="1"/>
    </w:lvlOverride>
  </w:num>
  <w:num w:numId="2" w16cid:durableId="836112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401"/>
    <w:rsid w:val="001E0C47"/>
    <w:rsid w:val="00262D11"/>
    <w:rsid w:val="002C3E65"/>
    <w:rsid w:val="00390E0F"/>
    <w:rsid w:val="003F75F2"/>
    <w:rsid w:val="00406225"/>
    <w:rsid w:val="00684401"/>
    <w:rsid w:val="00686AC8"/>
    <w:rsid w:val="0073613D"/>
    <w:rsid w:val="007B438F"/>
    <w:rsid w:val="00902326"/>
    <w:rsid w:val="00946711"/>
    <w:rsid w:val="00A0778D"/>
    <w:rsid w:val="00C46911"/>
    <w:rsid w:val="00CF6B94"/>
    <w:rsid w:val="00DF5E1C"/>
    <w:rsid w:val="00F34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5DD3A"/>
  <w15:chartTrackingRefBased/>
  <w15:docId w15:val="{E839118A-B833-4B9F-B5D9-C3C292B92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401"/>
  </w:style>
  <w:style w:type="paragraph" w:styleId="Heading1">
    <w:name w:val="heading 1"/>
    <w:basedOn w:val="Normal"/>
    <w:next w:val="Normal"/>
    <w:link w:val="Heading1Char"/>
    <w:uiPriority w:val="9"/>
    <w:qFormat/>
    <w:rsid w:val="006844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44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4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4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4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4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44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4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4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4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401"/>
    <w:rPr>
      <w:rFonts w:eastAsiaTheme="majorEastAsia" w:cstheme="majorBidi"/>
      <w:color w:val="272727" w:themeColor="text1" w:themeTint="D8"/>
    </w:rPr>
  </w:style>
  <w:style w:type="paragraph" w:styleId="Title">
    <w:name w:val="Title"/>
    <w:basedOn w:val="Normal"/>
    <w:next w:val="Normal"/>
    <w:link w:val="TitleChar"/>
    <w:uiPriority w:val="10"/>
    <w:qFormat/>
    <w:rsid w:val="00684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401"/>
    <w:pPr>
      <w:spacing w:before="160"/>
      <w:jc w:val="center"/>
    </w:pPr>
    <w:rPr>
      <w:i/>
      <w:iCs/>
      <w:color w:val="404040" w:themeColor="text1" w:themeTint="BF"/>
    </w:rPr>
  </w:style>
  <w:style w:type="character" w:customStyle="1" w:styleId="QuoteChar">
    <w:name w:val="Quote Char"/>
    <w:basedOn w:val="DefaultParagraphFont"/>
    <w:link w:val="Quote"/>
    <w:uiPriority w:val="29"/>
    <w:rsid w:val="00684401"/>
    <w:rPr>
      <w:i/>
      <w:iCs/>
      <w:color w:val="404040" w:themeColor="text1" w:themeTint="BF"/>
    </w:rPr>
  </w:style>
  <w:style w:type="paragraph" w:styleId="ListParagraph">
    <w:name w:val="List Paragraph"/>
    <w:basedOn w:val="Normal"/>
    <w:qFormat/>
    <w:rsid w:val="00684401"/>
    <w:pPr>
      <w:ind w:left="720"/>
      <w:contextualSpacing/>
    </w:pPr>
  </w:style>
  <w:style w:type="character" w:styleId="IntenseEmphasis">
    <w:name w:val="Intense Emphasis"/>
    <w:basedOn w:val="DefaultParagraphFont"/>
    <w:uiPriority w:val="21"/>
    <w:qFormat/>
    <w:rsid w:val="00684401"/>
    <w:rPr>
      <w:i/>
      <w:iCs/>
      <w:color w:val="2F5496" w:themeColor="accent1" w:themeShade="BF"/>
    </w:rPr>
  </w:style>
  <w:style w:type="paragraph" w:styleId="IntenseQuote">
    <w:name w:val="Intense Quote"/>
    <w:basedOn w:val="Normal"/>
    <w:next w:val="Normal"/>
    <w:link w:val="IntenseQuoteChar"/>
    <w:uiPriority w:val="30"/>
    <w:qFormat/>
    <w:rsid w:val="006844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401"/>
    <w:rPr>
      <w:i/>
      <w:iCs/>
      <w:color w:val="2F5496" w:themeColor="accent1" w:themeShade="BF"/>
    </w:rPr>
  </w:style>
  <w:style w:type="character" w:styleId="IntenseReference">
    <w:name w:val="Intense Reference"/>
    <w:basedOn w:val="DefaultParagraphFont"/>
    <w:uiPriority w:val="32"/>
    <w:qFormat/>
    <w:rsid w:val="00684401"/>
    <w:rPr>
      <w:b/>
      <w:bCs/>
      <w:smallCaps/>
      <w:color w:val="2F5496" w:themeColor="accent1" w:themeShade="BF"/>
      <w:spacing w:val="5"/>
    </w:rPr>
  </w:style>
  <w:style w:type="paragraph" w:styleId="Header">
    <w:name w:val="header"/>
    <w:basedOn w:val="Normal"/>
    <w:link w:val="HeaderChar"/>
    <w:uiPriority w:val="99"/>
    <w:unhideWhenUsed/>
    <w:rsid w:val="00A07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778D"/>
  </w:style>
  <w:style w:type="paragraph" w:styleId="Footer">
    <w:name w:val="footer"/>
    <w:basedOn w:val="Normal"/>
    <w:link w:val="FooterChar"/>
    <w:uiPriority w:val="99"/>
    <w:unhideWhenUsed/>
    <w:rsid w:val="00A07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7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4284</Words>
  <Characters>24420</Characters>
  <Application>Microsoft Office Word</Application>
  <DocSecurity>0</DocSecurity>
  <Lines>203</Lines>
  <Paragraphs>57</Paragraphs>
  <ScaleCrop>false</ScaleCrop>
  <Company/>
  <LinksUpToDate>false</LinksUpToDate>
  <CharactersWithSpaces>28647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raj</dc:creator>
  <cp:keywords/>
  <dc:description/>
  <cp:lastModifiedBy>shyam raj</cp:lastModifiedBy>
  <cp:revision>11</cp:revision>
  <dcterms:created xsi:type="dcterms:W3CDTF">2026-08-21T08:26:00Z</dcterms:created>
  <dcterms:modified xsi:type="dcterms:W3CDTF">2026-08-21T08:49:00Z</dcterms:modified>
</cp:coreProperties>
</file>