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13</w:t>
      </w:r>
    </w:p>
    <w:p>
      <w:pPr>
        <w:spacing w:after="400" w:before="0"/>
        <w:jc w:val="center"/>
      </w:pPr>
      <w:r>
        <w:rPr>
          <w:rFonts w:ascii="Times New Roman" w:cs="Times New Roman" w:eastAsia="Times New Roman" w:hAnsi="Times New Roman"/>
          <w:b/>
          <w:bCs/>
          <w:color w:val="000000"/>
          <w:sz w:val="28"/>
          <w:szCs w:val="28"/>
        </w:rPr>
        <w:t xml:space="preserve">SECURITY COMPLIANCE AND RISK ASSESSMENT DASHBOARD</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Organizations operate in an increasingly complex cybersecurity landscape where protecting information assets requires more than deploying technical security controls. Businesses must also comply with industry regulations, security standards, and governance frameworks to ensure data protection, operational resilience, and regulatory compliance. Failure to comply with security requirements can result in financial penalties, legal consequences, reputational damage, and increased exposure to cyber threats.</w:t>
      </w:r>
    </w:p>
    <w:p>
      <w:pPr>
        <w:spacing w:after="120"/>
      </w:pPr>
      <w:r>
        <w:rPr>
          <w:rFonts w:ascii="Times New Roman" w:cs="Times New Roman" w:eastAsia="Times New Roman" w:hAnsi="Times New Roman"/>
          <w:sz w:val="24"/>
          <w:szCs w:val="24"/>
        </w:rPr>
        <w:t xml:space="preserve">Security compliance and risk assessment activities help organizations evaluate their security posture, identify vulnerabilities, assess potential risks, and monitor adherence to established standards. By centralizing compliance data and risk metrics into a unified dashboard, organizations can gain visibility into security gaps and make informed decisions to strengthen their cybersecurity programs.</w:t>
      </w:r>
    </w:p>
    <w:p>
      <w:pPr>
        <w:spacing w:after="120"/>
      </w:pPr>
      <w:r>
        <w:rPr>
          <w:rFonts w:ascii="Times New Roman" w:cs="Times New Roman" w:eastAsia="Times New Roman" w:hAnsi="Times New Roman"/>
          <w:sz w:val="24"/>
          <w:szCs w:val="24"/>
        </w:rPr>
        <w:t xml:space="preserve">This project focuses on developing a Security Compliance and Risk Assessment Dashboard that assists organizations in monitoring security controls, evaluating risks, tracking compliance status, and visualizing cybersecurity performance indicators.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often struggle to assess their security posture due to fragmented compliance records, inconsistent risk evaluation processes, and limited visibility into security control effectiveness. Security teams may find it difficult to track compliance requirements, identify high-risk areas, and communicate cybersecurity risks to management.</w:t>
      </w:r>
    </w:p>
    <w:p>
      <w:pPr>
        <w:spacing w:after="120"/>
      </w:pPr>
      <w:r>
        <w:rPr>
          <w:rFonts w:ascii="Times New Roman" w:cs="Times New Roman" w:eastAsia="Times New Roman" w:hAnsi="Times New Roman"/>
          <w:sz w:val="24"/>
          <w:szCs w:val="24"/>
        </w:rPr>
        <w:t xml:space="preserve">There is a need for a centralized platform capable of assessing security controls, monitoring compliance requirements, visualizing risk levels, and supporting data-driven cybersecurity governance.</w:t>
      </w:r>
    </w:p>
    <w:p>
      <w:pPr>
        <w:spacing w:after="120"/>
      </w:pPr>
      <w:r>
        <w:rPr>
          <w:rFonts w:ascii="Times New Roman" w:cs="Times New Roman" w:eastAsia="Times New Roman" w:hAnsi="Times New Roman"/>
          <w:sz w:val="24"/>
          <w:szCs w:val="24"/>
        </w:rPr>
        <w:t xml:space="preserve">How can a Security Compliance and Risk Assessment Dashboard be developed to evaluate security posture, monitor compliance status, and support organizational risk management activities?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Security control assessment.</w:t>
      </w:r>
    </w:p>
    <w:p>
      <w:pPr>
        <w:pStyle w:val="ListParagraph"/>
        <w:numPr>
          <w:ilvl w:val="0"/>
          <w:numId w:val="2"/>
        </w:numPr>
        <w:spacing w:after="60"/>
      </w:pPr>
      <w:r>
        <w:rPr>
          <w:rFonts w:ascii="Times New Roman" w:cs="Times New Roman" w:eastAsia="Times New Roman" w:hAnsi="Times New Roman"/>
          <w:sz w:val="24"/>
          <w:szCs w:val="24"/>
        </w:rPr>
        <w:t xml:space="preserve">Risk identification and classification.</w:t>
      </w:r>
    </w:p>
    <w:p>
      <w:pPr>
        <w:pStyle w:val="ListParagraph"/>
        <w:numPr>
          <w:ilvl w:val="0"/>
          <w:numId w:val="2"/>
        </w:numPr>
        <w:spacing w:after="60"/>
      </w:pPr>
      <w:r>
        <w:rPr>
          <w:rFonts w:ascii="Times New Roman" w:cs="Times New Roman" w:eastAsia="Times New Roman" w:hAnsi="Times New Roman"/>
          <w:sz w:val="24"/>
          <w:szCs w:val="24"/>
        </w:rPr>
        <w:t xml:space="preserve">Compliance monitoring and reporting.</w:t>
      </w:r>
    </w:p>
    <w:p>
      <w:pPr>
        <w:pStyle w:val="ListParagraph"/>
        <w:numPr>
          <w:ilvl w:val="0"/>
          <w:numId w:val="2"/>
        </w:numPr>
        <w:spacing w:after="60"/>
      </w:pPr>
      <w:r>
        <w:rPr>
          <w:rFonts w:ascii="Times New Roman" w:cs="Times New Roman" w:eastAsia="Times New Roman" w:hAnsi="Times New Roman"/>
          <w:sz w:val="24"/>
          <w:szCs w:val="24"/>
        </w:rPr>
        <w:t xml:space="preserve">Risk scoring and prioritization.</w:t>
      </w:r>
    </w:p>
    <w:p>
      <w:pPr>
        <w:pStyle w:val="ListParagraph"/>
        <w:numPr>
          <w:ilvl w:val="0"/>
          <w:numId w:val="2"/>
        </w:numPr>
        <w:spacing w:after="60"/>
      </w:pPr>
      <w:r>
        <w:rPr>
          <w:rFonts w:ascii="Times New Roman" w:cs="Times New Roman" w:eastAsia="Times New Roman" w:hAnsi="Times New Roman"/>
          <w:sz w:val="24"/>
          <w:szCs w:val="24"/>
        </w:rPr>
        <w:t xml:space="preserve">Security posture visualization.</w:t>
      </w:r>
    </w:p>
    <w:p>
      <w:pPr>
        <w:pStyle w:val="ListParagraph"/>
        <w:numPr>
          <w:ilvl w:val="0"/>
          <w:numId w:val="2"/>
        </w:numPr>
        <w:spacing w:after="60"/>
      </w:pPr>
      <w:r>
        <w:rPr>
          <w:rFonts w:ascii="Times New Roman" w:cs="Times New Roman" w:eastAsia="Times New Roman" w:hAnsi="Times New Roman"/>
          <w:sz w:val="24"/>
          <w:szCs w:val="24"/>
        </w:rPr>
        <w:t xml:space="preserve">Gap analysis and recommendations.</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compliance monitoring.</w:t>
      </w:r>
    </w:p>
    <w:p>
      <w:pPr>
        <w:pStyle w:val="ListParagraph"/>
        <w:numPr>
          <w:ilvl w:val="0"/>
          <w:numId w:val="2"/>
        </w:numPr>
        <w:spacing w:after="60"/>
      </w:pPr>
      <w:r>
        <w:rPr>
          <w:rFonts w:ascii="Times New Roman" w:cs="Times New Roman" w:eastAsia="Times New Roman" w:hAnsi="Times New Roman"/>
          <w:sz w:val="24"/>
          <w:szCs w:val="24"/>
        </w:rPr>
        <w:t xml:space="preserve">Security metrics and KPI reporting.</w:t>
      </w:r>
    </w:p>
    <w:p>
      <w:pPr>
        <w:pStyle w:val="ListParagraph"/>
        <w:numPr>
          <w:ilvl w:val="0"/>
          <w:numId w:val="2"/>
        </w:numPr>
        <w:spacing w:after="60"/>
      </w:pPr>
      <w:r>
        <w:rPr>
          <w:rFonts w:ascii="Times New Roman" w:cs="Times New Roman" w:eastAsia="Times New Roman" w:hAnsi="Times New Roman"/>
          <w:sz w:val="24"/>
          <w:szCs w:val="24"/>
        </w:rPr>
        <w:t xml:space="preserve">Historical compliance trend analysis.</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Formal regulatory audits.</w:t>
      </w:r>
    </w:p>
    <w:p>
      <w:pPr>
        <w:pStyle w:val="ListParagraph"/>
        <w:numPr>
          <w:ilvl w:val="0"/>
          <w:numId w:val="3"/>
        </w:numPr>
        <w:spacing w:after="60"/>
      </w:pPr>
      <w:r>
        <w:rPr>
          <w:rFonts w:ascii="Times New Roman" w:cs="Times New Roman" w:eastAsia="Times New Roman" w:hAnsi="Times New Roman"/>
          <w:sz w:val="24"/>
          <w:szCs w:val="24"/>
        </w:rPr>
        <w:t xml:space="preserve">Enterprise Governance, Risk, and Compliance (GRC) deployment.</w:t>
      </w:r>
    </w:p>
    <w:p>
      <w:pPr>
        <w:pStyle w:val="ListParagraph"/>
        <w:numPr>
          <w:ilvl w:val="0"/>
          <w:numId w:val="3"/>
        </w:numPr>
        <w:spacing w:after="60"/>
      </w:pPr>
      <w:r>
        <w:rPr>
          <w:rFonts w:ascii="Times New Roman" w:cs="Times New Roman" w:eastAsia="Times New Roman" w:hAnsi="Times New Roman"/>
          <w:sz w:val="24"/>
          <w:szCs w:val="24"/>
        </w:rPr>
        <w:t xml:space="preserve">Legal compliance consulting.</w:t>
      </w:r>
    </w:p>
    <w:p>
      <w:pPr>
        <w:pStyle w:val="ListParagraph"/>
        <w:numPr>
          <w:ilvl w:val="0"/>
          <w:numId w:val="3"/>
        </w:numPr>
        <w:spacing w:after="60"/>
      </w:pPr>
      <w:r>
        <w:rPr>
          <w:rFonts w:ascii="Times New Roman" w:cs="Times New Roman" w:eastAsia="Times New Roman" w:hAnsi="Times New Roman"/>
          <w:sz w:val="24"/>
          <w:szCs w:val="24"/>
        </w:rPr>
        <w:t xml:space="preserve">Production compliance certification.</w:t>
      </w:r>
    </w:p>
    <w:p>
      <w:pPr>
        <w:pStyle w:val="ListParagraph"/>
        <w:numPr>
          <w:ilvl w:val="0"/>
          <w:numId w:val="3"/>
        </w:numPr>
        <w:spacing w:after="60"/>
      </w:pPr>
      <w:r>
        <w:rPr>
          <w:rFonts w:ascii="Times New Roman" w:cs="Times New Roman" w:eastAsia="Times New Roman" w:hAnsi="Times New Roman"/>
          <w:sz w:val="24"/>
          <w:szCs w:val="24"/>
        </w:rPr>
        <w:t xml:space="preserve">Commercial risk management platform implementation.</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Security Compliance and Risk Assessment Dashboard maps organizational security controls against frameworks including the NIST Cybersecurity Framework (CSF), CIS Controls, ISO/IEC 27001, and OWASP ASVS. Risk assessment methodologies including Risk Matrix Models, Qualitative Risk Assessment, and Asset-Based Risk Analysis are implemented as structured assessment workflows.</w:t>
      </w:r>
    </w:p>
    <w:p>
      <w:pPr>
        <w:spacing w:after="120"/>
      </w:pPr>
      <w:r>
        <w:rPr>
          <w:rFonts w:ascii="Times New Roman" w:cs="Times New Roman" w:eastAsia="Times New Roman" w:hAnsi="Times New Roman"/>
          <w:sz w:val="24"/>
          <w:szCs w:val="24"/>
        </w:rPr>
        <w:t xml:space="preserve">Python scripts automate compliance checklist processing, risk scoring calculations, and gap identification. A Flask or Django backend stores assessment results, risk registers, and compliance records in a PostgreSQL or MySQL database. Pandas and NumPy process historical assessment data for trend analysis.</w:t>
      </w:r>
    </w:p>
    <w:p>
      <w:pPr>
        <w:spacing w:after="120"/>
      </w:pPr>
      <w:r>
        <w:rPr>
          <w:rFonts w:ascii="Times New Roman" w:cs="Times New Roman" w:eastAsia="Times New Roman" w:hAnsi="Times New Roman"/>
          <w:sz w:val="24"/>
          <w:szCs w:val="24"/>
        </w:rPr>
        <w:t xml:space="preserve">Grafana, Kibana, Streamlit, and Plotly dashboards visualize compliance scores, risk heat maps, control effectiveness ratings, and KPI metrics. Jupyter Notebook and PDF report generators produce structured compliance and risk assessment reports. Google Forms capture assessment inputs, while Google Sheets and Drive support collaborative compliance documentation and management.</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Compliance Frameworks</w:t>
      </w:r>
    </w:p>
    <w:p>
      <w:pPr>
        <w:pStyle w:val="ListParagraph"/>
        <w:numPr>
          <w:ilvl w:val="0"/>
          <w:numId w:val="4"/>
        </w:numPr>
        <w:spacing w:after="60"/>
      </w:pPr>
      <w:r>
        <w:rPr>
          <w:rFonts w:ascii="Times New Roman" w:cs="Times New Roman" w:eastAsia="Times New Roman" w:hAnsi="Times New Roman"/>
          <w:sz w:val="24"/>
          <w:szCs w:val="24"/>
        </w:rPr>
        <w:t xml:space="preserve">NIST Cybersecurity Framework (CSF)</w:t>
      </w:r>
    </w:p>
    <w:p>
      <w:pPr>
        <w:pStyle w:val="ListParagraph"/>
        <w:numPr>
          <w:ilvl w:val="0"/>
          <w:numId w:val="4"/>
        </w:numPr>
        <w:spacing w:after="60"/>
      </w:pPr>
      <w:r>
        <w:rPr>
          <w:rFonts w:ascii="Times New Roman" w:cs="Times New Roman" w:eastAsia="Times New Roman" w:hAnsi="Times New Roman"/>
          <w:sz w:val="24"/>
          <w:szCs w:val="24"/>
        </w:rPr>
        <w:t xml:space="preserve">CIS Controls</w:t>
      </w:r>
    </w:p>
    <w:p>
      <w:pPr>
        <w:pStyle w:val="ListParagraph"/>
        <w:numPr>
          <w:ilvl w:val="0"/>
          <w:numId w:val="4"/>
        </w:numPr>
        <w:spacing w:after="60"/>
      </w:pPr>
      <w:r>
        <w:rPr>
          <w:rFonts w:ascii="Times New Roman" w:cs="Times New Roman" w:eastAsia="Times New Roman" w:hAnsi="Times New Roman"/>
          <w:sz w:val="24"/>
          <w:szCs w:val="24"/>
        </w:rPr>
        <w:t xml:space="preserve">ISO/IEC 27001 (Conceptual Reference)</w:t>
      </w:r>
    </w:p>
    <w:p>
      <w:pPr>
        <w:pStyle w:val="ListParagraph"/>
        <w:numPr>
          <w:ilvl w:val="0"/>
          <w:numId w:val="4"/>
        </w:numPr>
        <w:spacing w:after="60"/>
      </w:pPr>
      <w:r>
        <w:rPr>
          <w:rFonts w:ascii="Times New Roman" w:cs="Times New Roman" w:eastAsia="Times New Roman" w:hAnsi="Times New Roman"/>
          <w:sz w:val="24"/>
          <w:szCs w:val="24"/>
        </w:rPr>
        <w:t xml:space="preserve">OWASP ASVS</w:t>
      </w:r>
    </w:p>
    <w:p>
      <w:pPr>
        <w:spacing w:after="80" w:before="180"/>
      </w:pPr>
      <w:r>
        <w:rPr>
          <w:rFonts w:ascii="Times New Roman" w:cs="Times New Roman" w:eastAsia="Times New Roman" w:hAnsi="Times New Roman"/>
          <w:b/>
          <w:bCs/>
          <w:sz w:val="24"/>
          <w:szCs w:val="24"/>
        </w:rPr>
        <w:t xml:space="preserve">Risk Assessment Methodologies</w:t>
      </w:r>
    </w:p>
    <w:p>
      <w:pPr>
        <w:pStyle w:val="ListParagraph"/>
        <w:numPr>
          <w:ilvl w:val="0"/>
          <w:numId w:val="5"/>
        </w:numPr>
        <w:spacing w:after="60"/>
      </w:pPr>
      <w:r>
        <w:rPr>
          <w:rFonts w:ascii="Times New Roman" w:cs="Times New Roman" w:eastAsia="Times New Roman" w:hAnsi="Times New Roman"/>
          <w:sz w:val="24"/>
          <w:szCs w:val="24"/>
        </w:rPr>
        <w:t xml:space="preserve">Risk Matrix Models</w:t>
      </w:r>
    </w:p>
    <w:p>
      <w:pPr>
        <w:pStyle w:val="ListParagraph"/>
        <w:numPr>
          <w:ilvl w:val="0"/>
          <w:numId w:val="5"/>
        </w:numPr>
        <w:spacing w:after="60"/>
      </w:pPr>
      <w:r>
        <w:rPr>
          <w:rFonts w:ascii="Times New Roman" w:cs="Times New Roman" w:eastAsia="Times New Roman" w:hAnsi="Times New Roman"/>
          <w:sz w:val="24"/>
          <w:szCs w:val="24"/>
        </w:rPr>
        <w:t xml:space="preserve">Qualitative Risk Assessment</w:t>
      </w:r>
    </w:p>
    <w:p>
      <w:pPr>
        <w:pStyle w:val="ListParagraph"/>
        <w:numPr>
          <w:ilvl w:val="0"/>
          <w:numId w:val="5"/>
        </w:numPr>
        <w:spacing w:after="60"/>
      </w:pPr>
      <w:r>
        <w:rPr>
          <w:rFonts w:ascii="Times New Roman" w:cs="Times New Roman" w:eastAsia="Times New Roman" w:hAnsi="Times New Roman"/>
          <w:sz w:val="24"/>
          <w:szCs w:val="24"/>
        </w:rPr>
        <w:t xml:space="preserve">Asset-Based Risk Analysis</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JavaScript</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7"/>
        </w:numPr>
        <w:spacing w:after="60"/>
      </w:pPr>
      <w:r>
        <w:rPr>
          <w:rFonts w:ascii="Times New Roman" w:cs="Times New Roman" w:eastAsia="Times New Roman" w:hAnsi="Times New Roman"/>
          <w:sz w:val="24"/>
          <w:szCs w:val="24"/>
        </w:rPr>
        <w:t xml:space="preserve">Flask</w:t>
      </w:r>
    </w:p>
    <w:p>
      <w:pPr>
        <w:pStyle w:val="ListParagraph"/>
        <w:numPr>
          <w:ilvl w:val="0"/>
          <w:numId w:val="7"/>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8"/>
        </w:numPr>
        <w:spacing w:after="60"/>
      </w:pPr>
      <w:r>
        <w:rPr>
          <w:rFonts w:ascii="Times New Roman" w:cs="Times New Roman" w:eastAsia="Times New Roman" w:hAnsi="Times New Roman"/>
          <w:sz w:val="24"/>
          <w:szCs w:val="24"/>
        </w:rPr>
        <w:t xml:space="preserve">PostgreSQL</w:t>
      </w:r>
    </w:p>
    <w:p>
      <w:pPr>
        <w:pStyle w:val="ListParagraph"/>
        <w:numPr>
          <w:ilvl w:val="0"/>
          <w:numId w:val="8"/>
        </w:numPr>
        <w:spacing w:after="60"/>
      </w:pPr>
      <w:r>
        <w:rPr>
          <w:rFonts w:ascii="Times New Roman" w:cs="Times New Roman" w:eastAsia="Times New Roman" w:hAnsi="Times New Roman"/>
          <w:sz w:val="24"/>
          <w:szCs w:val="24"/>
        </w:rPr>
        <w:t xml:space="preserve">MySQL</w:t>
      </w:r>
    </w:p>
    <w:p>
      <w:pPr>
        <w:pStyle w:val="ListParagraph"/>
        <w:numPr>
          <w:ilvl w:val="0"/>
          <w:numId w:val="8"/>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9"/>
        </w:numPr>
        <w:spacing w:after="60"/>
      </w:pPr>
      <w:r>
        <w:rPr>
          <w:rFonts w:ascii="Times New Roman" w:cs="Times New Roman" w:eastAsia="Times New Roman" w:hAnsi="Times New Roman"/>
          <w:sz w:val="24"/>
          <w:szCs w:val="24"/>
        </w:rPr>
        <w:t xml:space="preserve">Pandas</w:t>
      </w:r>
    </w:p>
    <w:p>
      <w:pPr>
        <w:pStyle w:val="ListParagraph"/>
        <w:numPr>
          <w:ilvl w:val="0"/>
          <w:numId w:val="9"/>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0"/>
        </w:numPr>
        <w:spacing w:after="60"/>
      </w:pPr>
      <w:r>
        <w:rPr>
          <w:rFonts w:ascii="Times New Roman" w:cs="Times New Roman" w:eastAsia="Times New Roman" w:hAnsi="Times New Roman"/>
          <w:sz w:val="24"/>
          <w:szCs w:val="24"/>
        </w:rPr>
        <w:t xml:space="preserve">Grafana</w:t>
      </w:r>
    </w:p>
    <w:p>
      <w:pPr>
        <w:pStyle w:val="ListParagraph"/>
        <w:numPr>
          <w:ilvl w:val="0"/>
          <w:numId w:val="10"/>
        </w:numPr>
        <w:spacing w:after="60"/>
      </w:pPr>
      <w:r>
        <w:rPr>
          <w:rFonts w:ascii="Times New Roman" w:cs="Times New Roman" w:eastAsia="Times New Roman" w:hAnsi="Times New Roman"/>
          <w:sz w:val="24"/>
          <w:szCs w:val="24"/>
        </w:rPr>
        <w:t xml:space="preserve">Kibana</w:t>
      </w:r>
    </w:p>
    <w:p>
      <w:pPr>
        <w:pStyle w:val="ListParagraph"/>
        <w:numPr>
          <w:ilvl w:val="0"/>
          <w:numId w:val="10"/>
        </w:numPr>
        <w:spacing w:after="60"/>
      </w:pPr>
      <w:r>
        <w:rPr>
          <w:rFonts w:ascii="Times New Roman" w:cs="Times New Roman" w:eastAsia="Times New Roman" w:hAnsi="Times New Roman"/>
          <w:sz w:val="24"/>
          <w:szCs w:val="24"/>
        </w:rPr>
        <w:t xml:space="preserve">Streamlit</w:t>
      </w:r>
    </w:p>
    <w:p>
      <w:pPr>
        <w:pStyle w:val="ListParagraph"/>
        <w:numPr>
          <w:ilvl w:val="0"/>
          <w:numId w:val="10"/>
        </w:numPr>
        <w:spacing w:after="60"/>
      </w:pPr>
      <w:r>
        <w:rPr>
          <w:rFonts w:ascii="Times New Roman" w:cs="Times New Roman" w:eastAsia="Times New Roman" w:hAnsi="Times New Roman"/>
          <w:sz w:val="24"/>
          <w:szCs w:val="24"/>
        </w:rPr>
        <w:t xml:space="preserve">Plotly</w:t>
      </w:r>
    </w:p>
    <w:p>
      <w:pPr>
        <w:spacing w:after="80" w:before="180"/>
      </w:pPr>
      <w:r>
        <w:rPr>
          <w:rFonts w:ascii="Times New Roman" w:cs="Times New Roman" w:eastAsia="Times New Roman" w:hAnsi="Times New Roman"/>
          <w:b/>
          <w:bCs/>
          <w:sz w:val="24"/>
          <w:szCs w:val="24"/>
        </w:rPr>
        <w:t xml:space="preserve">Reporting Tools</w:t>
      </w:r>
    </w:p>
    <w:p>
      <w:pPr>
        <w:pStyle w:val="ListParagraph"/>
        <w:numPr>
          <w:ilvl w:val="0"/>
          <w:numId w:val="11"/>
        </w:numPr>
        <w:spacing w:after="60"/>
      </w:pPr>
      <w:r>
        <w:rPr>
          <w:rFonts w:ascii="Times New Roman" w:cs="Times New Roman" w:eastAsia="Times New Roman" w:hAnsi="Times New Roman"/>
          <w:sz w:val="24"/>
          <w:szCs w:val="24"/>
        </w:rPr>
        <w:t xml:space="preserve">Jupyter Notebook</w:t>
      </w:r>
    </w:p>
    <w:p>
      <w:pPr>
        <w:pStyle w:val="ListParagraph"/>
        <w:numPr>
          <w:ilvl w:val="0"/>
          <w:numId w:val="11"/>
        </w:numPr>
        <w:spacing w:after="60"/>
      </w:pPr>
      <w:r>
        <w:rPr>
          <w:rFonts w:ascii="Times New Roman" w:cs="Times New Roman" w:eastAsia="Times New Roman" w:hAnsi="Times New Roman"/>
          <w:sz w:val="24"/>
          <w:szCs w:val="24"/>
        </w:rPr>
        <w:t xml:space="preserve">PDF Report Generation</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Security Assessment Reports</w:t>
      </w:r>
    </w:p>
    <w:p>
      <w:pPr>
        <w:pStyle w:val="ListParagraph"/>
        <w:numPr>
          <w:ilvl w:val="0"/>
          <w:numId w:val="15"/>
        </w:numPr>
        <w:spacing w:after="60"/>
      </w:pPr>
      <w:r>
        <w:rPr>
          <w:rFonts w:ascii="Times New Roman" w:cs="Times New Roman" w:eastAsia="Times New Roman" w:hAnsi="Times New Roman"/>
          <w:sz w:val="24"/>
          <w:szCs w:val="24"/>
        </w:rPr>
        <w:t xml:space="preserve">Compliance Checklists</w:t>
      </w:r>
    </w:p>
    <w:p>
      <w:pPr>
        <w:pStyle w:val="ListParagraph"/>
        <w:numPr>
          <w:ilvl w:val="0"/>
          <w:numId w:val="15"/>
        </w:numPr>
        <w:spacing w:after="60"/>
      </w:pPr>
      <w:r>
        <w:rPr>
          <w:rFonts w:ascii="Times New Roman" w:cs="Times New Roman" w:eastAsia="Times New Roman" w:hAnsi="Times New Roman"/>
          <w:sz w:val="24"/>
          <w:szCs w:val="24"/>
        </w:rPr>
        <w:t xml:space="preserve">Security Audit Records</w:t>
      </w:r>
    </w:p>
    <w:p>
      <w:pPr>
        <w:pStyle w:val="ListParagraph"/>
        <w:numPr>
          <w:ilvl w:val="0"/>
          <w:numId w:val="15"/>
        </w:numPr>
        <w:spacing w:after="60"/>
      </w:pPr>
      <w:r>
        <w:rPr>
          <w:rFonts w:ascii="Times New Roman" w:cs="Times New Roman" w:eastAsia="Times New Roman" w:hAnsi="Times New Roman"/>
          <w:sz w:val="24"/>
          <w:szCs w:val="24"/>
        </w:rPr>
        <w:t xml:space="preserve">Vulnerability Assessment Reports</w:t>
      </w:r>
    </w:p>
    <w:p>
      <w:pPr>
        <w:pStyle w:val="ListParagraph"/>
        <w:numPr>
          <w:ilvl w:val="0"/>
          <w:numId w:val="15"/>
        </w:numPr>
        <w:spacing w:after="60"/>
      </w:pPr>
      <w:r>
        <w:rPr>
          <w:rFonts w:ascii="Times New Roman" w:cs="Times New Roman" w:eastAsia="Times New Roman" w:hAnsi="Times New Roman"/>
          <w:sz w:val="24"/>
          <w:szCs w:val="24"/>
        </w:rPr>
        <w:t xml:space="preserve">Risk Registers</w:t>
      </w:r>
    </w:p>
    <w:p>
      <w:pPr>
        <w:pStyle w:val="ListParagraph"/>
        <w:numPr>
          <w:ilvl w:val="0"/>
          <w:numId w:val="15"/>
        </w:numPr>
        <w:spacing w:after="60"/>
      </w:pPr>
      <w:r>
        <w:rPr>
          <w:rFonts w:ascii="Times New Roman" w:cs="Times New Roman" w:eastAsia="Times New Roman" w:hAnsi="Times New Roman"/>
          <w:sz w:val="24"/>
          <w:szCs w:val="24"/>
        </w:rPr>
        <w:t xml:space="preserve">Security Control Inventories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Security compliance monitoring prototype.</w:t>
      </w:r>
    </w:p>
    <w:p>
      <w:pPr>
        <w:pStyle w:val="ListParagraph"/>
        <w:numPr>
          <w:ilvl w:val="0"/>
          <w:numId w:val="16"/>
        </w:numPr>
        <w:spacing w:after="60"/>
      </w:pPr>
      <w:r>
        <w:rPr>
          <w:rFonts w:ascii="Times New Roman" w:cs="Times New Roman" w:eastAsia="Times New Roman" w:hAnsi="Times New Roman"/>
          <w:sz w:val="24"/>
          <w:szCs w:val="24"/>
        </w:rPr>
        <w:t xml:space="preserve">Risk assessment and scoring system.</w:t>
      </w:r>
    </w:p>
    <w:p>
      <w:pPr>
        <w:pStyle w:val="ListParagraph"/>
        <w:numPr>
          <w:ilvl w:val="0"/>
          <w:numId w:val="16"/>
        </w:numPr>
        <w:spacing w:after="60"/>
      </w:pPr>
      <w:r>
        <w:rPr>
          <w:rFonts w:ascii="Times New Roman" w:cs="Times New Roman" w:eastAsia="Times New Roman" w:hAnsi="Times New Roman"/>
          <w:sz w:val="24"/>
          <w:szCs w:val="24"/>
        </w:rPr>
        <w:t xml:space="preserve">Compliance tracking dashboard.</w:t>
      </w:r>
    </w:p>
    <w:p>
      <w:pPr>
        <w:pStyle w:val="ListParagraph"/>
        <w:numPr>
          <w:ilvl w:val="0"/>
          <w:numId w:val="16"/>
        </w:numPr>
        <w:spacing w:after="60"/>
      </w:pPr>
      <w:r>
        <w:rPr>
          <w:rFonts w:ascii="Times New Roman" w:cs="Times New Roman" w:eastAsia="Times New Roman" w:hAnsi="Times New Roman"/>
          <w:sz w:val="24"/>
          <w:szCs w:val="24"/>
        </w:rPr>
        <w:t xml:space="preserve">Security posture visualization platform.</w:t>
      </w:r>
    </w:p>
    <w:p>
      <w:pPr>
        <w:pStyle w:val="ListParagraph"/>
        <w:numPr>
          <w:ilvl w:val="0"/>
          <w:numId w:val="16"/>
        </w:numPr>
        <w:spacing w:after="60"/>
      </w:pPr>
      <w:r>
        <w:rPr>
          <w:rFonts w:ascii="Times New Roman" w:cs="Times New Roman" w:eastAsia="Times New Roman" w:hAnsi="Times New Roman"/>
          <w:sz w:val="24"/>
          <w:szCs w:val="24"/>
        </w:rPr>
        <w:t xml:space="preserve">Risk analytics and reporting module.</w:t>
      </w:r>
    </w:p>
    <w:p>
      <w:pPr>
        <w:pStyle w:val="ListParagraph"/>
        <w:numPr>
          <w:ilvl w:val="0"/>
          <w:numId w:val="16"/>
        </w:numPr>
        <w:spacing w:after="60"/>
      </w:pPr>
      <w:r>
        <w:rPr>
          <w:rFonts w:ascii="Times New Roman" w:cs="Times New Roman" w:eastAsia="Times New Roman" w:hAnsi="Times New Roman"/>
          <w:sz w:val="24"/>
          <w:szCs w:val="24"/>
        </w:rPr>
        <w:t xml:space="preserve">Compliance gap identification reports.</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cybersecurity governance and compliance principles.</w:t>
      </w:r>
    </w:p>
    <w:p>
      <w:pPr>
        <w:pStyle w:val="ListParagraph"/>
        <w:numPr>
          <w:ilvl w:val="0"/>
          <w:numId w:val="17"/>
        </w:numPr>
        <w:spacing w:after="60"/>
      </w:pPr>
      <w:r>
        <w:rPr>
          <w:rFonts w:ascii="Times New Roman" w:cs="Times New Roman" w:eastAsia="Times New Roman" w:hAnsi="Times New Roman"/>
          <w:sz w:val="24"/>
          <w:szCs w:val="24"/>
        </w:rPr>
        <w:t xml:space="preserve">Experience with risk assessment methodologies.</w:t>
      </w:r>
    </w:p>
    <w:p>
      <w:pPr>
        <w:pStyle w:val="ListParagraph"/>
        <w:numPr>
          <w:ilvl w:val="0"/>
          <w:numId w:val="17"/>
        </w:numPr>
        <w:spacing w:after="60"/>
      </w:pPr>
      <w:r>
        <w:rPr>
          <w:rFonts w:ascii="Times New Roman" w:cs="Times New Roman" w:eastAsia="Times New Roman" w:hAnsi="Times New Roman"/>
          <w:sz w:val="24"/>
          <w:szCs w:val="24"/>
        </w:rPr>
        <w:t xml:space="preserve">Knowledge of security standards and compliance frameworks.</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security posture evaluation techniques.</w:t>
      </w:r>
    </w:p>
    <w:p>
      <w:pPr>
        <w:pStyle w:val="ListParagraph"/>
        <w:numPr>
          <w:ilvl w:val="0"/>
          <w:numId w:val="17"/>
        </w:numPr>
        <w:spacing w:after="60"/>
      </w:pPr>
      <w:r>
        <w:rPr>
          <w:rFonts w:ascii="Times New Roman" w:cs="Times New Roman" w:eastAsia="Times New Roman" w:hAnsi="Times New Roman"/>
          <w:sz w:val="24"/>
          <w:szCs w:val="24"/>
        </w:rPr>
        <w:t xml:space="preserve">Skills in risk visualization and compliance reporting.</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manage cybersecurity risks and maintain compliance with security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2026-06-17T07:59:07.182Z</dcterms:created>
  <dcterms:modified xsi:type="dcterms:W3CDTF">2026-06-17T07:59:07.182Z</dcterms:modified>
</cp:coreProperties>
</file>

<file path=docProps/custom.xml><?xml version="1.0" encoding="utf-8"?>
<Properties xmlns="http://schemas.openxmlformats.org/officeDocument/2006/custom-properties" xmlns:vt="http://schemas.openxmlformats.org/officeDocument/2006/docPropsVTypes"/>
</file>