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8</w:t>
      </w:r>
    </w:p>
    <w:p>
      <w:pPr>
        <w:spacing w:after="400" w:before="0"/>
        <w:jc w:val="center"/>
      </w:pPr>
      <w:r>
        <w:rPr>
          <w:rFonts w:ascii="Times New Roman" w:cs="Times New Roman" w:eastAsia="Times New Roman" w:hAnsi="Times New Roman"/>
          <w:b/>
          <w:bCs/>
          <w:color w:val="000000"/>
          <w:sz w:val="28"/>
          <w:szCs w:val="28"/>
        </w:rPr>
        <w:t xml:space="preserve">THREAT INTELLIGENCE AGGREGATION AND ANALYSIS PORTAL</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Cyber threats continue to evolve rapidly, with attackers constantly developing new techniques, malware variants, phishing campaigns, and exploitation methods. Organizations must stay informed about emerging threats to proactively defend their systems and reduce security risks. Threat Intelligence plays a critical role in modern cybersecurity by collecting, analyzing, and sharing information about known and emerging cyber threats.</w:t>
      </w:r>
    </w:p>
    <w:p>
      <w:pPr>
        <w:spacing w:after="120"/>
      </w:pPr>
      <w:r>
        <w:rPr>
          <w:rFonts w:ascii="Times New Roman" w:cs="Times New Roman" w:eastAsia="Times New Roman" w:hAnsi="Times New Roman"/>
          <w:sz w:val="24"/>
          <w:szCs w:val="24"/>
        </w:rPr>
        <w:t xml:space="preserve">Security teams often rely on multiple threat intelligence sources, including Indicators of Compromise (IOCs), vulnerability databases, malware reports, IP reputation services, and threat feeds. However, managing information from multiple sources can be challenging due to data fragmentation, varying formats, and the large volume of threat information available.</w:t>
      </w:r>
    </w:p>
    <w:p>
      <w:pPr>
        <w:spacing w:after="120"/>
      </w:pPr>
      <w:r>
        <w:rPr>
          <w:rFonts w:ascii="Times New Roman" w:cs="Times New Roman" w:eastAsia="Times New Roman" w:hAnsi="Times New Roman"/>
          <w:sz w:val="24"/>
          <w:szCs w:val="24"/>
        </w:rPr>
        <w:t xml:space="preserve">This project focuses on developing a Threat Intelligence Aggregation and Analysis Portal that collects threat intelligence data from multiple sources, centralizes threat information, and provides actionable insights through visualization and analysis tools.</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receive threat intelligence data from numerous public and private sources, making it difficult for security analysts to efficiently consolidate, analyze, and prioritize relevant threat information. The lack of centralized visibility can delay threat identification and reduce the effectiveness of cybersecurity operations.</w:t>
      </w:r>
    </w:p>
    <w:p>
      <w:pPr>
        <w:spacing w:after="120"/>
      </w:pPr>
      <w:r>
        <w:rPr>
          <w:rFonts w:ascii="Times New Roman" w:cs="Times New Roman" w:eastAsia="Times New Roman" w:hAnsi="Times New Roman"/>
          <w:sz w:val="24"/>
          <w:szCs w:val="24"/>
        </w:rPr>
        <w:t xml:space="preserve">There is a need for a centralized threat intelligence platform capable of aggregating threat data, analyzing indicators of compromise, visualizing threat trends, and supporting informed cybersecurity decision-making.</w:t>
      </w:r>
    </w:p>
    <w:p>
      <w:pPr>
        <w:spacing w:after="120"/>
      </w:pPr>
      <w:r>
        <w:rPr>
          <w:rFonts w:ascii="Times New Roman" w:cs="Times New Roman" w:eastAsia="Times New Roman" w:hAnsi="Times New Roman"/>
          <w:sz w:val="24"/>
          <w:szCs w:val="24"/>
        </w:rPr>
        <w:t xml:space="preserve">How can a Threat Intelligence Aggregation and Analysis Portal be developed to collect, organize, and analyze cyber threat information while improving situational awareness and threat intelligence capabilities?</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Threat intelligence feed aggregation.</w:t>
      </w:r>
    </w:p>
    <w:p>
      <w:pPr>
        <w:pStyle w:val="ListParagraph"/>
        <w:numPr>
          <w:ilvl w:val="0"/>
          <w:numId w:val="2"/>
        </w:numPr>
        <w:spacing w:after="60"/>
      </w:pPr>
      <w:r>
        <w:rPr>
          <w:rFonts w:ascii="Times New Roman" w:cs="Times New Roman" w:eastAsia="Times New Roman" w:hAnsi="Times New Roman"/>
          <w:sz w:val="24"/>
          <w:szCs w:val="24"/>
        </w:rPr>
        <w:t xml:space="preserve">Indicator of Compromise (IOC) management.</w:t>
      </w:r>
    </w:p>
    <w:p>
      <w:pPr>
        <w:pStyle w:val="ListParagraph"/>
        <w:numPr>
          <w:ilvl w:val="0"/>
          <w:numId w:val="2"/>
        </w:numPr>
        <w:spacing w:after="60"/>
      </w:pPr>
      <w:r>
        <w:rPr>
          <w:rFonts w:ascii="Times New Roman" w:cs="Times New Roman" w:eastAsia="Times New Roman" w:hAnsi="Times New Roman"/>
          <w:sz w:val="24"/>
          <w:szCs w:val="24"/>
        </w:rPr>
        <w:t xml:space="preserve">Threat data classification and categorization.</w:t>
      </w:r>
    </w:p>
    <w:p>
      <w:pPr>
        <w:pStyle w:val="ListParagraph"/>
        <w:numPr>
          <w:ilvl w:val="0"/>
          <w:numId w:val="2"/>
        </w:numPr>
        <w:spacing w:after="60"/>
      </w:pPr>
      <w:r>
        <w:rPr>
          <w:rFonts w:ascii="Times New Roman" w:cs="Times New Roman" w:eastAsia="Times New Roman" w:hAnsi="Times New Roman"/>
          <w:sz w:val="24"/>
          <w:szCs w:val="24"/>
        </w:rPr>
        <w:t xml:space="preserve">Threat trend visualization.</w:t>
      </w:r>
    </w:p>
    <w:p>
      <w:pPr>
        <w:pStyle w:val="ListParagraph"/>
        <w:numPr>
          <w:ilvl w:val="0"/>
          <w:numId w:val="2"/>
        </w:numPr>
        <w:spacing w:after="60"/>
      </w:pPr>
      <w:r>
        <w:rPr>
          <w:rFonts w:ascii="Times New Roman" w:cs="Times New Roman" w:eastAsia="Times New Roman" w:hAnsi="Times New Roman"/>
          <w:sz w:val="24"/>
          <w:szCs w:val="24"/>
        </w:rPr>
        <w:t xml:space="preserve">IP and domain reputation analysis.</w:t>
      </w:r>
    </w:p>
    <w:p>
      <w:pPr>
        <w:pStyle w:val="ListParagraph"/>
        <w:numPr>
          <w:ilvl w:val="0"/>
          <w:numId w:val="2"/>
        </w:numPr>
        <w:spacing w:after="60"/>
      </w:pPr>
      <w:r>
        <w:rPr>
          <w:rFonts w:ascii="Times New Roman" w:cs="Times New Roman" w:eastAsia="Times New Roman" w:hAnsi="Times New Roman"/>
          <w:sz w:val="24"/>
          <w:szCs w:val="24"/>
        </w:rPr>
        <w:t xml:space="preserve">Threat intelligence search and reporting.</w:t>
      </w:r>
    </w:p>
    <w:p>
      <w:pPr>
        <w:pStyle w:val="ListParagraph"/>
        <w:numPr>
          <w:ilvl w:val="0"/>
          <w:numId w:val="2"/>
        </w:numPr>
        <w:spacing w:after="60"/>
      </w:pPr>
      <w:r>
        <w:rPr>
          <w:rFonts w:ascii="Times New Roman" w:cs="Times New Roman" w:eastAsia="Times New Roman" w:hAnsi="Times New Roman"/>
          <w:sz w:val="24"/>
          <w:szCs w:val="24"/>
        </w:rPr>
        <w:t xml:space="preserve">Dashboard development for threat monitoring.</w:t>
      </w:r>
    </w:p>
    <w:p>
      <w:pPr>
        <w:pStyle w:val="ListParagraph"/>
        <w:numPr>
          <w:ilvl w:val="0"/>
          <w:numId w:val="2"/>
        </w:numPr>
        <w:spacing w:after="60"/>
      </w:pPr>
      <w:r>
        <w:rPr>
          <w:rFonts w:ascii="Times New Roman" w:cs="Times New Roman" w:eastAsia="Times New Roman" w:hAnsi="Times New Roman"/>
          <w:sz w:val="24"/>
          <w:szCs w:val="24"/>
        </w:rPr>
        <w:t xml:space="preserve">Security analytics and trend analysis.</w:t>
      </w:r>
    </w:p>
    <w:p>
      <w:pPr>
        <w:pStyle w:val="ListParagraph"/>
        <w:numPr>
          <w:ilvl w:val="0"/>
          <w:numId w:val="2"/>
        </w:numPr>
        <w:spacing w:after="60"/>
      </w:pPr>
      <w:r>
        <w:rPr>
          <w:rFonts w:ascii="Times New Roman" w:cs="Times New Roman" w:eastAsia="Times New Roman" w:hAnsi="Times New Roman"/>
          <w:sz w:val="24"/>
          <w:szCs w:val="24"/>
        </w:rPr>
        <w:t xml:space="preserve">Threat intelligence sharing support.</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Commercial threat intelligence platform deployment.</w:t>
      </w:r>
    </w:p>
    <w:p>
      <w:pPr>
        <w:pStyle w:val="ListParagraph"/>
        <w:numPr>
          <w:ilvl w:val="0"/>
          <w:numId w:val="3"/>
        </w:numPr>
        <w:spacing w:after="60"/>
      </w:pPr>
      <w:r>
        <w:rPr>
          <w:rFonts w:ascii="Times New Roman" w:cs="Times New Roman" w:eastAsia="Times New Roman" w:hAnsi="Times New Roman"/>
          <w:sz w:val="24"/>
          <w:szCs w:val="24"/>
        </w:rPr>
        <w:t xml:space="preserve">Active cyber threat hunting operations.</w:t>
      </w:r>
    </w:p>
    <w:p>
      <w:pPr>
        <w:pStyle w:val="ListParagraph"/>
        <w:numPr>
          <w:ilvl w:val="0"/>
          <w:numId w:val="3"/>
        </w:numPr>
        <w:spacing w:after="60"/>
      </w:pPr>
      <w:r>
        <w:rPr>
          <w:rFonts w:ascii="Times New Roman" w:cs="Times New Roman" w:eastAsia="Times New Roman" w:hAnsi="Times New Roman"/>
          <w:sz w:val="24"/>
          <w:szCs w:val="24"/>
        </w:rPr>
        <w:t xml:space="preserve">Offensive cybersecurity activities.</w:t>
      </w:r>
    </w:p>
    <w:p>
      <w:pPr>
        <w:pStyle w:val="ListParagraph"/>
        <w:numPr>
          <w:ilvl w:val="0"/>
          <w:numId w:val="3"/>
        </w:numPr>
        <w:spacing w:after="60"/>
      </w:pPr>
      <w:r>
        <w:rPr>
          <w:rFonts w:ascii="Times New Roman" w:cs="Times New Roman" w:eastAsia="Times New Roman" w:hAnsi="Times New Roman"/>
          <w:sz w:val="24"/>
          <w:szCs w:val="24"/>
        </w:rPr>
        <w:t xml:space="preserve">Malware development or analysis laboratories.</w:t>
      </w:r>
    </w:p>
    <w:p>
      <w:pPr>
        <w:pStyle w:val="ListParagraph"/>
        <w:numPr>
          <w:ilvl w:val="0"/>
          <w:numId w:val="3"/>
        </w:numPr>
        <w:spacing w:after="60"/>
      </w:pPr>
      <w:r>
        <w:rPr>
          <w:rFonts w:ascii="Times New Roman" w:cs="Times New Roman" w:eastAsia="Times New Roman" w:hAnsi="Times New Roman"/>
          <w:sz w:val="24"/>
          <w:szCs w:val="24"/>
        </w:rPr>
        <w:t xml:space="preserve">Government intelligence operations.</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Threat Intelligence Aggregation and Analysis Portal collects IOC data from AlienVault OTX, AbuseIPDB, VirusTotal Public API, OpenPhish, and URLHaus. MISP and OpenCTI serve as the core platforms for threat intelligence storage, correlation, and sharing, with STIX/TAXII standards enabling structured threat data exchange.</w:t>
      </w:r>
    </w:p>
    <w:p>
      <w:pPr>
        <w:spacing w:after="120"/>
      </w:pPr>
      <w:r>
        <w:rPr>
          <w:rFonts w:ascii="Times New Roman" w:cs="Times New Roman" w:eastAsia="Times New Roman" w:hAnsi="Times New Roman"/>
          <w:sz w:val="24"/>
          <w:szCs w:val="24"/>
        </w:rPr>
        <w:t xml:space="preserve">Python scripts automate feed ingestion, normalize IOC formats, and populate a PostgreSQL or MongoDB database. The MITRE ATT&amp;CK framework provides context for mapping threat actors, techniques, and tactics. REST APIs enable integration between the threat intelligence repository and the visualization layer.</w:t>
      </w:r>
    </w:p>
    <w:p>
      <w:pPr>
        <w:spacing w:after="120"/>
      </w:pPr>
      <w:r>
        <w:rPr>
          <w:rFonts w:ascii="Times New Roman" w:cs="Times New Roman" w:eastAsia="Times New Roman" w:hAnsi="Times New Roman"/>
          <w:sz w:val="24"/>
          <w:szCs w:val="24"/>
        </w:rPr>
        <w:t xml:space="preserve">Grafana, Kibana, and Streamlit dashboards provide interactive views of threat trends, IOC activity, malicious IP distributions, and domain reputation scores. Jupyter Notebooks support ad-hoc threat analysis and reporting. Google Workspace tools enable collaborative threat intelligence documentation and reporting.</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Threat Intelligence Sources</w:t>
      </w:r>
    </w:p>
    <w:p>
      <w:pPr>
        <w:pStyle w:val="ListParagraph"/>
        <w:numPr>
          <w:ilvl w:val="0"/>
          <w:numId w:val="4"/>
        </w:numPr>
        <w:spacing w:after="60"/>
      </w:pPr>
      <w:r>
        <w:rPr>
          <w:rFonts w:ascii="Times New Roman" w:cs="Times New Roman" w:eastAsia="Times New Roman" w:hAnsi="Times New Roman"/>
          <w:sz w:val="24"/>
          <w:szCs w:val="24"/>
        </w:rPr>
        <w:t xml:space="preserve">AlienVault OTX</w:t>
      </w:r>
    </w:p>
    <w:p>
      <w:pPr>
        <w:pStyle w:val="ListParagraph"/>
        <w:numPr>
          <w:ilvl w:val="0"/>
          <w:numId w:val="4"/>
        </w:numPr>
        <w:spacing w:after="60"/>
      </w:pPr>
      <w:r>
        <w:rPr>
          <w:rFonts w:ascii="Times New Roman" w:cs="Times New Roman" w:eastAsia="Times New Roman" w:hAnsi="Times New Roman"/>
          <w:sz w:val="24"/>
          <w:szCs w:val="24"/>
        </w:rPr>
        <w:t xml:space="preserve">AbuseIPDB</w:t>
      </w:r>
    </w:p>
    <w:p>
      <w:pPr>
        <w:pStyle w:val="ListParagraph"/>
        <w:numPr>
          <w:ilvl w:val="0"/>
          <w:numId w:val="4"/>
        </w:numPr>
        <w:spacing w:after="60"/>
      </w:pPr>
      <w:r>
        <w:rPr>
          <w:rFonts w:ascii="Times New Roman" w:cs="Times New Roman" w:eastAsia="Times New Roman" w:hAnsi="Times New Roman"/>
          <w:sz w:val="24"/>
          <w:szCs w:val="24"/>
        </w:rPr>
        <w:t xml:space="preserve">VirusTotal Public API</w:t>
      </w:r>
    </w:p>
    <w:p>
      <w:pPr>
        <w:pStyle w:val="ListParagraph"/>
        <w:numPr>
          <w:ilvl w:val="0"/>
          <w:numId w:val="4"/>
        </w:numPr>
        <w:spacing w:after="60"/>
      </w:pPr>
      <w:r>
        <w:rPr>
          <w:rFonts w:ascii="Times New Roman" w:cs="Times New Roman" w:eastAsia="Times New Roman" w:hAnsi="Times New Roman"/>
          <w:sz w:val="24"/>
          <w:szCs w:val="24"/>
        </w:rPr>
        <w:t xml:space="preserve">OpenPhish</w:t>
      </w:r>
    </w:p>
    <w:p>
      <w:pPr>
        <w:pStyle w:val="ListParagraph"/>
        <w:numPr>
          <w:ilvl w:val="0"/>
          <w:numId w:val="4"/>
        </w:numPr>
        <w:spacing w:after="60"/>
      </w:pPr>
      <w:r>
        <w:rPr>
          <w:rFonts w:ascii="Times New Roman" w:cs="Times New Roman" w:eastAsia="Times New Roman" w:hAnsi="Times New Roman"/>
          <w:sz w:val="24"/>
          <w:szCs w:val="24"/>
        </w:rPr>
        <w:t xml:space="preserve">URLHaus</w:t>
      </w:r>
    </w:p>
    <w:p>
      <w:pPr>
        <w:spacing w:after="80" w:before="180"/>
      </w:pPr>
      <w:r>
        <w:rPr>
          <w:rFonts w:ascii="Times New Roman" w:cs="Times New Roman" w:eastAsia="Times New Roman" w:hAnsi="Times New Roman"/>
          <w:b/>
          <w:bCs/>
          <w:sz w:val="24"/>
          <w:szCs w:val="24"/>
        </w:rPr>
        <w:t xml:space="preserve">Threat Intelligence Platforms</w:t>
      </w:r>
    </w:p>
    <w:p>
      <w:pPr>
        <w:pStyle w:val="ListParagraph"/>
        <w:numPr>
          <w:ilvl w:val="0"/>
          <w:numId w:val="5"/>
        </w:numPr>
        <w:spacing w:after="60"/>
      </w:pPr>
      <w:r>
        <w:rPr>
          <w:rFonts w:ascii="Times New Roman" w:cs="Times New Roman" w:eastAsia="Times New Roman" w:hAnsi="Times New Roman"/>
          <w:sz w:val="24"/>
          <w:szCs w:val="24"/>
        </w:rPr>
        <w:t xml:space="preserve">MISP (Malware Information Sharing Platform)</w:t>
      </w:r>
    </w:p>
    <w:p>
      <w:pPr>
        <w:pStyle w:val="ListParagraph"/>
        <w:numPr>
          <w:ilvl w:val="0"/>
          <w:numId w:val="5"/>
        </w:numPr>
        <w:spacing w:after="60"/>
      </w:pPr>
      <w:r>
        <w:rPr>
          <w:rFonts w:ascii="Times New Roman" w:cs="Times New Roman" w:eastAsia="Times New Roman" w:hAnsi="Times New Roman"/>
          <w:sz w:val="24"/>
          <w:szCs w:val="24"/>
        </w:rPr>
        <w:t xml:space="preserve">OpenCTI</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6"/>
        </w:numPr>
        <w:spacing w:after="60"/>
      </w:pPr>
      <w:r>
        <w:rPr>
          <w:rFonts w:ascii="Times New Roman" w:cs="Times New Roman" w:eastAsia="Times New Roman" w:hAnsi="Times New Roman"/>
          <w:sz w:val="24"/>
          <w:szCs w:val="24"/>
        </w:rPr>
        <w:t xml:space="preserve">Python</w:t>
      </w:r>
    </w:p>
    <w:p>
      <w:pPr>
        <w:pStyle w:val="ListParagraph"/>
        <w:numPr>
          <w:ilvl w:val="0"/>
          <w:numId w:val="6"/>
        </w:numPr>
        <w:spacing w:after="60"/>
      </w:pPr>
      <w:r>
        <w:rPr>
          <w:rFonts w:ascii="Times New Roman" w:cs="Times New Roman" w:eastAsia="Times New Roman" w:hAnsi="Times New Roman"/>
          <w:sz w:val="24"/>
          <w:szCs w:val="24"/>
        </w:rPr>
        <w:t xml:space="preserve">JavaScript</w:t>
      </w:r>
    </w:p>
    <w:p>
      <w:pPr>
        <w:spacing w:after="80" w:before="180"/>
      </w:pPr>
      <w:r>
        <w:rPr>
          <w:rFonts w:ascii="Times New Roman" w:cs="Times New Roman" w:eastAsia="Times New Roman" w:hAnsi="Times New Roman"/>
          <w:b/>
          <w:bCs/>
          <w:sz w:val="24"/>
          <w:szCs w:val="24"/>
        </w:rPr>
        <w:t xml:space="preserve">Data Analytics</w:t>
      </w:r>
    </w:p>
    <w:p>
      <w:pPr>
        <w:pStyle w:val="ListParagraph"/>
        <w:numPr>
          <w:ilvl w:val="0"/>
          <w:numId w:val="7"/>
        </w:numPr>
        <w:spacing w:after="60"/>
      </w:pPr>
      <w:r>
        <w:rPr>
          <w:rFonts w:ascii="Times New Roman" w:cs="Times New Roman" w:eastAsia="Times New Roman" w:hAnsi="Times New Roman"/>
          <w:sz w:val="24"/>
          <w:szCs w:val="24"/>
        </w:rPr>
        <w:t xml:space="preserve">Pandas</w:t>
      </w:r>
    </w:p>
    <w:p>
      <w:pPr>
        <w:pStyle w:val="ListParagraph"/>
        <w:numPr>
          <w:ilvl w:val="0"/>
          <w:numId w:val="7"/>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Threat Intelligence Frameworks</w:t>
      </w:r>
    </w:p>
    <w:p>
      <w:pPr>
        <w:pStyle w:val="ListParagraph"/>
        <w:numPr>
          <w:ilvl w:val="0"/>
          <w:numId w:val="8"/>
        </w:numPr>
        <w:spacing w:after="60"/>
      </w:pPr>
      <w:r>
        <w:rPr>
          <w:rFonts w:ascii="Times New Roman" w:cs="Times New Roman" w:eastAsia="Times New Roman" w:hAnsi="Times New Roman"/>
          <w:sz w:val="24"/>
          <w:szCs w:val="24"/>
        </w:rPr>
        <w:t xml:space="preserve">MITRE ATT&amp;CK</w:t>
      </w:r>
    </w:p>
    <w:p>
      <w:pPr>
        <w:pStyle w:val="ListParagraph"/>
        <w:numPr>
          <w:ilvl w:val="0"/>
          <w:numId w:val="8"/>
        </w:numPr>
        <w:spacing w:after="60"/>
      </w:pPr>
      <w:r>
        <w:rPr>
          <w:rFonts w:ascii="Times New Roman" w:cs="Times New Roman" w:eastAsia="Times New Roman" w:hAnsi="Times New Roman"/>
          <w:sz w:val="24"/>
          <w:szCs w:val="24"/>
        </w:rPr>
        <w:t xml:space="preserve">STIX/TAXII</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9"/>
        </w:numPr>
        <w:spacing w:after="60"/>
      </w:pPr>
      <w:r>
        <w:rPr>
          <w:rFonts w:ascii="Times New Roman" w:cs="Times New Roman" w:eastAsia="Times New Roman" w:hAnsi="Times New Roman"/>
          <w:sz w:val="24"/>
          <w:szCs w:val="24"/>
        </w:rPr>
        <w:t xml:space="preserve">Grafana</w:t>
      </w:r>
    </w:p>
    <w:p>
      <w:pPr>
        <w:pStyle w:val="ListParagraph"/>
        <w:numPr>
          <w:ilvl w:val="0"/>
          <w:numId w:val="9"/>
        </w:numPr>
        <w:spacing w:after="60"/>
      </w:pPr>
      <w:r>
        <w:rPr>
          <w:rFonts w:ascii="Times New Roman" w:cs="Times New Roman" w:eastAsia="Times New Roman" w:hAnsi="Times New Roman"/>
          <w:sz w:val="24"/>
          <w:szCs w:val="24"/>
        </w:rPr>
        <w:t xml:space="preserve">Kibana</w:t>
      </w:r>
    </w:p>
    <w:p>
      <w:pPr>
        <w:pStyle w:val="ListParagraph"/>
        <w:numPr>
          <w:ilvl w:val="0"/>
          <w:numId w:val="9"/>
        </w:numPr>
        <w:spacing w:after="60"/>
      </w:pPr>
      <w:r>
        <w:rPr>
          <w:rFonts w:ascii="Times New Roman" w:cs="Times New Roman" w:eastAsia="Times New Roman" w:hAnsi="Times New Roman"/>
          <w:sz w:val="24"/>
          <w:szCs w:val="24"/>
        </w:rPr>
        <w:t xml:space="preserve">Streamlit</w:t>
      </w:r>
    </w:p>
    <w:p>
      <w:pPr>
        <w:spacing w:after="80" w:before="180"/>
      </w:pPr>
      <w:r>
        <w:rPr>
          <w:rFonts w:ascii="Times New Roman" w:cs="Times New Roman" w:eastAsia="Times New Roman" w:hAnsi="Times New Roman"/>
          <w:b/>
          <w:bCs/>
          <w:sz w:val="24"/>
          <w:szCs w:val="24"/>
        </w:rPr>
        <w:t xml:space="preserve">Database</w:t>
      </w:r>
    </w:p>
    <w:p>
      <w:pPr>
        <w:pStyle w:val="ListParagraph"/>
        <w:numPr>
          <w:ilvl w:val="0"/>
          <w:numId w:val="10"/>
        </w:numPr>
        <w:spacing w:after="60"/>
      </w:pPr>
      <w:r>
        <w:rPr>
          <w:rFonts w:ascii="Times New Roman" w:cs="Times New Roman" w:eastAsia="Times New Roman" w:hAnsi="Times New Roman"/>
          <w:sz w:val="24"/>
          <w:szCs w:val="24"/>
        </w:rPr>
        <w:t xml:space="preserve">PostgreSQL</w:t>
      </w:r>
    </w:p>
    <w:p>
      <w:pPr>
        <w:pStyle w:val="ListParagraph"/>
        <w:numPr>
          <w:ilvl w:val="0"/>
          <w:numId w:val="10"/>
        </w:numPr>
        <w:spacing w:after="60"/>
      </w:pPr>
      <w:r>
        <w:rPr>
          <w:rFonts w:ascii="Times New Roman" w:cs="Times New Roman" w:eastAsia="Times New Roman" w:hAnsi="Times New Roman"/>
          <w:sz w:val="24"/>
          <w:szCs w:val="24"/>
        </w:rPr>
        <w:t xml:space="preserve">MongoDB</w:t>
      </w:r>
    </w:p>
    <w:p>
      <w:pPr>
        <w:pStyle w:val="ListParagraph"/>
        <w:numPr>
          <w:ilvl w:val="0"/>
          <w:numId w:val="10"/>
        </w:numPr>
        <w:spacing w:after="60"/>
      </w:pPr>
      <w:r>
        <w:rPr>
          <w:rFonts w:ascii="Times New Roman" w:cs="Times New Roman" w:eastAsia="Times New Roman" w:hAnsi="Times New Roman"/>
          <w:sz w:val="24"/>
          <w:szCs w:val="24"/>
        </w:rPr>
        <w:t xml:space="preserve">SQLite</w:t>
      </w:r>
    </w:p>
    <w:p>
      <w:pPr>
        <w:spacing w:after="80" w:before="180"/>
      </w:pPr>
      <w:r>
        <w:rPr>
          <w:rFonts w:ascii="Times New Roman" w:cs="Times New Roman" w:eastAsia="Times New Roman" w:hAnsi="Times New Roman"/>
          <w:b/>
          <w:bCs/>
          <w:sz w:val="24"/>
          <w:szCs w:val="24"/>
        </w:rPr>
        <w:t xml:space="preserve">Automation &amp; Integration</w:t>
      </w:r>
    </w:p>
    <w:p>
      <w:pPr>
        <w:pStyle w:val="ListParagraph"/>
        <w:numPr>
          <w:ilvl w:val="0"/>
          <w:numId w:val="11"/>
        </w:numPr>
        <w:spacing w:after="60"/>
      </w:pPr>
      <w:r>
        <w:rPr>
          <w:rFonts w:ascii="Times New Roman" w:cs="Times New Roman" w:eastAsia="Times New Roman" w:hAnsi="Times New Roman"/>
          <w:sz w:val="24"/>
          <w:szCs w:val="24"/>
        </w:rPr>
        <w:t xml:space="preserve">Python Scripts</w:t>
      </w:r>
    </w:p>
    <w:p>
      <w:pPr>
        <w:pStyle w:val="ListParagraph"/>
        <w:numPr>
          <w:ilvl w:val="0"/>
          <w:numId w:val="11"/>
        </w:numPr>
        <w:spacing w:after="60"/>
      </w:pPr>
      <w:r>
        <w:rPr>
          <w:rFonts w:ascii="Times New Roman" w:cs="Times New Roman" w:eastAsia="Times New Roman" w:hAnsi="Times New Roman"/>
          <w:sz w:val="24"/>
          <w:szCs w:val="24"/>
        </w:rPr>
        <w:t xml:space="preserve">REST APIs</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2"/>
        </w:numPr>
        <w:spacing w:after="60"/>
      </w:pPr>
      <w:r>
        <w:rPr>
          <w:rFonts w:ascii="Times New Roman" w:cs="Times New Roman" w:eastAsia="Times New Roman" w:hAnsi="Times New Roman"/>
          <w:sz w:val="24"/>
          <w:szCs w:val="24"/>
        </w:rPr>
        <w:t xml:space="preserve">Docker</w:t>
      </w:r>
    </w:p>
    <w:p>
      <w:pPr>
        <w:pStyle w:val="ListParagraph"/>
        <w:numPr>
          <w:ilvl w:val="0"/>
          <w:numId w:val="12"/>
        </w:numPr>
        <w:spacing w:after="60"/>
      </w:pPr>
      <w:r>
        <w:rPr>
          <w:rFonts w:ascii="Times New Roman" w:cs="Times New Roman" w:eastAsia="Times New Roman" w:hAnsi="Times New Roman"/>
          <w:sz w:val="24"/>
          <w:szCs w:val="24"/>
        </w:rPr>
        <w:t xml:space="preserve">VirtualBox</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3"/>
        </w:numPr>
        <w:spacing w:after="60"/>
      </w:pPr>
      <w:r>
        <w:rPr>
          <w:rFonts w:ascii="Times New Roman" w:cs="Times New Roman" w:eastAsia="Times New Roman" w:hAnsi="Times New Roman"/>
          <w:sz w:val="24"/>
          <w:szCs w:val="24"/>
        </w:rPr>
        <w:t xml:space="preserve">Google Colab</w:t>
      </w:r>
    </w:p>
    <w:p>
      <w:pPr>
        <w:pStyle w:val="ListParagraph"/>
        <w:numPr>
          <w:ilvl w:val="0"/>
          <w:numId w:val="13"/>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4"/>
        </w:numPr>
        <w:spacing w:after="60"/>
      </w:pPr>
      <w:r>
        <w:rPr>
          <w:rFonts w:ascii="Times New Roman" w:cs="Times New Roman" w:eastAsia="Times New Roman" w:hAnsi="Times New Roman"/>
          <w:sz w:val="24"/>
          <w:szCs w:val="24"/>
        </w:rPr>
        <w:t xml:space="preserve">Google Sheets</w:t>
      </w:r>
    </w:p>
    <w:p>
      <w:pPr>
        <w:pStyle w:val="ListParagraph"/>
        <w:numPr>
          <w:ilvl w:val="0"/>
          <w:numId w:val="14"/>
        </w:numPr>
        <w:spacing w:after="60"/>
      </w:pPr>
      <w:r>
        <w:rPr>
          <w:rFonts w:ascii="Times New Roman" w:cs="Times New Roman" w:eastAsia="Times New Roman" w:hAnsi="Times New Roman"/>
          <w:sz w:val="24"/>
          <w:szCs w:val="24"/>
        </w:rPr>
        <w:t xml:space="preserve">Google Drive</w:t>
      </w:r>
    </w:p>
    <w:p>
      <w:pPr>
        <w:pStyle w:val="ListParagraph"/>
        <w:numPr>
          <w:ilvl w:val="0"/>
          <w:numId w:val="14"/>
        </w:numPr>
        <w:spacing w:after="60"/>
      </w:pPr>
      <w:r>
        <w:rPr>
          <w:rFonts w:ascii="Times New Roman" w:cs="Times New Roman" w:eastAsia="Times New Roman" w:hAnsi="Times New Roman"/>
          <w:sz w:val="24"/>
          <w:szCs w:val="24"/>
        </w:rPr>
        <w:t xml:space="preserve">Google Sites</w:t>
      </w:r>
    </w:p>
    <w:p>
      <w:pPr>
        <w:pStyle w:val="ListParagraph"/>
        <w:numPr>
          <w:ilvl w:val="0"/>
          <w:numId w:val="14"/>
        </w:numPr>
        <w:spacing w:after="60"/>
      </w:pPr>
      <w:r>
        <w:rPr>
          <w:rFonts w:ascii="Times New Roman" w:cs="Times New Roman" w:eastAsia="Times New Roman" w:hAnsi="Times New Roman"/>
          <w:sz w:val="24"/>
          <w:szCs w:val="24"/>
        </w:rPr>
        <w:t xml:space="preserve">Google Meet</w:t>
      </w:r>
    </w:p>
    <w:p>
      <w:pPr>
        <w:pStyle w:val="ListParagraph"/>
        <w:numPr>
          <w:ilvl w:val="0"/>
          <w:numId w:val="14"/>
        </w:numPr>
        <w:spacing w:after="60"/>
      </w:pPr>
      <w:r>
        <w:rPr>
          <w:rFonts w:ascii="Times New Roman" w:cs="Times New Roman" w:eastAsia="Times New Roman" w:hAnsi="Times New Roman"/>
          <w:sz w:val="24"/>
          <w:szCs w:val="24"/>
        </w:rPr>
        <w:t xml:space="preserve">Google Forms</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5"/>
        </w:numPr>
        <w:spacing w:after="60"/>
      </w:pPr>
      <w:r>
        <w:rPr>
          <w:rFonts w:ascii="Times New Roman" w:cs="Times New Roman" w:eastAsia="Times New Roman" w:hAnsi="Times New Roman"/>
          <w:sz w:val="24"/>
          <w:szCs w:val="24"/>
        </w:rPr>
        <w:t xml:space="preserve">IOC Feeds</w:t>
      </w:r>
    </w:p>
    <w:p>
      <w:pPr>
        <w:pStyle w:val="ListParagraph"/>
        <w:numPr>
          <w:ilvl w:val="0"/>
          <w:numId w:val="15"/>
        </w:numPr>
        <w:spacing w:after="60"/>
      </w:pPr>
      <w:r>
        <w:rPr>
          <w:rFonts w:ascii="Times New Roman" w:cs="Times New Roman" w:eastAsia="Times New Roman" w:hAnsi="Times New Roman"/>
          <w:sz w:val="24"/>
          <w:szCs w:val="24"/>
        </w:rPr>
        <w:t xml:space="preserve">Threat Intelligence Reports</w:t>
      </w:r>
    </w:p>
    <w:p>
      <w:pPr>
        <w:pStyle w:val="ListParagraph"/>
        <w:numPr>
          <w:ilvl w:val="0"/>
          <w:numId w:val="15"/>
        </w:numPr>
        <w:spacing w:after="60"/>
      </w:pPr>
      <w:r>
        <w:rPr>
          <w:rFonts w:ascii="Times New Roman" w:cs="Times New Roman" w:eastAsia="Times New Roman" w:hAnsi="Times New Roman"/>
          <w:sz w:val="24"/>
          <w:szCs w:val="24"/>
        </w:rPr>
        <w:t xml:space="preserve">Malware Indicators</w:t>
      </w:r>
    </w:p>
    <w:p>
      <w:pPr>
        <w:pStyle w:val="ListParagraph"/>
        <w:numPr>
          <w:ilvl w:val="0"/>
          <w:numId w:val="15"/>
        </w:numPr>
        <w:spacing w:after="60"/>
      </w:pPr>
      <w:r>
        <w:rPr>
          <w:rFonts w:ascii="Times New Roman" w:cs="Times New Roman" w:eastAsia="Times New Roman" w:hAnsi="Times New Roman"/>
          <w:sz w:val="24"/>
          <w:szCs w:val="24"/>
        </w:rPr>
        <w:t xml:space="preserve">Malicious IP Addresses</w:t>
      </w:r>
    </w:p>
    <w:p>
      <w:pPr>
        <w:pStyle w:val="ListParagraph"/>
        <w:numPr>
          <w:ilvl w:val="0"/>
          <w:numId w:val="15"/>
        </w:numPr>
        <w:spacing w:after="60"/>
      </w:pPr>
      <w:r>
        <w:rPr>
          <w:rFonts w:ascii="Times New Roman" w:cs="Times New Roman" w:eastAsia="Times New Roman" w:hAnsi="Times New Roman"/>
          <w:sz w:val="24"/>
          <w:szCs w:val="24"/>
        </w:rPr>
        <w:t xml:space="preserve">Domain Reputation Data</w:t>
      </w:r>
    </w:p>
    <w:p>
      <w:pPr>
        <w:pStyle w:val="ListParagraph"/>
        <w:numPr>
          <w:ilvl w:val="0"/>
          <w:numId w:val="15"/>
        </w:numPr>
        <w:spacing w:after="60"/>
      </w:pPr>
      <w:r>
        <w:rPr>
          <w:rFonts w:ascii="Times New Roman" w:cs="Times New Roman" w:eastAsia="Times New Roman" w:hAnsi="Times New Roman"/>
          <w:sz w:val="24"/>
          <w:szCs w:val="24"/>
        </w:rPr>
        <w:t xml:space="preserve">Vulnerability Databases</w:t>
      </w:r>
    </w:p>
    <w:p>
      <w:pPr>
        <w:pStyle w:val="ListParagraph"/>
        <w:numPr>
          <w:ilvl w:val="0"/>
          <w:numId w:val="15"/>
        </w:numPr>
        <w:spacing w:after="60"/>
      </w:pPr>
      <w:r>
        <w:rPr>
          <w:rFonts w:ascii="Times New Roman" w:cs="Times New Roman" w:eastAsia="Times New Roman" w:hAnsi="Times New Roman"/>
          <w:sz w:val="24"/>
          <w:szCs w:val="24"/>
        </w:rPr>
        <w:t xml:space="preserve">Threat Actor Information</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6"/>
        </w:numPr>
        <w:spacing w:after="60"/>
      </w:pPr>
      <w:r>
        <w:rPr>
          <w:rFonts w:ascii="Times New Roman" w:cs="Times New Roman" w:eastAsia="Times New Roman" w:hAnsi="Times New Roman"/>
          <w:sz w:val="24"/>
          <w:szCs w:val="24"/>
        </w:rPr>
        <w:t xml:space="preserve">Threat intelligence aggregation platform prototype.</w:t>
      </w:r>
    </w:p>
    <w:p>
      <w:pPr>
        <w:pStyle w:val="ListParagraph"/>
        <w:numPr>
          <w:ilvl w:val="0"/>
          <w:numId w:val="16"/>
        </w:numPr>
        <w:spacing w:after="60"/>
      </w:pPr>
      <w:r>
        <w:rPr>
          <w:rFonts w:ascii="Times New Roman" w:cs="Times New Roman" w:eastAsia="Times New Roman" w:hAnsi="Times New Roman"/>
          <w:sz w:val="24"/>
          <w:szCs w:val="24"/>
        </w:rPr>
        <w:t xml:space="preserve">Centralized threat intelligence repository.</w:t>
      </w:r>
    </w:p>
    <w:p>
      <w:pPr>
        <w:pStyle w:val="ListParagraph"/>
        <w:numPr>
          <w:ilvl w:val="0"/>
          <w:numId w:val="16"/>
        </w:numPr>
        <w:spacing w:after="60"/>
      </w:pPr>
      <w:r>
        <w:rPr>
          <w:rFonts w:ascii="Times New Roman" w:cs="Times New Roman" w:eastAsia="Times New Roman" w:hAnsi="Times New Roman"/>
          <w:sz w:val="24"/>
          <w:szCs w:val="24"/>
        </w:rPr>
        <w:t xml:space="preserve">IOC management and analysis system.</w:t>
      </w:r>
    </w:p>
    <w:p>
      <w:pPr>
        <w:pStyle w:val="ListParagraph"/>
        <w:numPr>
          <w:ilvl w:val="0"/>
          <w:numId w:val="16"/>
        </w:numPr>
        <w:spacing w:after="60"/>
      </w:pPr>
      <w:r>
        <w:rPr>
          <w:rFonts w:ascii="Times New Roman" w:cs="Times New Roman" w:eastAsia="Times New Roman" w:hAnsi="Times New Roman"/>
          <w:sz w:val="24"/>
          <w:szCs w:val="24"/>
        </w:rPr>
        <w:t xml:space="preserve">Threat visualization and analytics dashboard.</w:t>
      </w:r>
    </w:p>
    <w:p>
      <w:pPr>
        <w:pStyle w:val="ListParagraph"/>
        <w:numPr>
          <w:ilvl w:val="0"/>
          <w:numId w:val="16"/>
        </w:numPr>
        <w:spacing w:after="60"/>
      </w:pPr>
      <w:r>
        <w:rPr>
          <w:rFonts w:ascii="Times New Roman" w:cs="Times New Roman" w:eastAsia="Times New Roman" w:hAnsi="Times New Roman"/>
          <w:sz w:val="24"/>
          <w:szCs w:val="24"/>
        </w:rPr>
        <w:t xml:space="preserve">Threat trend reporting module.</w:t>
      </w:r>
    </w:p>
    <w:p>
      <w:pPr>
        <w:pStyle w:val="ListParagraph"/>
        <w:numPr>
          <w:ilvl w:val="0"/>
          <w:numId w:val="16"/>
        </w:numPr>
        <w:spacing w:after="60"/>
      </w:pPr>
      <w:r>
        <w:rPr>
          <w:rFonts w:ascii="Times New Roman" w:cs="Times New Roman" w:eastAsia="Times New Roman" w:hAnsi="Times New Roman"/>
          <w:sz w:val="24"/>
          <w:szCs w:val="24"/>
        </w:rPr>
        <w:t xml:space="preserve">Security intelligence search capabilities.</w:t>
      </w:r>
    </w:p>
    <w:p>
      <w:pPr>
        <w:pStyle w:val="ListParagraph"/>
        <w:numPr>
          <w:ilvl w:val="0"/>
          <w:numId w:val="16"/>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6"/>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7"/>
        </w:numPr>
        <w:spacing w:after="60"/>
      </w:pPr>
      <w:r>
        <w:rPr>
          <w:rFonts w:ascii="Times New Roman" w:cs="Times New Roman" w:eastAsia="Times New Roman" w:hAnsi="Times New Roman"/>
          <w:sz w:val="24"/>
          <w:szCs w:val="24"/>
        </w:rPr>
        <w:t xml:space="preserve">Understanding of cyber threat intelligence concepts.</w:t>
      </w:r>
    </w:p>
    <w:p>
      <w:pPr>
        <w:pStyle w:val="ListParagraph"/>
        <w:numPr>
          <w:ilvl w:val="0"/>
          <w:numId w:val="17"/>
        </w:numPr>
        <w:spacing w:after="60"/>
      </w:pPr>
      <w:r>
        <w:rPr>
          <w:rFonts w:ascii="Times New Roman" w:cs="Times New Roman" w:eastAsia="Times New Roman" w:hAnsi="Times New Roman"/>
          <w:sz w:val="24"/>
          <w:szCs w:val="24"/>
        </w:rPr>
        <w:t xml:space="preserve">Experience with threat intelligence collection and analysis.</w:t>
      </w:r>
    </w:p>
    <w:p>
      <w:pPr>
        <w:pStyle w:val="ListParagraph"/>
        <w:numPr>
          <w:ilvl w:val="0"/>
          <w:numId w:val="17"/>
        </w:numPr>
        <w:spacing w:after="60"/>
      </w:pPr>
      <w:r>
        <w:rPr>
          <w:rFonts w:ascii="Times New Roman" w:cs="Times New Roman" w:eastAsia="Times New Roman" w:hAnsi="Times New Roman"/>
          <w:sz w:val="24"/>
          <w:szCs w:val="24"/>
        </w:rPr>
        <w:t xml:space="preserve">Knowledge of IOC management and threat classification.</w:t>
      </w:r>
    </w:p>
    <w:p>
      <w:pPr>
        <w:pStyle w:val="ListParagraph"/>
        <w:numPr>
          <w:ilvl w:val="0"/>
          <w:numId w:val="17"/>
        </w:numPr>
        <w:spacing w:after="60"/>
      </w:pPr>
      <w:r>
        <w:rPr>
          <w:rFonts w:ascii="Times New Roman" w:cs="Times New Roman" w:eastAsia="Times New Roman" w:hAnsi="Times New Roman"/>
          <w:sz w:val="24"/>
          <w:szCs w:val="24"/>
        </w:rPr>
        <w:t xml:space="preserve">Practical exposure to intelligence-sharing frameworks and platforms.</w:t>
      </w:r>
    </w:p>
    <w:p>
      <w:pPr>
        <w:pStyle w:val="ListParagraph"/>
        <w:numPr>
          <w:ilvl w:val="0"/>
          <w:numId w:val="17"/>
        </w:numPr>
        <w:spacing w:after="60"/>
      </w:pPr>
      <w:r>
        <w:rPr>
          <w:rFonts w:ascii="Times New Roman" w:cs="Times New Roman" w:eastAsia="Times New Roman" w:hAnsi="Times New Roman"/>
          <w:sz w:val="24"/>
          <w:szCs w:val="24"/>
        </w:rPr>
        <w:t xml:space="preserve">Skills in cybersecurity analytics and threat visualization.</w:t>
      </w:r>
    </w:p>
    <w:p>
      <w:pPr>
        <w:pStyle w:val="ListParagraph"/>
        <w:numPr>
          <w:ilvl w:val="0"/>
          <w:numId w:val="17"/>
        </w:numPr>
        <w:spacing w:after="60"/>
      </w:pPr>
      <w:r>
        <w:rPr>
          <w:rFonts w:ascii="Times New Roman" w:cs="Times New Roman" w:eastAsia="Times New Roman" w:hAnsi="Times New Roman"/>
          <w:sz w:val="24"/>
          <w:szCs w:val="24"/>
        </w:rPr>
        <w:t xml:space="preserve">Understanding of how organizations use threat intelligence to strengthen security operations and improve cyber defense capabilities.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4"/>
    <w:lvlOverride w:ilvl="0">
      <w:startOverride w:val="1"/>
    </w:lvlOverride>
  </w:num>
  <w:num w:numId="1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2026-06-17T07:59:07.072Z</dcterms:created>
  <dcterms:modified xsi:type="dcterms:W3CDTF">2026-06-17T07:59:07.072Z</dcterms:modified>
</cp:coreProperties>
</file>

<file path=docProps/custom.xml><?xml version="1.0" encoding="utf-8"?>
<Properties xmlns="http://schemas.openxmlformats.org/officeDocument/2006/custom-properties" xmlns:vt="http://schemas.openxmlformats.org/officeDocument/2006/docPropsVTypes"/>
</file>