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Policies &amp; Legal Terms</w:t>
      </w:r>
    </w:p>
    <w:p>
      <w:pPr>
        <w:jc w:val="center"/>
      </w:pPr>
      <w:r>
        <w:t>Connect Hub Co.</w:t>
        <w:br/>
        <w:t>Website-ready consolidated draft | Sections 1–13</w:t>
        <w:br/>
        <w:t>Last Updated: 01-09-2026</w:t>
      </w:r>
    </w:p>
    <w:p>
      <w:r>
        <w:t>These Policies &amp; Legal Terms describe the current customer-facing terms for use of the Connect Hub Co. website and coordinated services. They shall be read together with any applicable accepted Quotation, Client Service Agreement, Booking Confirmation, separate Refund &amp; Cancellation Policy, authorized Company communications, and applicable law.</w:t>
      </w:r>
    </w:p>
    <w:p>
      <w:pPr>
        <w:pStyle w:val="Heading1"/>
      </w:pPr>
      <w:r>
        <w:t>1. Terms &amp; Conditions</w:t>
      </w:r>
    </w:p>
    <w:p>
      <w:pPr>
        <w:pStyle w:val="Heading2"/>
      </w:pPr>
      <w:r>
        <w:t>About Connect Hub Co.</w:t>
      </w:r>
    </w:p>
    <w:p>
      <w:r>
        <w:t>Connect Hub Co. (hereinafter referred to as “the Company”) provides a coordination and information platform for approved religious services, ancestral-rite assistance, pilgrimage and travel assistance, Vahi Records-related coordination, and other services expressly approved and offered by the Company.</w:t>
      </w:r>
    </w:p>
    <w:p>
      <w:pPr>
        <w:pStyle w:val="Heading2"/>
      </w:pPr>
      <w:r>
        <w:t>Service role and customer information</w:t>
      </w:r>
    </w:p>
    <w:p>
      <w:r>
        <w:t>The Company may coordinate customers with verified Religious Partners, qualified priests, travel or service providers, and operational teams. Customers must provide accurate contact, service, family, Gotra, ancestral, scheduling, and travel information where relevant. Final ritual formats, religious practices, traditions, and religious requirements must be confirmed with an appropriately qualified Religious Partner.</w:t>
      </w:r>
    </w:p>
    <w:p>
      <w:pPr>
        <w:pStyle w:val="Heading2"/>
      </w:pPr>
      <w:r>
        <w:t>Third-Party Services</w:t>
      </w:r>
    </w:p>
    <w:p>
      <w:r>
        <w:t>Some services depend on independent Religious Partners, transport operators, accommodation providers, venues, traditional record custodians, or other third parties. Their services remain subject to availability, their applicable terms, and applicable law. No third party is authorized to make commitments on behalf of the Company outside an approved Quotation, accepted Client Service Agreement, Booking Confirmation, applicable policy, or authorized Company communication.</w:t>
      </w:r>
    </w:p>
    <w:p>
      <w:pPr>
        <w:pStyle w:val="Heading2"/>
      </w:pPr>
      <w:r>
        <w:t>Acceptable Use</w:t>
      </w:r>
    </w:p>
    <w:p>
      <w:r>
        <w:t>Customers must not misuse the website, submit unlawful, false, or misleading information, interfere with website operation, impersonate another person, misuse another person’s reference details, or attempt unauthorized access to customer, partner, service, Company, or record information.</w:t>
      </w:r>
    </w:p>
    <w:p>
      <w:pPr>
        <w:pStyle w:val="Heading1"/>
      </w:pPr>
      <w:r>
        <w:t>2. Privacy Policy</w:t>
      </w:r>
    </w:p>
    <w:p>
      <w:r>
        <w:t>The Company respects the sensitive nature of customer identity and contact details, ancestral rites, family and Gotra information, lineage-related information, service requirements, travel information, application information, complaint material, and supporting documents.</w:t>
      </w:r>
    </w:p>
    <w:p>
      <w:r>
        <w:t>Information shall be collected and used only where reasonably required to review, coordinate, communicate about, deliver, support, verify, or administer a requested service or application; address complaints or grievances; maintain security and operational records; or comply with applicable obligations.</w:t>
      </w:r>
    </w:p>
    <w:p>
      <w:r>
        <w:t>Traditional Vahi or Panji lineage information must not be published for unrestricted public search, sold, or disclosed to unauthorized parties. Access shall be limited to authorized personnel and relevant Religious Partners, traditional custodians, or service participants where reasonably necessary for the requested service.</w:t>
      </w:r>
    </w:p>
    <w:p>
      <w:r>
        <w:t>Reasonable administrative and technical safeguards should be used for personal information. Information may be disclosed to authorized service participants, professional advisers, or public authorities where reasonably necessary, consented to, contractually required, or required by applicable law. Retention depends on the operational, service, legal, accounting, dispute, verification, and security purposes for which the information is required.</w:t>
      </w:r>
    </w:p>
    <w:p>
      <w:r>
        <w:t>A customer or applicant may contact the Company regarding relevant personal information, correction, or a privacy concern. Requests remain subject to identity verification and any lawful retention or restriction that applies.</w:t>
      </w:r>
    </w:p>
    <w:p>
      <w:pPr>
        <w:pStyle w:val="Heading1"/>
      </w:pPr>
      <w:r>
        <w:t>3. Booking Terms</w:t>
      </w:r>
    </w:p>
    <w:p>
      <w:r>
        <w:t>A service inquiry or application is not a confirmed booking. The customer must review the released Quotation, including the selected service, agreed scope, inclusions, exclusions, applicable charges and taxes, validity, and service-specific notes.</w:t>
      </w:r>
    </w:p>
    <w:p>
      <w:r>
        <w:t>A Client Service Agreement is made available only after Quotation acceptance and must be explicitly accepted before the customer proceeds with payment under the approved external payment instructions.</w:t>
      </w:r>
    </w:p>
    <w:p>
      <w:r>
        <w:t>Payment takes place outside the website. The website does not collect, store, or process card numbers, UPI credentials, bank-account credentials, or other payment authentication information. Official payment instructions, where applicable, must be provided only through authorized Company channels and must not be treated as general About Us content.</w:t>
      </w:r>
    </w:p>
    <w:p>
      <w:r>
        <w:t>After the customer makes the external payment, Founder/Admin records the internal payment confirmation for the relevant Service Request ID. The website does not verify or process the external banking or payment transaction. The booking is marked confirmed only after Quotation acceptance, Client Service Agreement acceptance, and the internal payment confirmation has been recorded.</w:t>
      </w:r>
    </w:p>
    <w:p>
      <w:r>
        <w:t>Dates, Muhurat or Tithi requirements, Religious Partner availability, venue, materials, travel arrangements, and other dependencies remain subject to the accepted scope and Booking Confirmation. The same Service Request ID remains the customer-facing reference throughout the service workflow.</w:t>
      </w:r>
    </w:p>
    <w:p>
      <w:r>
        <w:t>Cancellation, refund, and rescheduling matters are governed by the separate Refund &amp; Cancellation Policy, the applicable accepted Client Service Agreement, and applicable law.</w:t>
      </w:r>
    </w:p>
    <w:p>
      <w:pPr>
        <w:pStyle w:val="Heading1"/>
      </w:pPr>
      <w:r>
        <w:t>4. AI Help &amp; Automated Information / AI Limitations</w:t>
      </w:r>
    </w:p>
    <w:p>
      <w:r>
        <w:t>AI Help is an assistance and information layer only. AI-generated information may be incomplete, inaccurate, outdated, or unsuitable for a customer’s particular circumstances and should be independently checked where appropriate. AI does not replace authorized human review, professional advice, or qualified religious guidance.</w:t>
      </w:r>
    </w:p>
    <w:p>
      <w:pPr>
        <w:pStyle w:val="Heading2"/>
      </w:pPr>
      <w:r>
        <w:t>AI must not:</w:t>
      </w:r>
    </w:p>
    <w:p>
      <w:pPr>
        <w:pStyle w:val="ListBullet"/>
      </w:pPr>
      <w:r>
        <w:t>approve or issue binding Quotations;</w:t>
      </w:r>
    </w:p>
    <w:p>
      <w:pPr>
        <w:pStyle w:val="ListBullet"/>
      </w:pPr>
      <w:r>
        <w:t>accept a Client Service Agreement;</w:t>
      </w:r>
    </w:p>
    <w:p>
      <w:pPr>
        <w:pStyle w:val="ListBullet"/>
      </w:pPr>
      <w:r>
        <w:t>confirm external payment or mark a booking confirmed;</w:t>
      </w:r>
    </w:p>
    <w:p>
      <w:pPr>
        <w:pStyle w:val="ListBullet"/>
      </w:pPr>
      <w:r>
        <w:t>approve, reject, or determine cancellation or refund eligibility;</w:t>
      </w:r>
    </w:p>
    <w:p>
      <w:pPr>
        <w:pStyle w:val="ListBullet"/>
      </w:pPr>
      <w:r>
        <w:t>make binding commitments for the Company;</w:t>
      </w:r>
    </w:p>
    <w:p>
      <w:pPr>
        <w:pStyle w:val="ListBullet"/>
      </w:pPr>
      <w:r>
        <w:t>guarantee ritual, religious, spiritual, or ancestral outcomes;</w:t>
      </w:r>
    </w:p>
    <w:p>
      <w:pPr>
        <w:pStyle w:val="ListBullet"/>
      </w:pPr>
      <w:r>
        <w:t>guarantee Vahi Records or ancestral-record findings;</w:t>
      </w:r>
    </w:p>
    <w:p>
      <w:pPr>
        <w:pStyle w:val="ListBullet"/>
      </w:pPr>
      <w:r>
        <w:t>guarantee Religious Partner or other service-provider availability; or</w:t>
      </w:r>
    </w:p>
    <w:p>
      <w:pPr>
        <w:pStyle w:val="ListBullet"/>
      </w:pPr>
      <w:r>
        <w:t>override an accepted Quotation, Client Service Agreement, Booking Confirmation, applicable policy, or authorized Company communication.</w:t>
      </w:r>
    </w:p>
    <w:p>
      <w:r>
        <w:t>Official Quotations, accepted Client Service Agreements, Booking Confirmations, applicable policies, and authorized Company communications prevail over conflicting AI-generated information.</w:t>
      </w:r>
    </w:p>
    <w:p>
      <w:pPr>
        <w:pStyle w:val="Heading1"/>
      </w:pPr>
      <w:r>
        <w:t>5. Religious Services &amp; Religious Partner Role</w:t>
      </w:r>
    </w:p>
    <w:p>
      <w:r>
        <w:t>The Company coordinates religious and ritual services but does not replace the religious authority, judgment, or traditional role of a qualified Religious Partner. Ritual procedures, offerings, duration, sequence, participation requirements, and religious interpretation may vary according to tradition, location, family requirements, Tithi or Muhurat, and the guidance of the assigned Religious Partner.</w:t>
      </w:r>
    </w:p>
    <w:p>
      <w:r>
        <w:t>Religious Partner registration is an application and verification process only. Submission does not guarantee approval, activation, public listing, customer assignment, service allocation, or continuing eligibility. Applicants must provide accurate identity, address, qualification, experience, lineage or affiliation information where applicable, service interests, availability, and supporting documentation, and must consent to appropriate verification.</w:t>
      </w:r>
    </w:p>
    <w:p>
      <w:r>
        <w:t>The Company does not guarantee any ritual, religious, spiritual, karmic, or ancestral outcome.</w:t>
      </w:r>
    </w:p>
    <w:p>
      <w:pPr>
        <w:pStyle w:val="Heading1"/>
      </w:pPr>
      <w:r>
        <w:t>6. Vahi Records / Ancestral Lineage Coordination</w:t>
      </w:r>
    </w:p>
    <w:p>
      <w:r>
        <w:t>The Company operates as a coordination and logistics facilitator for Vahi or Panji ancestral-record enquiries. It does not create, alter, rewrite, certify, own, or exercise custodial authority over traditional Vahi or Panji records.</w:t>
      </w:r>
    </w:p>
    <w:p>
      <w:r>
        <w:t>Traditional records remain under the authority of their respective traditional custodians. The Company may assist with identifying relevant custodians, coordinating enquiries or visits, interpretation or translation support, remote-family assistance, and responsible access to available record information.</w:t>
      </w:r>
    </w:p>
    <w:p>
      <w:r>
        <w:t>No search result or ancestral-record discovery is guaranteed. Availability depends on whether a relevant record exists, its physical condition, the accuracy of information supplied, custodian access, and other traditional or practical factors.</w:t>
      </w:r>
    </w:p>
    <w:p>
      <w:r>
        <w:t>Vahi or Panji information is for personal, historical, ancestral, and spiritual understanding and is not represented by the Company as a government identity record, title document, or legally binding proof of property or inheritance rights.</w:t>
      </w:r>
    </w:p>
    <w:p>
      <w:pPr>
        <w:pStyle w:val="Heading1"/>
      </w:pPr>
      <w:r>
        <w:t>7. Travel Assistance</w:t>
      </w:r>
    </w:p>
    <w:p>
      <w:r>
        <w:t>The Company provides travel assistance and journey coordination and is not represented as a traditional travel agency or tour operator selling packaged itineraries. Services may include journey planning, local ground coordination, Shadow Traveler assistance, family or personal support, accessibility assistance, route and reporting-time coordination, accommodation or transport coordination, and emergency support where expressly included in the accepted scope.</w:t>
      </w:r>
    </w:p>
    <w:p>
      <w:r>
        <w:t>Travel services may depend on independent transport operators, accommodation providers, local coordinators, venues, government or site restrictions, weather, safety conditions, and other third parties. Availability and performance of those third-party services remain subject to their applicable terms and circumstances.</w:t>
      </w:r>
    </w:p>
    <w:p>
      <w:pPr>
        <w:pStyle w:val="Heading2"/>
      </w:pPr>
      <w:r>
        <w:t>Ritual-linked travel</w:t>
      </w:r>
    </w:p>
    <w:p>
      <w:r>
        <w:t>Where travel assistance is requested for Asthi Visarjan, Pind Daan, pilgrimage, or another religious purpose, the religious act and the travel-assistance scope remain distinct. The relevant Quotation and Client Service Agreement should identify the applicable ritual and travel components. Travel coordination by the Company does not mean that the Company itself performs the religious act.</w:t>
      </w:r>
    </w:p>
    <w:p>
      <w:r>
        <w:t>No representation of 24/7 support, destination coverage, partner verification, certification, or other service capability shall extend beyond the service scope actually approved and operationally available.</w:t>
      </w:r>
    </w:p>
    <w:p>
      <w:pPr>
        <w:pStyle w:val="Heading1"/>
      </w:pPr>
      <w:r>
        <w:t>8. Service Requests, Applications &amp; Reference IDs</w:t>
      </w:r>
    </w:p>
    <w:p>
      <w:r>
        <w:t>Customers should use the designated booking or service-request process for service bookings and the designated Religious Partner Registration process for partner applications. General Inquiry is intended for questions and support and is not a substitute for a booking application where a booking is required.</w:t>
      </w:r>
    </w:p>
    <w:p>
      <w:r>
        <w:t>After successful submission, the system may generate the applicable Service Request ID or Partner Registration Reference ID. Customers and applicants must not create or invent reference IDs manually.</w:t>
      </w:r>
    </w:p>
    <w:p>
      <w:r>
        <w:t>The registered name, email address or mobile number, and applicable reference ID should be used consistently for tracking, support, complaints, and related communications.</w:t>
      </w:r>
    </w:p>
    <w:p>
      <w:pPr>
        <w:pStyle w:val="Heading1"/>
      </w:pPr>
      <w:r>
        <w:t>9. Tracking &amp; Status Information</w:t>
      </w:r>
    </w:p>
    <w:p>
      <w:r>
        <w:t>The Track Your Request or Registration facility allows a customer or applicant to retrieve status information using the applicable registered reference details. The Service Request ID is used for customer service requests, while the Partner Registration Reference ID is used for Religious Partner applications.</w:t>
      </w:r>
    </w:p>
    <w:p>
      <w:r>
        <w:t>Tracking information is a status and workflow record. It does not by itself modify an accepted Quotation, Client Service Agreement, Booking Confirmation, refund decision, or other authorized Company record.</w:t>
      </w:r>
    </w:p>
    <w:p>
      <w:r>
        <w:t>Where commercial stages are displayed for a service request, the same Service Request ID remains the customer-facing reference through Quotation, Client Service Agreement, external payment, payment confirmation, Booking Confirmation, and subsequent applicable service-status stages.</w:t>
      </w:r>
    </w:p>
    <w:p>
      <w:pPr>
        <w:pStyle w:val="Heading1"/>
      </w:pPr>
      <w:r>
        <w:t>10. Complaints, Grievance &amp; Founder Support</w:t>
      </w:r>
    </w:p>
    <w:p>
      <w:pPr>
        <w:pStyle w:val="Heading2"/>
      </w:pPr>
      <w:r>
        <w:t>Complaint</w:t>
      </w:r>
    </w:p>
    <w:p>
      <w:r>
        <w:t>A customer may submit a complaint through the designated Complaint channel for a concern requiring formal review. The customer should provide accurate registered contact details, the applicable reference or Service Request ID where available, complaint category, incident or issue details, and supporting evidence where applicable.</w:t>
      </w:r>
    </w:p>
    <w:p>
      <w:pPr>
        <w:pStyle w:val="Heading2"/>
      </w:pPr>
      <w:r>
        <w:t>Grievance</w:t>
      </w:r>
    </w:p>
    <w:p>
      <w:r>
        <w:t>If a matter remains unresolved or the customer is dissatisfied with the complaint or support outcome, the matter may be escalated through the authorized Grievance channel for formal review.</w:t>
      </w:r>
    </w:p>
    <w:p>
      <w:pPr>
        <w:pStyle w:val="Heading2"/>
      </w:pPr>
      <w:r>
        <w:t>Founder Support</w:t>
      </w:r>
    </w:p>
    <w:p>
      <w:r>
        <w:t>Founder Support is a final discretionary escalation route for matters that remain unresolved after the ordinary Support and Grievance process, or for exceptional circumstances where such review is appropriate.</w:t>
      </w:r>
    </w:p>
    <w:p>
      <w:r>
        <w:t>Submission of a complaint, grievance, or Founder Support request does not guarantee a particular resolution, refund, compensation, disciplinary action, or other requested outcome. Refund eligibility remains governed by the separate Refund &amp; Cancellation Policy and the applicable accepted Client Service Agreement.</w:t>
      </w:r>
    </w:p>
    <w:p>
      <w:pPr>
        <w:pStyle w:val="Heading1"/>
      </w:pPr>
      <w:r>
        <w:t>11. Contact, Inquiry &amp; Authorized Communications</w:t>
      </w:r>
    </w:p>
    <w:p>
      <w:r>
        <w:t>General Support &amp; Inquiries may be used for service questions, tradition-related questions, pilgrim support, policy clarification, and other general assistance. Service bookings should use the designated booking process.</w:t>
      </w:r>
    </w:p>
    <w:p>
      <w:r>
        <w:t>Customers may select an available preferred contact method, such as WhatsApp, email, or phone, where offered. Contact information submitted through forms must be accurate and should correspond with the registered details used for the relevant request.</w:t>
      </w:r>
    </w:p>
    <w:p>
      <w:r>
        <w:t>Only communications issued through the Company’s authorized website, official Company email, approved WhatsApp or telephone channels, or other expressly authorized channels should be relied upon as Company communications. Character limits or field limits used in website forms are operational input limits and do not alter the legal meaning of these Policies &amp; Legal Terms.</w:t>
      </w:r>
    </w:p>
    <w:p>
      <w:pPr>
        <w:pStyle w:val="Heading1"/>
      </w:pPr>
      <w:r>
        <w:t>12. Knowledge Center &amp; Published Information</w:t>
      </w:r>
    </w:p>
    <w:p>
      <w:r>
        <w:t>The Knowledge Center provides approved reference information and guidance concerning services, rituals, Gaya Ji Pind Daan, lineage records, pilgrimage assistance, preparation, participation, and related topics.</w:t>
      </w:r>
    </w:p>
    <w:p>
      <w:r>
        <w:t>Knowledge Center content is informational and does not create a booking, modify a Quotation or Client Service Agreement, guarantee availability or outcomes, or replace qualified religious, professional, or legal advice where such advice is required.</w:t>
      </w:r>
    </w:p>
    <w:p>
      <w:r>
        <w:t>Where Knowledge Center content, AI-generated information, or general website information conflicts with an accepted Quotation, Client Service Agreement, Booking Confirmation, applicable policy, or authorized Company communication, the applicable formal document or authorized communication shall prevail.</w:t>
      </w:r>
    </w:p>
    <w:p>
      <w:pPr>
        <w:pStyle w:val="Heading1"/>
      </w:pPr>
      <w:r>
        <w:t>13. Legal Effect, Amendments, Governing Law &amp; Jurisdiction</w:t>
      </w:r>
    </w:p>
    <w:p>
      <w:pPr>
        <w:pStyle w:val="Heading2"/>
      </w:pPr>
      <w:r>
        <w:t>Relationship with other documents</w:t>
      </w:r>
    </w:p>
    <w:p>
      <w:r>
        <w:t>These Policies &amp; Legal Terms shall be read together with the customer’s applicable accepted Quotation, Client Service Agreement, Booking Confirmation, separate Refund &amp; Cancellation Policy, authorized Company communications, and applicable law. Service-specific terms expressly agreed in an accepted Client Service Agreement govern the relevant service to the extent permitted by applicable law.</w:t>
      </w:r>
    </w:p>
    <w:p>
      <w:pPr>
        <w:pStyle w:val="Heading2"/>
      </w:pPr>
      <w:r>
        <w:t>Amendments</w:t>
      </w:r>
    </w:p>
    <w:p>
      <w:r>
        <w:t>The Company may amend, modify, or update these Policies &amp; Legal Terms from time to time to reflect changes in applicable law, business operations, website functionality, or service requirements. Unless otherwise required by applicable law, an amendment shall apply from the Last Updated date stated in the updated version and shall not retrospectively alter rights and obligations arising under a Client Service Agreement accepted before that date.</w:t>
      </w:r>
    </w:p>
    <w:p>
      <w:pPr>
        <w:pStyle w:val="Heading2"/>
      </w:pPr>
      <w:r>
        <w:t>Governing Law and Jurisdiction</w:t>
      </w:r>
    </w:p>
    <w:p>
      <w:r>
        <w:t>These Policies &amp; Legal Terms shall be governed by and construed in accordance with the laws of India. Any dispute arising out of or in connection with these terms shall be subject to the jurisdiction of the competent courts at Pune, India, unless otherwise required by applicable law.</w:t>
      </w:r>
    </w:p>
    <w:p>
      <w:r>
        <w:t>Last Updated: 01-09-2026</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Connect Hub Co. | Policies &amp; Legal Terms | Website-ready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