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60" w:before="0"/>
        <w:jc w:val="center"/>
      </w:pPr>
      <w:r>
        <w:rPr>
          <w:rFonts w:ascii="Arial" w:cs="Arial" w:eastAsia="Arial" w:hAnsi="Arial"/>
          <w:b/>
          <w:bCs/>
          <w:color w:val="145C50"/>
          <w:sz w:val="28"/>
          <w:szCs w:val="28"/>
        </w:rPr>
        <w:t xml:space="preserve">C&amp;J Gulf Equipment Manufacturing LLC</w:t>
      </w:r>
    </w:p>
    <w:p>
      <w:pPr>
        <w:spacing w:after="380" w:before="0"/>
        <w:jc w:val="center"/>
      </w:pPr>
      <w:r>
        <w:rPr>
          <w:rFonts w:ascii="Arial" w:cs="Arial" w:eastAsia="Arial" w:hAnsi="Arial"/>
          <w:color w:val="555555"/>
          <w:sz w:val="22"/>
          <w:szCs w:val="22"/>
        </w:rPr>
        <w:t xml:space="preserve">Cost Estimator AI Agent Platform</w:t>
      </w:r>
    </w:p>
    <w:p>
      <w:pPr>
        <w:spacing w:after="60" w:before="0"/>
        <w:jc w:val="center"/>
      </w:pPr>
      <w:r>
        <w:rPr>
          <w:rFonts w:ascii="Arial" w:cs="Arial" w:eastAsia="Arial" w:hAnsi="Arial"/>
          <w:b/>
          <w:bCs/>
          <w:color w:val="145C50"/>
          <w:sz w:val="52"/>
          <w:szCs w:val="52"/>
        </w:rPr>
        <w:t xml:space="preserve">Job Costing Sheet</w:t>
      </w:r>
    </w:p>
    <w:p>
      <w:pPr>
        <w:spacing w:after="60" w:before="0"/>
        <w:jc w:val="center"/>
      </w:pPr>
      <w:r>
        <w:rPr>
          <w:rFonts w:ascii="Arial" w:cs="Arial" w:eastAsia="Arial" w:hAnsi="Arial"/>
          <w:color w:val="1A7A6A"/>
          <w:sz w:val="30"/>
          <w:szCs w:val="30"/>
        </w:rPr>
        <w:t xml:space="preserve">Accuracy Assessment &amp; Improvement Report</w:t>
      </w:r>
    </w:p>
    <w:p>
      <w:pPr>
        <w:spacing w:after="0" w:before="60"/>
      </w:pPr>
      <w:r>
        <w:t xml:space="preserve"/>
      </w:r>
    </w:p>
    <w:p>
      <w:pPr>
        <w:spacing w:after="380" w:before="0"/>
        <w:jc w:val="center"/>
      </w:pPr>
      <w:r>
        <w:rPr>
          <w:rFonts w:ascii="Arial" w:cs="Arial" w:eastAsia="Arial" w:hAnsi="Arial"/>
          <w:i/>
          <w:iCs/>
          <w:color w:val="555555"/>
          <w:sz w:val="20"/>
          <w:szCs w:val="20"/>
        </w:rPr>
        <w:t xml:space="preserve">Reference: CNJ/142676/01/2025 (Descon)  vs  JOB-20260420-0AC5AB (AI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none" w:color="FFFFFF" w:sz="0"/>
              <w:left w:val="none" w:color="FFFFFF" w:sz="0"/>
              <w:bottom w:val="none" w:color="FFFFFF" w:sz="0"/>
              <w:right w:val="none" w:color="FFFFFF" w:sz="0"/>
            </w:tcBorders>
            <w:shd w:fill="E6F4F1" w:val="clear"/>
            <w:tcMar>
              <w:top w:type="dxa" w:w="140"/>
              <w:left w:type="dxa" w:w="180"/>
              <w:bottom w:type="dxa" w:w="140"/>
              <w:right w:type="dxa" w:w="180"/>
            </w:tcMar>
          </w:tcPr>
          <w:p>
            <w:pPr>
              <w:spacing w:after="30" w:before="0"/>
            </w:pPr>
            <w:r>
              <w:rPr>
                <w:rFonts w:ascii="Arial" w:cs="Arial" w:eastAsia="Arial" w:hAnsi="Arial"/>
                <w:b/>
                <w:bCs/>
                <w:color w:val="1A7A6A"/>
                <w:sz w:val="18"/>
                <w:szCs w:val="18"/>
              </w:rPr>
              <w:t xml:space="preserve">Report Date</w:t>
            </w:r>
          </w:p>
          <w:p>
            <w:pPr>
              <w:spacing w:after="0" w:before="0"/>
            </w:pPr>
            <w:r>
              <w:rPr>
                <w:rFonts w:ascii="Arial" w:cs="Arial" w:eastAsia="Arial" w:hAnsi="Arial"/>
                <w:color w:val="2D2D2D"/>
                <w:sz w:val="20"/>
                <w:szCs w:val="20"/>
              </w:rPr>
              <w:t xml:space="preserve">22 April 2026</w:t>
            </w:r>
          </w:p>
        </w:tc>
        <w:tc>
          <w:tcPr>
            <w:tcW w:type="dxa" w:w="2257"/>
            <w:tcBorders>
              <w:top w:val="none" w:color="FFFFFF" w:sz="0"/>
              <w:left w:val="none" w:color="FFFFFF" w:sz="0"/>
              <w:bottom w:val="none" w:color="FFFFFF" w:sz="0"/>
              <w:right w:val="none" w:color="FFFFFF" w:sz="0"/>
            </w:tcBorders>
            <w:shd w:fill="E6F4F1" w:val="clear"/>
            <w:tcMar>
              <w:top w:type="dxa" w:w="140"/>
              <w:left w:type="dxa" w:w="180"/>
              <w:bottom w:type="dxa" w:w="140"/>
              <w:right w:type="dxa" w:w="180"/>
            </w:tcMar>
          </w:tcPr>
          <w:p>
            <w:pPr>
              <w:spacing w:after="30" w:before="0"/>
            </w:pPr>
            <w:r>
              <w:rPr>
                <w:rFonts w:ascii="Arial" w:cs="Arial" w:eastAsia="Arial" w:hAnsi="Arial"/>
                <w:b/>
                <w:bCs/>
                <w:color w:val="1A7A6A"/>
                <w:sz w:val="18"/>
                <w:szCs w:val="18"/>
              </w:rPr>
              <w:t xml:space="preserve">Reference Job</w:t>
            </w:r>
          </w:p>
          <w:p>
            <w:pPr>
              <w:spacing w:after="0" w:before="0"/>
            </w:pPr>
            <w:r>
              <w:rPr>
                <w:rFonts w:ascii="Arial" w:cs="Arial" w:eastAsia="Arial" w:hAnsi="Arial"/>
                <w:color w:val="2D2D2D"/>
                <w:sz w:val="20"/>
                <w:szCs w:val="20"/>
              </w:rPr>
              <w:t xml:space="preserve">CNJ/142676/01/2025</w:t>
            </w:r>
          </w:p>
        </w:tc>
        <w:tc>
          <w:tcPr>
            <w:tcW w:type="dxa" w:w="2256"/>
            <w:tcBorders>
              <w:top w:val="none" w:color="FFFFFF" w:sz="0"/>
              <w:left w:val="none" w:color="FFFFFF" w:sz="0"/>
              <w:bottom w:val="none" w:color="FFFFFF" w:sz="0"/>
              <w:right w:val="none" w:color="FFFFFF" w:sz="0"/>
            </w:tcBorders>
            <w:shd w:fill="E6F4F1" w:val="clear"/>
            <w:tcMar>
              <w:top w:type="dxa" w:w="140"/>
              <w:left w:type="dxa" w:w="180"/>
              <w:bottom w:type="dxa" w:w="140"/>
              <w:right w:type="dxa" w:w="180"/>
            </w:tcMar>
          </w:tcPr>
          <w:p>
            <w:pPr>
              <w:spacing w:after="30" w:before="0"/>
            </w:pPr>
            <w:r>
              <w:rPr>
                <w:rFonts w:ascii="Arial" w:cs="Arial" w:eastAsia="Arial" w:hAnsi="Arial"/>
                <w:b/>
                <w:bCs/>
                <w:color w:val="1A7A6A"/>
                <w:sz w:val="18"/>
                <w:szCs w:val="18"/>
              </w:rPr>
              <w:t xml:space="preserve">AI Job Ref</w:t>
            </w:r>
          </w:p>
          <w:p>
            <w:pPr>
              <w:spacing w:after="0" w:before="0"/>
            </w:pPr>
            <w:r>
              <w:rPr>
                <w:rFonts w:ascii="Arial" w:cs="Arial" w:eastAsia="Arial" w:hAnsi="Arial"/>
                <w:color w:val="2D2D2D"/>
                <w:sz w:val="17"/>
                <w:szCs w:val="17"/>
              </w:rPr>
              <w:t xml:space="preserve">JOB-20260420-0AC5AB</w:t>
            </w:r>
          </w:p>
        </w:tc>
        <w:tc>
          <w:tcPr>
            <w:tcW w:type="dxa" w:w="2257"/>
            <w:tcBorders>
              <w:top w:val="none" w:color="FFFFFF" w:sz="0"/>
              <w:left w:val="none" w:color="FFFFFF" w:sz="0"/>
              <w:bottom w:val="none" w:color="FFFFFF" w:sz="0"/>
              <w:right w:val="none" w:color="FFFFFF" w:sz="0"/>
            </w:tcBorders>
            <w:shd w:fill="E6F4F1" w:val="clear"/>
            <w:tcMar>
              <w:top w:type="dxa" w:w="140"/>
              <w:left w:type="dxa" w:w="180"/>
              <w:bottom w:type="dxa" w:w="140"/>
              <w:right w:type="dxa" w:w="180"/>
            </w:tcMar>
          </w:tcPr>
          <w:p>
            <w:pPr>
              <w:spacing w:after="30" w:before="0"/>
            </w:pPr>
            <w:r>
              <w:rPr>
                <w:rFonts w:ascii="Arial" w:cs="Arial" w:eastAsia="Arial" w:hAnsi="Arial"/>
                <w:b/>
                <w:bCs/>
                <w:color w:val="1A7A6A"/>
                <w:sz w:val="18"/>
                <w:szCs w:val="18"/>
              </w:rPr>
              <w:t xml:space="preserve">Overall Score</w:t>
            </w:r>
          </w:p>
          <w:p>
            <w:pPr>
              <w:spacing w:after="0" w:before="0"/>
            </w:pPr>
            <w:r>
              <w:rPr>
                <w:rFonts w:ascii="Arial" w:cs="Arial" w:eastAsia="Arial" w:hAnsi="Arial"/>
                <w:b/>
                <w:bCs/>
                <w:color w:val="C0392B"/>
                <w:sz w:val="24"/>
                <w:szCs w:val="24"/>
              </w:rPr>
              <w:t xml:space="preserve">32 / 100</w:t>
            </w:r>
          </w:p>
        </w:tc>
      </w:tr>
    </w:tbl>
    <w:p>
      <w:r>
        <w:br w:type="page"/>
      </w:r>
    </w:p>
    <w:p>
      <w:pPr>
        <w:pStyle w:val="Heading1"/>
        <w:pBdr>
          <w:bottom w:val="single" w:color="1A7A6A" w:sz="5" w:space="6"/>
        </w:pBdr>
        <w:spacing w:after="160" w:before="340"/>
      </w:pPr>
      <w:r>
        <w:rPr>
          <w:rFonts w:ascii="Arial" w:cs="Arial" w:eastAsia="Arial" w:hAnsi="Arial"/>
          <w:b/>
          <w:bCs/>
          <w:color w:val="145C50"/>
          <w:sz w:val="28"/>
          <w:szCs w:val="28"/>
        </w:rPr>
        <w:t xml:space="preserve">1. Job Overview</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Parameter</w:t>
            </w:r>
          </w:p>
        </w:tc>
        <w:tc>
          <w:tcPr>
            <w:tcW w:type="dxa" w:w="3213"/>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Reference (Original)</w:t>
            </w:r>
          </w:p>
        </w:tc>
        <w:tc>
          <w:tcPr>
            <w:tcW w:type="dxa" w:w="3213"/>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AI Generated</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Document Ref</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CNJ/142676/01/2025</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JOB-20260420-0AC5AB</w:t>
            </w:r>
          </w:p>
        </w:tc>
      </w:tr>
      <w:tr>
        <w:tc>
          <w:tcPr>
            <w:tcW w:type="dxa" w:w="26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Customer</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Descon Engineering</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Blank — not populated</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Enquiry No</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142676</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Blank — not populated</w:t>
            </w:r>
          </w:p>
        </w:tc>
      </w:tr>
      <w:tr>
        <w:tc>
          <w:tcPr>
            <w:tcW w:type="dxa" w:w="26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Contact Person</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Mr. Harun Khan</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Blank — not populated</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Contact No</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971566529515</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Blank — not populated</w:t>
            </w:r>
          </w:p>
        </w:tc>
      </w:tr>
      <w:tr>
        <w:tc>
          <w:tcPr>
            <w:tcW w:type="dxa" w:w="26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Date</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29 January 2025</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20 April 2026</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Job Type</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Structural Steel Fabrication</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Structural Steel Fabrication</w:t>
            </w:r>
          </w:p>
        </w:tc>
      </w:tr>
      <w:tr>
        <w:tc>
          <w:tcPr>
            <w:tcW w:type="dxa" w:w="26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Project Package</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Module Work</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Module Work</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Sheet Name</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142676 - Structure Frame</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142676 - Structure Frame</w:t>
            </w:r>
          </w:p>
        </w:tc>
      </w:tr>
      <w:tr>
        <w:tc>
          <w:tcPr>
            <w:tcW w:type="dxa" w:w="26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Signatories</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Sachin Ahire, Subash Valrani, Zeeshan</w:t>
            </w:r>
          </w:p>
        </w:tc>
        <w:tc>
          <w:tcPr>
            <w:tcW w:type="dxa" w:w="3213"/>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E8449"/>
                <w:sz w:val="19"/>
                <w:szCs w:val="19"/>
              </w:rPr>
              <w:t xml:space="preserve">Same — correct</w:t>
            </w:r>
          </w:p>
        </w:tc>
      </w:tr>
      <w:tr>
        <w:tc>
          <w:tcPr>
            <w:tcW w:type="dxa" w:w="26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Extra Sheets</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None</w:t>
            </w:r>
          </w:p>
        </w:tc>
        <w:tc>
          <w:tcPr>
            <w:tcW w:type="dxa" w:w="3213"/>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RATES &amp; CONFIG + AUDIT TRAIL</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2. Line Item Structure Coverage</w:t>
      </w:r>
    </w:p>
    <w:p>
      <w:pPr>
        <w:spacing w:after="0" w:before="60"/>
      </w:pPr>
      <w:r>
        <w:t xml:space="preserve"/>
      </w:r>
    </w:p>
    <w:p>
      <w:pPr>
        <w:spacing w:after="80" w:before="80"/>
        <w:jc w:val="left"/>
      </w:pPr>
      <w:r>
        <w:rPr>
          <w:rFonts w:ascii="Arial" w:cs="Arial" w:eastAsia="Arial" w:hAnsi="Arial"/>
          <w:b w:val="false"/>
          <w:bCs w:val="false"/>
          <w:i w:val="false"/>
          <w:iCs w:val="false"/>
          <w:color w:val="2D2D2D"/>
          <w:sz w:val="21"/>
          <w:szCs w:val="21"/>
        </w:rPr>
        <w:t xml:space="preserve">All 26 standard line items from the C&amp;J template are present in the AI-generated sheet. This is the strongest area of performance — the structural skeleton of the costing sheet is correctly reproduced.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1626"/>
        <w:gridCol w:w="1700"/>
      </w:tblGrid>
      <w:tr>
        <w:tc>
          <w:tcPr>
            <w:tcW w:type="dxa" w:w="7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Sr No</w:t>
            </w:r>
          </w:p>
        </w:tc>
        <w:tc>
          <w:tcPr>
            <w:tcW w:type="dxa" w:w="25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Description</w:t>
            </w:r>
          </w:p>
        </w:tc>
        <w:tc>
          <w:tcPr>
            <w:tcW w:type="dxa" w:w="25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Original</w:t>
            </w:r>
          </w:p>
        </w:tc>
        <w:tc>
          <w:tcPr>
            <w:tcW w:type="dxa" w:w="1626"/>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AI Generated</w:t>
            </w:r>
          </w:p>
        </w:tc>
        <w:tc>
          <w:tcPr>
            <w:tcW w:type="dxa" w:w="17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Status</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Design, Drafting &amp; Drawing Charges</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 (qty=0)</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 (blank)</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1.1</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Gaps in customer design</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2</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BOM/BOQ Preparation</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2.1</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Changes in BOM due to Design change</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3</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Technical recommendations</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4</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Gaps in our estimation</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5.1</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Structural Steel Material</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7802.27 kg @ AED 4</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122.06 kg @ AED 3.5</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qty+rate</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5.2</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M20×90 Bolts</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30 Nos @ AED 12.5</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 qty @ AED 12.5</w:t>
            </w:r>
          </w:p>
        </w:tc>
        <w:tc>
          <w:tcPr>
            <w:tcW w:type="dxa" w:w="17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Rate ok, qty missing</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5.3</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Paint Material</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120 L @ AED 21</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 qty @ AED 21</w:t>
            </w:r>
          </w:p>
        </w:tc>
        <w:tc>
          <w:tcPr>
            <w:tcW w:type="dxa" w:w="17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Rate ok, qty missing</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6</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Material Inspection Charges</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7.1</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Structural Welding</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160 hrs @ AED 10.5</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54 hrs @ AED 45</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Both wrong</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7.2</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Structural Fabrication</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320 hrs @ AED 9.5</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18.31 hrs @ AED 45</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Both wrong</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7.3</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Hydrotesting</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7.4</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Machining</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8</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Consumables</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AED 5,348.31</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 — no value</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 value</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9.1</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Machining &amp; Threading</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10.1</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10% MPI/DPT</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10 visits @ AED 600 = AED 6,000</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 — no value</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 value</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11.1</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Galvanizing Work</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 (zero)</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 (zero)</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Match</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11.2</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Blasting</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200 SQM @ AED 9</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3.56 SQM @ AED 55</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Both wrong</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11.3</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Painting</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200 SQM @ AED 11</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3.56 SQM @ AED 55</w:t>
            </w:r>
          </w:p>
        </w:tc>
        <w:tc>
          <w:tcPr>
            <w:tcW w:type="dxa" w:w="17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Both wrong</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12</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Third-Party Inspection</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Present</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Present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13</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QA/QC Documentation</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AED 3,000 (total populated)</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Rate AED 3,000, no total</w:t>
            </w:r>
          </w:p>
        </w:tc>
        <w:tc>
          <w:tcPr>
            <w:tcW w:type="dxa" w:w="17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Total not computed</w:t>
            </w:r>
          </w:p>
        </w:tc>
      </w:tr>
      <w:tr>
        <w:tc>
          <w:tcPr>
            <w:tcW w:type="dxa" w:w="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14</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Packing and loading</w:t>
            </w:r>
          </w:p>
        </w:tc>
        <w:tc>
          <w:tcPr>
            <w:tcW w:type="dxa" w:w="2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AED 3,000 (total populated)</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Rate AED 3,000, no total</w:t>
            </w:r>
          </w:p>
        </w:tc>
        <w:tc>
          <w:tcPr>
            <w:tcW w:type="dxa" w:w="17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Total not computed</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16–26</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Insurance through Marketing</w:t>
            </w:r>
          </w:p>
        </w:tc>
        <w:tc>
          <w:tcPr>
            <w:tcW w:type="dxa" w:w="2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All present (zero)</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All present (zero)</w:t>
            </w:r>
          </w:p>
        </w:tc>
        <w:tc>
          <w:tcPr>
            <w:tcW w:type="dxa" w:w="17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Match</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3. Critical Numerical Comparison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426"/>
        <w:gridCol w:w="2000"/>
      </w:tblGrid>
      <w:tr>
        <w:tc>
          <w:tcPr>
            <w:tcW w:type="dxa" w:w="22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Parameter</w:t>
            </w:r>
          </w:p>
        </w:tc>
        <w:tc>
          <w:tcPr>
            <w:tcW w:type="dxa" w:w="17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Original (AED)</w:t>
            </w:r>
          </w:p>
        </w:tc>
        <w:tc>
          <w:tcPr>
            <w:tcW w:type="dxa" w:w="17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AI Generated (AED)</w:t>
            </w:r>
          </w:p>
        </w:tc>
        <w:tc>
          <w:tcPr>
            <w:tcW w:type="dxa" w:w="1426"/>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Variance</w:t>
            </w:r>
          </w:p>
        </w:tc>
        <w:tc>
          <w:tcPr>
            <w:tcW w:type="dxa" w:w="20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Verdict</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Steel Quantity</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7,802.27 kg</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122.06 kg</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−98.4% (63.9×)</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Steel Unit Rate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4.00 /kg</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3.50 /kg</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−12.5%</w:t>
            </w:r>
          </w:p>
        </w:tc>
        <w:tc>
          <w:tcPr>
            <w:tcW w:type="dxa" w:w="20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Slightly low</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Steel Total Cost</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31,209.08</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427.23</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−98.6%</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Bolts Quantity</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30 Nos</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100% missing</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Bolts Unit Rate</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12.50 /nos</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12.50 /nos</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E8449"/>
                <w:sz w:val="19"/>
                <w:szCs w:val="19"/>
              </w:rPr>
              <w:t xml:space="preserve">0%</w:t>
            </w:r>
          </w:p>
        </w:tc>
        <w:tc>
          <w:tcPr>
            <w:tcW w:type="dxa" w:w="20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Correct</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Paint Material Qty</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120 litres</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100% missing</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Paint Material Rate</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21.00 /litre</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21.00 /litre</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E8449"/>
                <w:sz w:val="19"/>
                <w:szCs w:val="19"/>
              </w:rPr>
              <w:t xml:space="preserve">0%</w:t>
            </w:r>
          </w:p>
        </w:tc>
        <w:tc>
          <w:tcPr>
            <w:tcW w:type="dxa" w:w="20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19"/>
                <w:szCs w:val="19"/>
              </w:rPr>
              <w:t xml:space="preserve">✅ Correct</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Weld Hours</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160 hrs</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54 hrs</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−66.3%</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Major</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Weld Rate</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10.50 /hr</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45.00 /hr</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+328.6%</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basis</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Weld Total</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1,680.00</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2,430.00</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+44.6%</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Fabrication Hours</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320 hrs</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18.31 hrs</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−94.3%</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Fabrication Rate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9.50 /hr</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45.00 /hr</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+373.7%</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basis</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Fabrication Total</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3,040.00</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823.94</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−72.9%</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Consumables</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5,348.31</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100% missing</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MPI/DPT (10 visits)</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6,000.00</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Blank</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100% missing</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Missing</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Blasting SQM</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200 SQM</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3.56 SQM</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−98.2% (56×)</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Blasting Rate</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9.00 /SQM</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55.00 /SQM</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+511%</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rate</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Blasting Total</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1,800.00</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195.79</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−89.1%</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Painting SQM</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200 SQM</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3.56 SQM</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−98.2% (56×)</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Painting Rate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11.00 /SQM</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55.00 /SQM</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E8449"/>
                <w:sz w:val="19"/>
                <w:szCs w:val="19"/>
              </w:rPr>
              <w:t xml:space="preserve">+400%</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rate</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Painting Total</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2,200.00</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195.79</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−91.1%</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QA/QC Total</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3,000.00</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Not computed</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Total missing</w:t>
            </w:r>
          </w:p>
        </w:tc>
        <w:tc>
          <w:tcPr>
            <w:tcW w:type="dxa" w:w="20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Rate only</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Packing Total</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3,000.00</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Not computed</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C0392B"/>
                <w:sz w:val="19"/>
                <w:szCs w:val="19"/>
              </w:rPr>
              <w:t xml:space="preserve">Total missing</w:t>
            </w:r>
          </w:p>
        </w:tc>
        <w:tc>
          <w:tcPr>
            <w:tcW w:type="dxa" w:w="2000"/>
            <w:tcBorders>
              <w:top w:val="single" w:color="D5E8E4" w:sz="1"/>
              <w:left w:val="single" w:color="D5E8E4" w:sz="1"/>
              <w:bottom w:val="single" w:color="D5E8E4" w:sz="1"/>
              <w:right w:val="single" w:color="D5E8E4" w:sz="1"/>
            </w:tcBorders>
            <w:shd w:fill="FEF5EC"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19"/>
                <w:szCs w:val="19"/>
              </w:rPr>
              <w:t xml:space="preserve">⚠️ Rate only</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Direct Cost Total</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60,172.39</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4,098.46</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−93.2%</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Overhead %</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32.7%</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15.0%</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−17.7 pts</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Overhead Value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19,656.64</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614.77</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−96.9%</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Grand Total</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79,829.03</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4,713.23</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−94.1% (16.9×)</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Selling Price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106,966.20</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5,278.82</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−95.1% (20.3×)</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r>
        <w:tc>
          <w:tcPr>
            <w:tcW w:type="dxa" w:w="22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Net Profit %</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25.4%</w:t>
            </w:r>
          </w:p>
        </w:tc>
        <w:tc>
          <w:tcPr>
            <w:tcW w:type="dxa" w:w="17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10.7%</w:t>
            </w:r>
          </w:p>
        </w:tc>
        <w:tc>
          <w:tcPr>
            <w:tcW w:type="dxa" w:w="1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−14.7 pts</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Wrong %</w:t>
            </w:r>
          </w:p>
        </w:tc>
      </w:tr>
      <w:tr>
        <w:tc>
          <w:tcPr>
            <w:tcW w:type="dxa" w:w="22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Net Profit Value</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27,137.17</w:t>
            </w:r>
          </w:p>
        </w:tc>
        <w:tc>
          <w:tcPr>
            <w:tcW w:type="dxa" w:w="17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565.59</w:t>
            </w:r>
          </w:p>
        </w:tc>
        <w:tc>
          <w:tcPr>
            <w:tcW w:type="dxa" w:w="1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D35400"/>
                <w:sz w:val="19"/>
                <w:szCs w:val="19"/>
              </w:rPr>
              <w:t xml:space="preserve">−97.9%</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19"/>
                <w:szCs w:val="19"/>
              </w:rPr>
              <w:t xml:space="preserve">❌ Critical</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4. Accuracy Scoring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3426"/>
      </w:tblGrid>
      <w:tr>
        <w:tc>
          <w:tcPr>
            <w:tcW w:type="dxa" w:w="29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Evaluation Category</w:t>
            </w:r>
          </w:p>
        </w:tc>
        <w:tc>
          <w:tcPr>
            <w:tcW w:type="dxa" w:w="9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Weight</w:t>
            </w:r>
          </w:p>
        </w:tc>
        <w:tc>
          <w:tcPr>
            <w:tcW w:type="dxa" w:w="9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Score</w:t>
            </w:r>
          </w:p>
        </w:tc>
        <w:tc>
          <w:tcPr>
            <w:tcW w:type="dxa" w:w="9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Max</w:t>
            </w:r>
          </w:p>
        </w:tc>
        <w:tc>
          <w:tcPr>
            <w:tcW w:type="dxa" w:w="3426"/>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Remarks</w:t>
            </w:r>
          </w:p>
        </w:tc>
      </w:tr>
      <w:tr>
        <w:tc>
          <w:tcPr>
            <w:tcW w:type="dxa" w:w="2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Document Structure &amp; Line Items</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15%</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21"/>
                <w:szCs w:val="21"/>
              </w:rPr>
              <w:t xml:space="preserve">13/15</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15</w:t>
            </w:r>
          </w:p>
        </w:tc>
        <w:tc>
          <w:tcPr>
            <w:tcW w:type="dxa" w:w="3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All 26 rows present; minor description changes in 7.1/7.2</w:t>
            </w:r>
          </w:p>
        </w:tc>
      </w:tr>
      <w:tr>
        <w:tc>
          <w:tcPr>
            <w:tcW w:type="dxa" w:w="2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Header / Metadata Fields</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5/10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3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Customer, contact, enquiry no all blank</w:t>
            </w:r>
          </w:p>
        </w:tc>
      </w:tr>
      <w:tr>
        <w:tc>
          <w:tcPr>
            <w:tcW w:type="dxa" w:w="2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Material Quantities</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20%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2/20</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20</w:t>
            </w:r>
          </w:p>
        </w:tc>
        <w:tc>
          <w:tcPr>
            <w:tcW w:type="dxa" w:w="3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Steel qty off 64×; bolts &amp; paint qty blank</w:t>
            </w:r>
          </w:p>
        </w:tc>
      </w:tr>
      <w:tr>
        <w:tc>
          <w:tcPr>
            <w:tcW w:type="dxa" w:w="2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Labour Hours &amp; Rates</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20%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4/20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20</w:t>
            </w:r>
          </w:p>
        </w:tc>
        <w:tc>
          <w:tcPr>
            <w:tcW w:type="dxa" w:w="3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Hours severely understated; rate basis completely different</w:t>
            </w:r>
          </w:p>
        </w:tc>
      </w:tr>
      <w:tr>
        <w:tc>
          <w:tcPr>
            <w:tcW w:type="dxa" w:w="2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Surface Treatment</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2/10</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3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SQM off 56×; blasting/painting rate basis wrong</w:t>
            </w:r>
          </w:p>
        </w:tc>
      </w:tr>
      <w:tr>
        <w:tc>
          <w:tcPr>
            <w:tcW w:type="dxa" w:w="2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Consumables &amp; QC Costs</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2/10</w:t>
            </w:r>
          </w:p>
        </w:tc>
        <w:tc>
          <w:tcPr>
            <w:tcW w:type="dxa" w:w="9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10</w:t>
            </w:r>
          </w:p>
        </w:tc>
        <w:tc>
          <w:tcPr>
            <w:tcW w:type="dxa" w:w="34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Consumables, MPI/DPT costs not calculated</w:t>
            </w:r>
          </w:p>
        </w:tc>
      </w:tr>
      <w:tr>
        <w:tc>
          <w:tcPr>
            <w:tcW w:type="dxa" w:w="2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Financial Totals &amp; Margins</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15%</w:t>
            </w:r>
          </w:p>
        </w:tc>
        <w:tc>
          <w:tcPr>
            <w:tcW w:type="dxa" w:w="9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1"/>
                <w:szCs w:val="21"/>
              </w:rPr>
              <w:t xml:space="preserve">4/15</w:t>
            </w:r>
          </w:p>
        </w:tc>
        <w:tc>
          <w:tcPr>
            <w:tcW w:type="dxa" w:w="9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D2D2D"/>
                <w:sz w:val="19"/>
                <w:szCs w:val="19"/>
              </w:rPr>
              <w:t xml:space="preserve">15</w:t>
            </w:r>
          </w:p>
        </w:tc>
        <w:tc>
          <w:tcPr>
            <w:tcW w:type="dxa" w:w="34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Grand total off 17×; overhead % and margin % wrong</w:t>
            </w:r>
          </w:p>
        </w:tc>
      </w:tr>
      <w:tr>
        <w:tc>
          <w:tcPr>
            <w:tcW w:type="dxa" w:w="2900"/>
            <w:tcBorders>
              <w:top w:val="single" w:color="D5E8E4" w:sz="1"/>
              <w:left w:val="single" w:color="D5E8E4" w:sz="1"/>
              <w:bottom w:val="single" w:color="D5E8E4" w:sz="1"/>
              <w:right w:val="single" w:color="D5E8E4" w:sz="1"/>
            </w:tcBorders>
            <w:shd w:fill="E6F4F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45C50"/>
                <w:sz w:val="19"/>
                <w:szCs w:val="19"/>
              </w:rPr>
              <w:t xml:space="preserve">TOTAL</w:t>
            </w:r>
          </w:p>
        </w:tc>
        <w:tc>
          <w:tcPr>
            <w:tcW w:type="dxa" w:w="900"/>
            <w:tcBorders>
              <w:top w:val="single" w:color="D5E8E4" w:sz="1"/>
              <w:left w:val="single" w:color="D5E8E4" w:sz="1"/>
              <w:bottom w:val="single" w:color="D5E8E4" w:sz="1"/>
              <w:right w:val="single" w:color="D5E8E4" w:sz="1"/>
            </w:tcBorders>
            <w:shd w:fill="E6F4F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45C50"/>
                <w:sz w:val="19"/>
                <w:szCs w:val="19"/>
              </w:rPr>
              <w:t xml:space="preserve">100%</w:t>
            </w:r>
          </w:p>
        </w:tc>
        <w:tc>
          <w:tcPr>
            <w:tcW w:type="dxa" w:w="900"/>
            <w:tcBorders>
              <w:top w:val="single" w:color="D5E8E4" w:sz="1"/>
              <w:left w:val="single" w:color="D5E8E4" w:sz="1"/>
              <w:bottom w:val="single" w:color="D5E8E4" w:sz="1"/>
              <w:right w:val="single" w:color="D5E8E4" w:sz="1"/>
            </w:tcBorders>
            <w:shd w:fill="E6F4F1" w:val="clear"/>
            <w:tcMar>
              <w:top w:type="dxa" w:w="100"/>
              <w:left w:type="dxa" w:w="100"/>
              <w:bottom w:type="dxa" w:w="100"/>
              <w:right w:type="dxa" w:w="100"/>
            </w:tcMar>
            <w:vAlign w:val="center"/>
          </w:tcPr>
          <w:p>
            <w:pPr>
              <w:spacing w:after="0" w:before="0"/>
              <w:jc w:val="center"/>
            </w:pPr>
            <w:r>
              <w:rPr>
                <w:rFonts w:ascii="Arial" w:cs="Arial" w:eastAsia="Arial" w:hAnsi="Arial"/>
                <w:b/>
                <w:bCs/>
                <w:color w:val="C0392B"/>
                <w:sz w:val="26"/>
                <w:szCs w:val="26"/>
              </w:rPr>
              <w:t xml:space="preserve">32</w:t>
            </w:r>
          </w:p>
        </w:tc>
        <w:tc>
          <w:tcPr>
            <w:tcW w:type="dxa" w:w="900"/>
            <w:tcBorders>
              <w:top w:val="single" w:color="D5E8E4" w:sz="1"/>
              <w:left w:val="single" w:color="D5E8E4" w:sz="1"/>
              <w:bottom w:val="single" w:color="D5E8E4" w:sz="1"/>
              <w:right w:val="single" w:color="D5E8E4" w:sz="1"/>
            </w:tcBorders>
            <w:shd w:fill="E6F4F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45C50"/>
                <w:sz w:val="19"/>
                <w:szCs w:val="19"/>
              </w:rPr>
              <w:t xml:space="preserve">100</w:t>
            </w:r>
          </w:p>
        </w:tc>
        <w:tc>
          <w:tcPr>
            <w:tcW w:type="dxa" w:w="3426"/>
            <w:tcBorders>
              <w:top w:val="single" w:color="D5E8E4" w:sz="1"/>
              <w:left w:val="single" w:color="D5E8E4" w:sz="1"/>
              <w:bottom w:val="single" w:color="D5E8E4" w:sz="1"/>
              <w:right w:val="single" w:color="D5E8E4" w:sz="1"/>
            </w:tcBorders>
            <w:shd w:fill="E6F4F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C0392B"/>
                <w:sz w:val="19"/>
                <w:szCs w:val="19"/>
              </w:rPr>
              <w:t xml:space="preserve">Overall Score: 32 / 100 — Requires critical fixes before production use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A" w:sz="1"/>
              <w:left w:val="single" w:color="1A7A6A" w:sz="1"/>
              <w:bottom w:val="single" w:color="1A7A6A" w:sz="1"/>
              <w:right w:val="single" w:color="1A7A6A" w:sz="1"/>
            </w:tcBorders>
            <w:shd w:fill="E6F4F1" w:val="clear"/>
            <w:tcMar>
              <w:top w:type="dxa" w:w="200"/>
              <w:left w:type="dxa" w:w="280"/>
              <w:bottom w:type="dxa" w:w="200"/>
              <w:right w:type="dxa" w:w="280"/>
            </w:tcMar>
          </w:tcPr>
          <w:p>
            <w:pPr>
              <w:spacing w:after="0" w:before="0"/>
            </w:pPr>
            <w:r>
              <w:rPr>
                <w:rFonts w:ascii="Arial" w:cs="Arial" w:eastAsia="Arial" w:hAnsi="Arial"/>
                <w:b/>
                <w:bCs/>
                <w:color w:val="145C50"/>
                <w:sz w:val="22"/>
                <w:szCs w:val="22"/>
              </w:rPr>
              <w:t xml:space="preserve">Root Cause Summary</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bCs/>
                <w:color w:val="2D2D2D"/>
                <w:sz w:val="21"/>
                <w:szCs w:val="21"/>
              </w:rPr>
              <w:t xml:space="preserve">Three compounding failure layers produce the 32/100 score:</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val="false"/>
                <w:bCs w:val="false"/>
                <w:color w:val="2D2D2D"/>
                <w:sz w:val="21"/>
                <w:szCs w:val="21"/>
              </w:rPr>
              <w:t xml:space="preserve">Layer 1 — Steel Qty is 64× understated (63.9× under). The AI processed only 2 of ~15 drawing tags from 1349001-B. Only CS-2620-001 and CS-2620-002 were fed into costing. The remaining 13 tags contributed zero material weight, directly causing a 98.4% undercount in the most expensive line item.</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val="false"/>
                <w:bCs w:val="false"/>
                <w:color w:val="2D2D2D"/>
                <w:sz w:val="21"/>
                <w:szCs w:val="21"/>
              </w:rPr>
              <w:t xml:space="preserve">Layer 2 — Rate card mismatch. The AI uses its own config defaults (labour AED 45/hr flat, blasting AED 55/SQM) instead of C&amp;J negotiated rates (welding AED 10.5/hr, blasting AED 9/SQM). These are not wrong in isolation — they are simply a different rate card.</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val="false"/>
                <w:bCs w:val="false"/>
                <w:color w:val="2D2D2D"/>
                <w:sz w:val="21"/>
                <w:szCs w:val="21"/>
              </w:rPr>
              <w:t xml:space="preserve">Layer 3 — Overhead and margin percentages differ. Original applies 32.7% overhead and 25.4% profit margin. AI applies 15% and 12% defaults from RATES &amp; CONFIG sheet, not from job-level parameters.</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5. What the AI Got Right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color="FFFFFF" w:sz="0"/>
              <w:left w:val="none" w:color="FFFFFF" w:sz="0"/>
              <w:bottom w:val="none" w:color="FFFFFF" w:sz="0"/>
              <w:right w:val="none" w:color="FFFFFF" w:sz="0"/>
            </w:tcBorders>
            <w:shd w:fill="EAFAF1"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EAFAF1"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Complete line item structure — all 26 Sr No rows are present with correct sequence and descriptions.</w:t>
            </w:r>
          </w:p>
        </w:tc>
      </w:tr>
      <w:tr>
        <w:tc>
          <w:tcPr>
            <w:tcW w:type="dxa" w:w="500"/>
            <w:tcBorders>
              <w:top w:val="none" w:color="FFFFFF" w:sz="0"/>
              <w:left w:val="none" w:color="FFFFFF" w:sz="0"/>
              <w:bottom w:val="none" w:color="FFFFFF" w:sz="0"/>
              <w:right w:val="none" w:color="FFFFFF" w:sz="0"/>
            </w:tcBorders>
            <w:shd w:fill="FFFFFF"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Unit rates for bolts (AED 12.50/nos), paint material (AED 21.00/litre), QA/QC (AED 3,000), and packing (AED 3,000) match the reference exactly.</w:t>
            </w:r>
          </w:p>
        </w:tc>
      </w:tr>
      <w:tr>
        <w:tc>
          <w:tcPr>
            <w:tcW w:type="dxa" w:w="500"/>
            <w:tcBorders>
              <w:top w:val="none" w:color="FFFFFF" w:sz="0"/>
              <w:left w:val="none" w:color="FFFFFF" w:sz="0"/>
              <w:bottom w:val="none" w:color="FFFFFF" w:sz="0"/>
              <w:right w:val="none" w:color="FFFFFF" w:sz="0"/>
            </w:tcBorders>
            <w:shd w:fill="EAFAF1"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EAFAF1"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All three required signatories are correct — Sachin Ahire (Estimation &amp; Planning Engineer), Subash Valrani (Manager), Zeeshan (Accountant).</w:t>
            </w:r>
          </w:p>
        </w:tc>
      </w:tr>
      <w:tr>
        <w:tc>
          <w:tcPr>
            <w:tcW w:type="dxa" w:w="500"/>
            <w:tcBorders>
              <w:top w:val="none" w:color="FFFFFF" w:sz="0"/>
              <w:left w:val="none" w:color="FFFFFF" w:sz="0"/>
              <w:bottom w:val="none" w:color="FFFFFF" w:sz="0"/>
              <w:right w:val="none" w:color="FFFFFF" w:sz="0"/>
            </w:tcBorders>
            <w:shd w:fill="FFFFFF"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The Audit Trail sheet is a genuinely useful addition — it logs per-tag direct costs (CS-2620-001: AED 2,256.72, CS-2620-002: AED 1,841.74) and overhead/margin formulas, improving transparency.</w:t>
            </w:r>
          </w:p>
        </w:tc>
      </w:tr>
      <w:tr>
        <w:tc>
          <w:tcPr>
            <w:tcW w:type="dxa" w:w="500"/>
            <w:tcBorders>
              <w:top w:val="none" w:color="FFFFFF" w:sz="0"/>
              <w:left w:val="none" w:color="FFFFFF" w:sz="0"/>
              <w:bottom w:val="none" w:color="FFFFFF" w:sz="0"/>
              <w:right w:val="none" w:color="FFFFFF" w:sz="0"/>
            </w:tcBorders>
            <w:shd w:fill="EAFAF1"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EAFAF1"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The RATES &amp; CONFIG sheet is a well-structured addition that makes rate assumptions explicit and auditable — a better practice than embedding rates silently in formulas.</w:t>
            </w:r>
          </w:p>
        </w:tc>
      </w:tr>
      <w:tr>
        <w:tc>
          <w:tcPr>
            <w:tcW w:type="dxa" w:w="500"/>
            <w:tcBorders>
              <w:top w:val="none" w:color="FFFFFF" w:sz="0"/>
              <w:left w:val="none" w:color="FFFFFF" w:sz="0"/>
              <w:bottom w:val="none" w:color="FFFFFF" w:sz="0"/>
              <w:right w:val="none" w:color="FFFFFF" w:sz="0"/>
            </w:tcBorders>
            <w:shd w:fill="FFFFFF"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Arithmetic internal consistency — within its own numbers, overhead (15% of AED 4,098.46 = AED 614.77), grand total, and selling price calculations are all mathematically correct.</w:t>
            </w:r>
          </w:p>
        </w:tc>
      </w:tr>
      <w:tr>
        <w:tc>
          <w:tcPr>
            <w:tcW w:type="dxa" w:w="500"/>
            <w:tcBorders>
              <w:top w:val="none" w:color="FFFFFF" w:sz="0"/>
              <w:left w:val="none" w:color="FFFFFF" w:sz="0"/>
              <w:bottom w:val="none" w:color="FFFFFF" w:sz="0"/>
              <w:right w:val="none" w:color="FFFFFF" w:sz="0"/>
            </w:tcBorders>
            <w:shd w:fill="EAFAF1" w:val="clear"/>
            <w:tcMar>
              <w:top w:type="dxa" w:w="100"/>
              <w:left w:type="dxa" w:w="140"/>
              <w:bottom w:type="dxa" w:w="100"/>
              <w:right w:type="dxa" w:w="0"/>
            </w:tcMar>
            <w:vAlign w:val="center"/>
          </w:tcPr>
          <w:p>
            <w:pPr>
              <w:spacing w:after="0" w:before="0"/>
              <w:jc w:val="center"/>
            </w:pPr>
            <w:r>
              <w:rPr>
                <w:rFonts w:ascii="Arial" w:cs="Arial" w:eastAsia="Arial" w:hAnsi="Arial"/>
                <w:b/>
                <w:bCs/>
                <w:color w:val="1E8449"/>
                <w:sz w:val="22"/>
                <w:szCs w:val="22"/>
              </w:rPr>
              <w:t xml:space="preserve">✅</w:t>
            </w:r>
          </w:p>
        </w:tc>
        <w:tc>
          <w:tcPr>
            <w:tcW w:type="dxa" w:w="8526"/>
            <w:tcBorders>
              <w:top w:val="none" w:color="FFFFFF" w:sz="0"/>
              <w:left w:val="none" w:color="FFFFFF" w:sz="0"/>
              <w:bottom w:val="none" w:color="FFFFFF" w:sz="0"/>
              <w:right w:val="none" w:color="FFFFFF" w:sz="0"/>
            </w:tcBorders>
            <w:shd w:fill="EAFAF1" w:val="clear"/>
            <w:tcMar>
              <w:top w:type="dxa" w:w="100"/>
              <w:left w:type="dxa" w:w="140"/>
              <w:bottom w:type="dxa" w:w="100"/>
              <w:right w:type="dxa" w:w="140"/>
            </w:tcMar>
            <w:vAlign w:val="center"/>
          </w:tcPr>
          <w:p>
            <w:pPr>
              <w:spacing w:after="0" w:before="0"/>
            </w:pPr>
            <w:r>
              <w:rPr>
                <w:rFonts w:ascii="Arial" w:cs="Arial" w:eastAsia="Arial" w:hAnsi="Arial"/>
                <w:color w:val="2D2D2D"/>
                <w:sz w:val="20"/>
                <w:szCs w:val="20"/>
              </w:rPr>
              <w:t xml:space="preserve">The auto-generated job reference format (JOB-20260420-0AC5AB) provides a traceable, date-stamped identifier suitable for a job management system.</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6. Improvement Plan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26"/>
        <w:gridCol w:w="3000"/>
      </w:tblGrid>
      <w:tr>
        <w:tc>
          <w:tcPr>
            <w:tcW w:type="dxa" w:w="7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Priority</w:t>
            </w:r>
          </w:p>
        </w:tc>
        <w:tc>
          <w:tcPr>
            <w:tcW w:type="dxa" w:w="18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Fix Area</w:t>
            </w:r>
          </w:p>
        </w:tc>
        <w:tc>
          <w:tcPr>
            <w:tcW w:type="dxa" w:w="3526"/>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Action Required</w:t>
            </w:r>
          </w:p>
        </w:tc>
        <w:tc>
          <w:tcPr>
            <w:tcW w:type="dxa" w:w="30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Expected Impact</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74C3C"/>
                <w:sz w:val="20"/>
                <w:szCs w:val="20"/>
              </w:rPr>
              <w:t xml:space="preserve">P1</w:t>
            </w:r>
          </w:p>
        </w:tc>
        <w:tc>
          <w:tcPr>
            <w:tcW w:type="dxa" w:w="18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Drawing Reader: Multi-Sheet Fix</w:t>
            </w:r>
          </w:p>
        </w:tc>
        <w:tc>
          <w:tcPr>
            <w:tcW w:type="dxa" w:w="35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Fix the Drawing Reader to process all 3 sheets of 1349001-B. Until all 15 tags are extracted, the steel quantity input will remain catastrophically wrong.</w:t>
            </w:r>
          </w:p>
        </w:tc>
        <w:tc>
          <w:tcPr>
            <w:tcW w:type="dxa" w:w="3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Steel qty recovers from 122 kg to ~7,800 kg. Grand total recovers from AED 4,713 to ~AED 75,000+. Score jumps from 32 to ~65/100.</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74C3C"/>
                <w:sz w:val="20"/>
                <w:szCs w:val="20"/>
              </w:rPr>
              <w:t xml:space="preserve">P1</w:t>
            </w:r>
          </w:p>
        </w:tc>
        <w:tc>
          <w:tcPr>
            <w:tcW w:type="dxa" w:w="18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C&amp;J Reference Rate Card</w:t>
            </w:r>
          </w:p>
        </w:tc>
        <w:tc>
          <w:tcPr>
            <w:tcW w:type="dxa" w:w="35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Replace RATES &amp; CONFIG defaults with actual C&amp;J negotiated rates: steel AED 4.00/kg, welding AED 10.50/hr, fabrication AED 9.50/hr, blasting AED 9.00/SQM, painting AED 11.00/SQM.</w:t>
            </w:r>
          </w:p>
        </w:tc>
        <w:tc>
          <w:tcPr>
            <w:tcW w:type="dxa" w:w="3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Eliminates rate basis mismatch across labour and surface treatment lines.</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74C3C"/>
                <w:sz w:val="20"/>
                <w:szCs w:val="20"/>
              </w:rPr>
              <w:t xml:space="preserve">P1</w:t>
            </w:r>
          </w:p>
        </w:tc>
        <w:tc>
          <w:tcPr>
            <w:tcW w:type="dxa" w:w="18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Populate All Quantity Fields</w:t>
            </w:r>
          </w:p>
        </w:tc>
        <w:tc>
          <w:tcPr>
            <w:tcW w:type="dxa" w:w="35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Bolts qty, paint material qty, consumables value, and MPI visits must be derived from drawing extraction output — not left blank.</w:t>
            </w:r>
          </w:p>
        </w:tc>
        <w:tc>
          <w:tcPr>
            <w:tcW w:type="dxa" w:w="3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Closes 4 fully blank line items; adds ~AED 14,000 to direct cost total.</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67E22"/>
                <w:sz w:val="20"/>
                <w:szCs w:val="20"/>
              </w:rPr>
              <w:t xml:space="preserve">P2</w:t>
            </w:r>
          </w:p>
        </w:tc>
        <w:tc>
          <w:tcPr>
            <w:tcW w:type="dxa" w:w="18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Overhead &amp; Margin Alignment</w:t>
            </w:r>
          </w:p>
        </w:tc>
        <w:tc>
          <w:tcPr>
            <w:tcW w:type="dxa" w:w="35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Overhead % (32.7%) and profit margin % (25.4%) must be read from job-level configuration, not RATES &amp; CONFIG defaults (15% / 12%).</w:t>
            </w:r>
          </w:p>
        </w:tc>
        <w:tc>
          <w:tcPr>
            <w:tcW w:type="dxa" w:w="3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Overhead recovers from AED 615 to ~AED 20,000. Net profit margin aligns with company policy.</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67E22"/>
                <w:sz w:val="20"/>
                <w:szCs w:val="20"/>
              </w:rPr>
              <w:t xml:space="preserve">P2</w:t>
            </w:r>
          </w:p>
        </w:tc>
        <w:tc>
          <w:tcPr>
            <w:tcW w:type="dxa" w:w="18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Header Field Population</w:t>
            </w:r>
          </w:p>
        </w:tc>
        <w:tc>
          <w:tcPr>
            <w:tcW w:type="dxa" w:w="35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Customer name, enquiry no, contact person, and contact number must be populated from job intake form before costing sheet is generated.</w:t>
            </w:r>
          </w:p>
        </w:tc>
        <w:tc>
          <w:tcPr>
            <w:tcW w:type="dxa" w:w="3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Eliminates 4 blank header fields; sheet becomes client-ready.</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E67E22"/>
                <w:sz w:val="20"/>
                <w:szCs w:val="20"/>
              </w:rPr>
              <w:t xml:space="preserve">P2</w:t>
            </w:r>
          </w:p>
        </w:tc>
        <w:tc>
          <w:tcPr>
            <w:tcW w:type="dxa" w:w="18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Compute All Line Item Totals</w:t>
            </w:r>
          </w:p>
        </w:tc>
        <w:tc>
          <w:tcPr>
            <w:tcW w:type="dxa" w:w="35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QA/QC (AED 3,000) and packing (AED 3,000) must have their total fields calculated, not left as rate-only entries.</w:t>
            </w:r>
          </w:p>
        </w:tc>
        <w:tc>
          <w:tcPr>
            <w:tcW w:type="dxa" w:w="3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Adds AED 6,000 to direct cost; corrects downstream totals.</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980B9"/>
                <w:sz w:val="20"/>
                <w:szCs w:val="20"/>
              </w:rPr>
              <w:t xml:space="preserve">P3</w:t>
            </w:r>
          </w:p>
        </w:tc>
        <w:tc>
          <w:tcPr>
            <w:tcW w:type="dxa" w:w="18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Labour Hour Calculation Logic</w:t>
            </w:r>
          </w:p>
        </w:tc>
        <w:tc>
          <w:tcPr>
            <w:tcW w:type="dxa" w:w="35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Welding and fabrication hours must be derived from steel weight using the correct formulas (e.g., welding: weight/manpower×day, fabrication: weight×factor) rather than a flat manhour estimate.</w:t>
            </w:r>
          </w:p>
        </w:tc>
        <w:tc>
          <w:tcPr>
            <w:tcW w:type="dxa" w:w="3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Aligns hours to actual scope; prevents understatement on large jobs.</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980B9"/>
                <w:sz w:val="20"/>
                <w:szCs w:val="20"/>
              </w:rPr>
              <w:t xml:space="preserve">P3</w:t>
            </w:r>
          </w:p>
        </w:tc>
        <w:tc>
          <w:tcPr>
            <w:tcW w:type="dxa" w:w="18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Surface Area Calculation</w:t>
            </w:r>
          </w:p>
        </w:tc>
        <w:tc>
          <w:tcPr>
            <w:tcW w:type="dxa" w:w="35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Blasting and painting SQM must be calculated from steel weight using the correct conversion factor (original: 200 SQM from 7,802 kg ≈ 0.0256 SQM/kg), not the drawing-reader area alone.</w:t>
            </w:r>
          </w:p>
        </w:tc>
        <w:tc>
          <w:tcPr>
            <w:tcW w:type="dxa" w:w="3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Recovers surface treatment cost from AED 196 to ~AED 4,000.</w:t>
            </w:r>
          </w:p>
        </w:tc>
      </w:tr>
      <w:tr>
        <w:tc>
          <w:tcPr>
            <w:tcW w:type="dxa" w:w="7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980B9"/>
                <w:sz w:val="20"/>
                <w:szCs w:val="20"/>
              </w:rPr>
              <w:t xml:space="preserve">P3</w:t>
            </w:r>
          </w:p>
        </w:tc>
        <w:tc>
          <w:tcPr>
            <w:tcW w:type="dxa" w:w="18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Consumables Auto-Calculation</w:t>
            </w:r>
          </w:p>
        </w:tc>
        <w:tc>
          <w:tcPr>
            <w:tcW w:type="dxa" w:w="35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Consumables (AED 5,348) are currently missing. Derive from a standard factor applied to steel weight and labour hours rather than leaving blank.</w:t>
            </w:r>
          </w:p>
        </w:tc>
        <w:tc>
          <w:tcPr>
            <w:tcW w:type="dxa" w:w="3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1A7A6A"/>
                <w:sz w:val="19"/>
                <w:szCs w:val="19"/>
              </w:rPr>
              <w:t xml:space="preserve">Adds ~AED 5,000 to direct cost; closes a significant blind spot.</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7. Recommended Code Changes</w:t>
      </w:r>
    </w:p>
    <w:p>
      <w:pPr>
        <w:spacing w:after="0" w:before="80"/>
      </w:pPr>
      <w:r>
        <w:t xml:space="preserve"/>
      </w:r>
    </w:p>
    <w:p>
      <w:pPr>
        <w:pStyle w:val="Heading2"/>
        <w:spacing w:after="120" w:before="240"/>
      </w:pPr>
      <w:r>
        <w:rPr>
          <w:rFonts w:ascii="Arial" w:cs="Arial" w:eastAsia="Arial" w:hAnsi="Arial"/>
          <w:b/>
          <w:bCs/>
          <w:color w:val="1A7A6A"/>
          <w:sz w:val="24"/>
          <w:szCs w:val="24"/>
        </w:rPr>
        <w:t xml:space="preserve">7.1  Fix 1 — Lock Rate Card to C&amp;J Reference Rates  [P1]</w:t>
      </w:r>
    </w:p>
    <w:p>
      <w:pPr>
        <w:spacing w:after="80" w:before="80"/>
        <w:jc w:val="left"/>
      </w:pPr>
      <w:r>
        <w:rPr>
          <w:rFonts w:ascii="Arial" w:cs="Arial" w:eastAsia="Arial" w:hAnsi="Arial"/>
          <w:b w:val="false"/>
          <w:bCs w:val="false"/>
          <w:i w:val="false"/>
          <w:iCs w:val="false"/>
          <w:color w:val="2D2D2D"/>
          <w:sz w:val="21"/>
          <w:szCs w:val="21"/>
        </w:rPr>
        <w:t xml:space="preserve">Replace the RATES &amp; CONFIG defaults with a C&amp;J master rate table that is loaded at job initialisation. The config sheet should remain for transparency, but values must come from the master table, not hardcoded defaults.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5C52" w:sz="1"/>
              <w:left w:val="single" w:color="2A5C52" w:sz="1"/>
              <w:bottom w:val="single" w:color="2A5C52" w:sz="1"/>
              <w:right w:val="single" w:color="2A5C52" w:sz="1"/>
            </w:tcBorders>
            <w:shd w:fill="1C3A34" w:val="clear"/>
            <w:tcMar>
              <w:top w:type="dxa" w:w="160"/>
              <w:left w:type="dxa" w:w="240"/>
              <w:bottom w:type="dxa" w:w="160"/>
              <w:right w:type="dxa" w:w="240"/>
            </w:tcMar>
          </w:tcPr>
          <w:p>
            <w:pPr>
              <w:spacing w:after="0" w:before="0"/>
            </w:pPr>
            <w:r>
              <w:rPr>
                <w:rFonts w:ascii="Courier New" w:cs="Courier New" w:eastAsia="Courier New" w:hAnsi="Courier New"/>
                <w:color w:val="A8D8B0"/>
                <w:sz w:val="18"/>
                <w:szCs w:val="18"/>
              </w:rPr>
              <w:t xml:space="preserve"># C&amp;J MASTER RATE TABLE — seed RATES &amp; CONFIG from this</w:t>
            </w:r>
          </w:p>
          <w:p>
            <w:pPr>
              <w:spacing w:after="0" w:before="0"/>
            </w:pPr>
            <w:r>
              <w:rPr>
                <w:rFonts w:ascii="Courier New" w:cs="Courier New" w:eastAsia="Courier New" w:hAnsi="Courier New"/>
                <w:color w:val="A8D8B0"/>
                <w:sz w:val="18"/>
                <w:szCs w:val="18"/>
              </w:rPr>
              <w:t xml:space="preserve">CJ_RATES = {</w:t>
            </w:r>
          </w:p>
          <w:p>
            <w:pPr>
              <w:spacing w:after="0" w:before="0"/>
            </w:pPr>
            <w:r>
              <w:rPr>
                <w:rFonts w:ascii="Courier New" w:cs="Courier New" w:eastAsia="Courier New" w:hAnsi="Courier New"/>
                <w:color w:val="A8D8B0"/>
                <w:sz w:val="18"/>
                <w:szCs w:val="18"/>
              </w:rPr>
              <w:t xml:space="preserve">    # Material rates</w:t>
            </w:r>
          </w:p>
          <w:p>
            <w:pPr>
              <w:spacing w:after="0" w:before="0"/>
            </w:pPr>
            <w:r>
              <w:rPr>
                <w:rFonts w:ascii="Courier New" w:cs="Courier New" w:eastAsia="Courier New" w:hAnsi="Courier New"/>
                <w:color w:val="A8D8B0"/>
                <w:sz w:val="18"/>
                <w:szCs w:val="18"/>
              </w:rPr>
              <w:t xml:space="preserve">    'structural_steel_per_kg':    4.00,   # AED/kg  (NOT 3.50)</w:t>
            </w:r>
          </w:p>
          <w:p>
            <w:pPr>
              <w:spacing w:after="0" w:before="0"/>
            </w:pPr>
            <w:r>
              <w:rPr>
                <w:rFonts w:ascii="Courier New" w:cs="Courier New" w:eastAsia="Courier New" w:hAnsi="Courier New"/>
                <w:color w:val="A8D8B0"/>
                <w:sz w:val="18"/>
                <w:szCs w:val="18"/>
              </w:rPr>
              <w:t xml:space="preserve">    'bolt_m20x90_per_nos':       12.50,   # AED/nos</w:t>
            </w:r>
          </w:p>
          <w:p>
            <w:pPr>
              <w:spacing w:after="0" w:before="0"/>
            </w:pPr>
            <w:r>
              <w:rPr>
                <w:rFonts w:ascii="Courier New" w:cs="Courier New" w:eastAsia="Courier New" w:hAnsi="Courier New"/>
                <w:color w:val="A8D8B0"/>
                <w:sz w:val="18"/>
                <w:szCs w:val="18"/>
              </w:rPr>
              <w:t xml:space="preserve">    'paint_material_per_litre':  21.00,   # AED/litre</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 Labour rates — project-specific, not hourly flat</w:t>
            </w:r>
          </w:p>
          <w:p>
            <w:pPr>
              <w:spacing w:after="0" w:before="0"/>
            </w:pPr>
            <w:r>
              <w:rPr>
                <w:rFonts w:ascii="Courier New" w:cs="Courier New" w:eastAsia="Courier New" w:hAnsi="Courier New"/>
                <w:color w:val="A8D8B0"/>
                <w:sz w:val="18"/>
                <w:szCs w:val="18"/>
              </w:rPr>
              <w:t xml:space="preserve">    'welding_per_hr':            10.50,   # AED/hr  (NOT 45.00)</w:t>
            </w:r>
          </w:p>
          <w:p>
            <w:pPr>
              <w:spacing w:after="0" w:before="0"/>
            </w:pPr>
            <w:r>
              <w:rPr>
                <w:rFonts w:ascii="Courier New" w:cs="Courier New" w:eastAsia="Courier New" w:hAnsi="Courier New"/>
                <w:color w:val="A8D8B0"/>
                <w:sz w:val="18"/>
                <w:szCs w:val="18"/>
              </w:rPr>
              <w:t xml:space="preserve">    'fabrication_per_hr':         9.50,   # AED/hr  (NOT 45.00)</w:t>
            </w:r>
          </w:p>
          <w:p>
            <w:pPr>
              <w:spacing w:after="0" w:before="0"/>
            </w:pPr>
            <w:r>
              <w:rPr>
                <w:rFonts w:ascii="Courier New" w:cs="Courier New" w:eastAsia="Courier New" w:hAnsi="Courier New"/>
                <w:color w:val="A8D8B0"/>
                <w:sz w:val="18"/>
                <w:szCs w:val="18"/>
              </w:rPr>
              <w:t xml:space="preserve">    'blasting_per_sqm':           9.00,   # AED/SQM (NOT 55.00)</w:t>
            </w:r>
          </w:p>
          <w:p>
            <w:pPr>
              <w:spacing w:after="0" w:before="0"/>
            </w:pPr>
            <w:r>
              <w:rPr>
                <w:rFonts w:ascii="Courier New" w:cs="Courier New" w:eastAsia="Courier New" w:hAnsi="Courier New"/>
                <w:color w:val="A8D8B0"/>
                <w:sz w:val="18"/>
                <w:szCs w:val="18"/>
              </w:rPr>
              <w:t xml:space="preserve">    'painting_per_sqm':          11.00,   # AED/SQM (NOT 55.00)</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 Financial parameters — job-level, not config defaults</w:t>
            </w:r>
          </w:p>
          <w:p>
            <w:pPr>
              <w:spacing w:after="0" w:before="0"/>
            </w:pPr>
            <w:r>
              <w:rPr>
                <w:rFonts w:ascii="Courier New" w:cs="Courier New" w:eastAsia="Courier New" w:hAnsi="Courier New"/>
                <w:color w:val="A8D8B0"/>
                <w:sz w:val="18"/>
                <w:szCs w:val="18"/>
              </w:rPr>
              <w:t xml:space="preserve">    'overhead_pct':              32.7,    # %  (NOT 15.0)</w:t>
            </w:r>
          </w:p>
          <w:p>
            <w:pPr>
              <w:spacing w:after="0" w:before="0"/>
            </w:pPr>
            <w:r>
              <w:rPr>
                <w:rFonts w:ascii="Courier New" w:cs="Courier New" w:eastAsia="Courier New" w:hAnsi="Courier New"/>
                <w:color w:val="A8D8B0"/>
                <w:sz w:val="18"/>
                <w:szCs w:val="18"/>
              </w:rPr>
              <w:t xml:space="preserve">    'profit_margin_pct':         25.4,    # %  (NOT 12.0)</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 Fixed costs</w:t>
            </w:r>
          </w:p>
          <w:p>
            <w:pPr>
              <w:spacing w:after="0" w:before="0"/>
            </w:pPr>
            <w:r>
              <w:rPr>
                <w:rFonts w:ascii="Courier New" w:cs="Courier New" w:eastAsia="Courier New" w:hAnsi="Courier New"/>
                <w:color w:val="A8D8B0"/>
                <w:sz w:val="18"/>
                <w:szCs w:val="18"/>
              </w:rPr>
              <w:t xml:space="preserve">    'qaqc_docs_per_lot':       3000.00,</w:t>
            </w:r>
          </w:p>
          <w:p>
            <w:pPr>
              <w:spacing w:after="0" w:before="0"/>
            </w:pPr>
            <w:r>
              <w:rPr>
                <w:rFonts w:ascii="Courier New" w:cs="Courier New" w:eastAsia="Courier New" w:hAnsi="Courier New"/>
                <w:color w:val="A8D8B0"/>
                <w:sz w:val="18"/>
                <w:szCs w:val="18"/>
              </w:rPr>
              <w:t xml:space="preserve">    'packing_per_lot':         3000.00,</w:t>
            </w:r>
          </w:p>
          <w:p>
            <w:pPr>
              <w:spacing w:after="0" w:before="0"/>
            </w:pPr>
            <w:r>
              <w:rPr>
                <w:rFonts w:ascii="Courier New" w:cs="Courier New" w:eastAsia="Courier New" w:hAnsi="Courier New"/>
                <w:color w:val="A8D8B0"/>
                <w:sz w:val="18"/>
                <w:szCs w:val="18"/>
              </w:rPr>
              <w:t xml:space="preserve">    'mpi_per_visit':            600.00,</w:t>
            </w:r>
          </w:p>
          <w:p>
            <w:pPr>
              <w:spacing w:after="0" w:before="0"/>
            </w:pPr>
            <w:r>
              <w:rPr>
                <w:rFonts w:ascii="Courier New" w:cs="Courier New" w:eastAsia="Courier New" w:hAnsi="Courier New"/>
                <w:color w:val="A8D8B0"/>
                <w:sz w:val="18"/>
                <w:szCs w:val="18"/>
              </w:rPr>
              <w:t xml:space="preserve">}</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Override config defaults at job creation:</w:t>
            </w:r>
          </w:p>
          <w:p>
            <w:pPr>
              <w:spacing w:after="0" w:before="0"/>
            </w:pPr>
            <w:r>
              <w:rPr>
                <w:rFonts w:ascii="Courier New" w:cs="Courier New" w:eastAsia="Courier New" w:hAnsi="Courier New"/>
                <w:color w:val="A8D8B0"/>
                <w:sz w:val="18"/>
                <w:szCs w:val="18"/>
              </w:rPr>
              <w:t xml:space="preserve">def init_job_rates(job_config: dict) -&gt; dict:</w:t>
            </w:r>
          </w:p>
          <w:p>
            <w:pPr>
              <w:spacing w:after="0" w:before="0"/>
            </w:pPr>
            <w:r>
              <w:rPr>
                <w:rFonts w:ascii="Courier New" w:cs="Courier New" w:eastAsia="Courier New" w:hAnsi="Courier New"/>
                <w:color w:val="A8D8B0"/>
                <w:sz w:val="18"/>
                <w:szCs w:val="18"/>
              </w:rPr>
              <w:t xml:space="preserve">    rates = CJ_RATES.copy()</w:t>
            </w:r>
          </w:p>
          <w:p>
            <w:pPr>
              <w:spacing w:after="0" w:before="0"/>
            </w:pPr>
            <w:r>
              <w:rPr>
                <w:rFonts w:ascii="Courier New" w:cs="Courier New" w:eastAsia="Courier New" w:hAnsi="Courier New"/>
                <w:color w:val="A8D8B0"/>
                <w:sz w:val="18"/>
                <w:szCs w:val="18"/>
              </w:rPr>
              <w:t xml:space="preserve">    # Allow job-level overrides if estimator provides them</w:t>
            </w:r>
          </w:p>
          <w:p>
            <w:pPr>
              <w:spacing w:after="0" w:before="0"/>
            </w:pPr>
            <w:r>
              <w:rPr>
                <w:rFonts w:ascii="Courier New" w:cs="Courier New" w:eastAsia="Courier New" w:hAnsi="Courier New"/>
                <w:color w:val="A8D8B0"/>
                <w:sz w:val="18"/>
                <w:szCs w:val="18"/>
              </w:rPr>
              <w:t xml:space="preserve">    rates.update(job_config.get('rate_overrides', {}))</w:t>
            </w:r>
          </w:p>
          <w:p>
            <w:pPr>
              <w:spacing w:after="0" w:before="0"/>
            </w:pPr>
            <w:r>
              <w:rPr>
                <w:rFonts w:ascii="Courier New" w:cs="Courier New" w:eastAsia="Courier New" w:hAnsi="Courier New"/>
                <w:color w:val="A8D8B0"/>
                <w:sz w:val="18"/>
                <w:szCs w:val="18"/>
              </w:rPr>
              <w:t xml:space="preserve">    return rates</w:t>
            </w:r>
          </w:p>
        </w:tc>
      </w:tr>
    </w:tbl>
    <w:p>
      <w:pPr>
        <w:spacing w:after="0" w:before="120"/>
      </w:pPr>
      <w:r>
        <w:t xml:space="preserve"/>
      </w:r>
    </w:p>
    <w:p>
      <w:pPr>
        <w:pStyle w:val="Heading2"/>
        <w:spacing w:after="120" w:before="240"/>
      </w:pPr>
      <w:r>
        <w:rPr>
          <w:rFonts w:ascii="Arial" w:cs="Arial" w:eastAsia="Arial" w:hAnsi="Arial"/>
          <w:b/>
          <w:bCs/>
          <w:color w:val="1A7A6A"/>
          <w:sz w:val="24"/>
          <w:szCs w:val="24"/>
        </w:rPr>
        <w:t xml:space="preserve">7.2  Fix 2 — Correct Labour Hour Formulas  [P1/P2]</w:t>
      </w:r>
    </w:p>
    <w:p>
      <w:pPr>
        <w:spacing w:after="80" w:before="80"/>
        <w:jc w:val="left"/>
      </w:pPr>
      <w:r>
        <w:rPr>
          <w:rFonts w:ascii="Arial" w:cs="Arial" w:eastAsia="Arial" w:hAnsi="Arial"/>
          <w:b w:val="false"/>
          <w:bCs w:val="false"/>
          <w:i w:val="false"/>
          <w:iCs w:val="false"/>
          <w:color w:val="2D2D2D"/>
          <w:sz w:val="21"/>
          <w:szCs w:val="21"/>
        </w:rPr>
        <w:t xml:space="preserve">Labour hours must be calculated from steel weight using schedule-based formulas, not from drawing manhour tags alone.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5C52" w:sz="1"/>
              <w:left w:val="single" w:color="2A5C52" w:sz="1"/>
              <w:bottom w:val="single" w:color="2A5C52" w:sz="1"/>
              <w:right w:val="single" w:color="2A5C52" w:sz="1"/>
            </w:tcBorders>
            <w:shd w:fill="1C3A34" w:val="clear"/>
            <w:tcMar>
              <w:top w:type="dxa" w:w="160"/>
              <w:left w:type="dxa" w:w="240"/>
              <w:bottom w:type="dxa" w:w="160"/>
              <w:right w:type="dxa" w:w="240"/>
            </w:tcMar>
          </w:tcPr>
          <w:p>
            <w:pPr>
              <w:spacing w:after="0" w:before="0"/>
            </w:pPr>
            <w:r>
              <w:rPr>
                <w:rFonts w:ascii="Courier New" w:cs="Courier New" w:eastAsia="Courier New" w:hAnsi="Courier New"/>
                <w:color w:val="A8D8B0"/>
                <w:sz w:val="18"/>
                <w:szCs w:val="18"/>
              </w:rPr>
              <w:t xml:space="preserve">def calculate_labour_hours(total_steel_kg: float, config: dict) -&gt; dict:</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Original basis:</w:t>
            </w:r>
          </w:p>
          <w:p>
            <w:pPr>
              <w:spacing w:after="0" w:before="0"/>
            </w:pPr>
            <w:r>
              <w:rPr>
                <w:rFonts w:ascii="Courier New" w:cs="Courier New" w:eastAsia="Courier New" w:hAnsi="Courier New"/>
                <w:color w:val="A8D8B0"/>
                <w:sz w:val="18"/>
                <w:szCs w:val="18"/>
              </w:rPr>
              <w:t xml:space="preserve">      Welding:     160 hrs for 7,802 kg = 2 welders x 10 days x 8 hrs</w:t>
            </w:r>
          </w:p>
          <w:p>
            <w:pPr>
              <w:spacing w:after="0" w:before="0"/>
            </w:pPr>
            <w:r>
              <w:rPr>
                <w:rFonts w:ascii="Courier New" w:cs="Courier New" w:eastAsia="Courier New" w:hAnsi="Courier New"/>
                <w:color w:val="A8D8B0"/>
                <w:sz w:val="18"/>
                <w:szCs w:val="18"/>
              </w:rPr>
              <w:t xml:space="preserve">      Fabrication: 320 hrs for 7,802 kg = 2 fab + 2 helper x 10 days x 8 hrs</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 Base schedule from original: 10 production days</w:t>
            </w:r>
          </w:p>
          <w:p>
            <w:pPr>
              <w:spacing w:after="0" w:before="0"/>
            </w:pPr>
            <w:r>
              <w:rPr>
                <w:rFonts w:ascii="Courier New" w:cs="Courier New" w:eastAsia="Courier New" w:hAnsi="Courier New"/>
                <w:color w:val="A8D8B0"/>
                <w:sz w:val="18"/>
                <w:szCs w:val="18"/>
              </w:rPr>
              <w:t xml:space="preserve">    welding_hrs_per_kg    = 160 / 7802.27   # = 0.0205 hr/kg</w:t>
            </w:r>
          </w:p>
          <w:p>
            <w:pPr>
              <w:spacing w:after="0" w:before="0"/>
            </w:pPr>
            <w:r>
              <w:rPr>
                <w:rFonts w:ascii="Courier New" w:cs="Courier New" w:eastAsia="Courier New" w:hAnsi="Courier New"/>
                <w:color w:val="A8D8B0"/>
                <w:sz w:val="18"/>
                <w:szCs w:val="18"/>
              </w:rPr>
              <w:t xml:space="preserve">    fabrication_hrs_per_kg = 320 / 7802.27  # = 0.0410 hr/kg</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welding_hrs    = round(total_steel_kg * welding_hrs_per_kg, 2)</w:t>
            </w:r>
          </w:p>
          <w:p>
            <w:pPr>
              <w:spacing w:after="0" w:before="0"/>
            </w:pPr>
            <w:r>
              <w:rPr>
                <w:rFonts w:ascii="Courier New" w:cs="Courier New" w:eastAsia="Courier New" w:hAnsi="Courier New"/>
                <w:color w:val="A8D8B0"/>
                <w:sz w:val="18"/>
                <w:szCs w:val="18"/>
              </w:rPr>
              <w:t xml:space="preserve">    fabrication_hrs = round(total_steel_kg * fabrication_hrs_per_kg, 2)</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return {</w:t>
            </w:r>
          </w:p>
          <w:p>
            <w:pPr>
              <w:spacing w:after="0" w:before="0"/>
            </w:pPr>
            <w:r>
              <w:rPr>
                <w:rFonts w:ascii="Courier New" w:cs="Courier New" w:eastAsia="Courier New" w:hAnsi="Courier New"/>
                <w:color w:val="A8D8B0"/>
                <w:sz w:val="18"/>
                <w:szCs w:val="18"/>
              </w:rPr>
              <w:t xml:space="preserve">        'welding_hrs':     welding_hrs,</w:t>
            </w:r>
          </w:p>
          <w:p>
            <w:pPr>
              <w:spacing w:after="0" w:before="0"/>
            </w:pPr>
            <w:r>
              <w:rPr>
                <w:rFonts w:ascii="Courier New" w:cs="Courier New" w:eastAsia="Courier New" w:hAnsi="Courier New"/>
                <w:color w:val="A8D8B0"/>
                <w:sz w:val="18"/>
                <w:szCs w:val="18"/>
              </w:rPr>
              <w:t xml:space="preserve">        'fabrication_hrs': fabrication_hrs,</w:t>
            </w:r>
          </w:p>
          <w:p>
            <w:pPr>
              <w:spacing w:after="0" w:before="0"/>
            </w:pPr>
            <w:r>
              <w:rPr>
                <w:rFonts w:ascii="Courier New" w:cs="Courier New" w:eastAsia="Courier New" w:hAnsi="Courier New"/>
                <w:color w:val="A8D8B0"/>
                <w:sz w:val="18"/>
                <w:szCs w:val="18"/>
              </w:rPr>
              <w:t xml:space="preserve">        'welding_cost':    welding_hrs    * config['welding_per_hr'],</w:t>
            </w:r>
          </w:p>
          <w:p>
            <w:pPr>
              <w:spacing w:after="0" w:before="0"/>
            </w:pPr>
            <w:r>
              <w:rPr>
                <w:rFonts w:ascii="Courier New" w:cs="Courier New" w:eastAsia="Courier New" w:hAnsi="Courier New"/>
                <w:color w:val="A8D8B0"/>
                <w:sz w:val="18"/>
                <w:szCs w:val="18"/>
              </w:rPr>
              <w:t xml:space="preserve">        'fabrication_cost': fabrication_hrs * config['fabrication_per_hr'],</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Example: 7802.27 kg -&gt;</w:t>
            </w:r>
          </w:p>
          <w:p>
            <w:pPr>
              <w:spacing w:after="0" w:before="0"/>
            </w:pPr>
            <w:r>
              <w:rPr>
                <w:rFonts w:ascii="Courier New" w:cs="Courier New" w:eastAsia="Courier New" w:hAnsi="Courier New"/>
                <w:color w:val="A8D8B0"/>
                <w:sz w:val="18"/>
                <w:szCs w:val="18"/>
              </w:rPr>
              <w:t xml:space="preserve">#   welding_hrs    = 160.0  -&gt; cost = 160 x 10.50 = AED 1,680</w:t>
            </w:r>
          </w:p>
          <w:p>
            <w:pPr>
              <w:spacing w:after="0" w:before="0"/>
            </w:pPr>
            <w:r>
              <w:rPr>
                <w:rFonts w:ascii="Courier New" w:cs="Courier New" w:eastAsia="Courier New" w:hAnsi="Courier New"/>
                <w:color w:val="A8D8B0"/>
                <w:sz w:val="18"/>
                <w:szCs w:val="18"/>
              </w:rPr>
              <w:t xml:space="preserve">#   fabrication_hrs = 320.0 -&gt; cost = 320 x  9.50 = AED 3,040</w:t>
            </w:r>
          </w:p>
        </w:tc>
      </w:tr>
    </w:tbl>
    <w:p>
      <w:pPr>
        <w:spacing w:after="0" w:before="120"/>
      </w:pPr>
      <w:r>
        <w:t xml:space="preserve"/>
      </w:r>
    </w:p>
    <w:p>
      <w:pPr>
        <w:pStyle w:val="Heading2"/>
        <w:spacing w:after="120" w:before="240"/>
      </w:pPr>
      <w:r>
        <w:rPr>
          <w:rFonts w:ascii="Arial" w:cs="Arial" w:eastAsia="Arial" w:hAnsi="Arial"/>
          <w:b/>
          <w:bCs/>
          <w:color w:val="1A7A6A"/>
          <w:sz w:val="24"/>
          <w:szCs w:val="24"/>
        </w:rPr>
        <w:t xml:space="preserve">7.3  Fix 3 — Surface Treatment Area from Steel Weight  [P2]</w:t>
      </w:r>
    </w:p>
    <w:p>
      <w:pPr>
        <w:spacing w:after="80" w:before="80"/>
        <w:jc w:val="left"/>
      </w:pPr>
      <w:r>
        <w:rPr>
          <w:rFonts w:ascii="Arial" w:cs="Arial" w:eastAsia="Arial" w:hAnsi="Arial"/>
          <w:b w:val="false"/>
          <w:bCs w:val="false"/>
          <w:i w:val="false"/>
          <w:iCs w:val="false"/>
          <w:color w:val="2D2D2D"/>
          <w:sz w:val="21"/>
          <w:szCs w:val="21"/>
        </w:rPr>
        <w:t xml:space="preserve">Blasting and painting SQM must be computed from total steel weight using the empirical conversion factor derived from the reference job.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5C52" w:sz="1"/>
              <w:left w:val="single" w:color="2A5C52" w:sz="1"/>
              <w:bottom w:val="single" w:color="2A5C52" w:sz="1"/>
              <w:right w:val="single" w:color="2A5C52" w:sz="1"/>
            </w:tcBorders>
            <w:shd w:fill="1C3A34" w:val="clear"/>
            <w:tcMar>
              <w:top w:type="dxa" w:w="160"/>
              <w:left w:type="dxa" w:w="240"/>
              <w:bottom w:type="dxa" w:w="160"/>
              <w:right w:type="dxa" w:w="240"/>
            </w:tcMar>
          </w:tcPr>
          <w:p>
            <w:pPr>
              <w:spacing w:after="0" w:before="0"/>
            </w:pPr>
            <w:r>
              <w:rPr>
                <w:rFonts w:ascii="Courier New" w:cs="Courier New" w:eastAsia="Courier New" w:hAnsi="Courier New"/>
                <w:color w:val="A8D8B0"/>
                <w:sz w:val="18"/>
                <w:szCs w:val="18"/>
              </w:rPr>
              <w:t xml:space="preserve">def calculate_surface_area(total_steel_kg: float) -&gt; float:</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Reference: 200 SQM from 7,802.27 kg</w:t>
            </w:r>
          </w:p>
          <w:p>
            <w:pPr>
              <w:spacing w:after="0" w:before="0"/>
            </w:pPr>
            <w:r>
              <w:rPr>
                <w:rFonts w:ascii="Courier New" w:cs="Courier New" w:eastAsia="Courier New" w:hAnsi="Courier New"/>
                <w:color w:val="A8D8B0"/>
                <w:sz w:val="18"/>
                <w:szCs w:val="18"/>
              </w:rPr>
              <w:t xml:space="preserve">    Conversion factor = 200 / 7802.27 = 0.02563 SQM/kg</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SQM_PER_KG = 200 / 7802.27  # = 0.02563</w:t>
            </w:r>
          </w:p>
          <w:p>
            <w:pPr>
              <w:spacing w:after="0" w:before="0"/>
            </w:pPr>
            <w:r>
              <w:rPr>
                <w:rFonts w:ascii="Courier New" w:cs="Courier New" w:eastAsia="Courier New" w:hAnsi="Courier New"/>
                <w:color w:val="A8D8B0"/>
                <w:sz w:val="18"/>
                <w:szCs w:val="18"/>
              </w:rPr>
              <w:t xml:space="preserve">    return round(total_steel_kg * SQM_PER_KG, 2)</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def calculate_surface_treatment(steel_kg: float, config: dict) -&gt; dict:</w:t>
            </w:r>
          </w:p>
          <w:p>
            <w:pPr>
              <w:spacing w:after="0" w:before="0"/>
            </w:pPr>
            <w:r>
              <w:rPr>
                <w:rFonts w:ascii="Courier New" w:cs="Courier New" w:eastAsia="Courier New" w:hAnsi="Courier New"/>
                <w:color w:val="A8D8B0"/>
                <w:sz w:val="18"/>
                <w:szCs w:val="18"/>
              </w:rPr>
              <w:t xml:space="preserve">    sqm = calculate_surface_area(steel_kg)</w:t>
            </w:r>
          </w:p>
          <w:p>
            <w:pPr>
              <w:spacing w:after="0" w:before="0"/>
            </w:pPr>
            <w:r>
              <w:rPr>
                <w:rFonts w:ascii="Courier New" w:cs="Courier New" w:eastAsia="Courier New" w:hAnsi="Courier New"/>
                <w:color w:val="A8D8B0"/>
                <w:sz w:val="18"/>
                <w:szCs w:val="18"/>
              </w:rPr>
              <w:t xml:space="preserve">    return {</w:t>
            </w:r>
          </w:p>
          <w:p>
            <w:pPr>
              <w:spacing w:after="0" w:before="0"/>
            </w:pPr>
            <w:r>
              <w:rPr>
                <w:rFonts w:ascii="Courier New" w:cs="Courier New" w:eastAsia="Courier New" w:hAnsi="Courier New"/>
                <w:color w:val="A8D8B0"/>
                <w:sz w:val="18"/>
                <w:szCs w:val="18"/>
              </w:rPr>
              <w:t xml:space="preserve">        'blast_sqm':      sqm,</w:t>
            </w:r>
          </w:p>
          <w:p>
            <w:pPr>
              <w:spacing w:after="0" w:before="0"/>
            </w:pPr>
            <w:r>
              <w:rPr>
                <w:rFonts w:ascii="Courier New" w:cs="Courier New" w:eastAsia="Courier New" w:hAnsi="Courier New"/>
                <w:color w:val="A8D8B0"/>
                <w:sz w:val="18"/>
                <w:szCs w:val="18"/>
              </w:rPr>
              <w:t xml:space="preserve">        'paint_sqm':      sqm,</w:t>
            </w:r>
          </w:p>
          <w:p>
            <w:pPr>
              <w:spacing w:after="0" w:before="0"/>
            </w:pPr>
            <w:r>
              <w:rPr>
                <w:rFonts w:ascii="Courier New" w:cs="Courier New" w:eastAsia="Courier New" w:hAnsi="Courier New"/>
                <w:color w:val="A8D8B0"/>
                <w:sz w:val="18"/>
                <w:szCs w:val="18"/>
              </w:rPr>
              <w:t xml:space="preserve">        'blast_cost':     round(sqm * config['blasting_per_sqm'], 2),</w:t>
            </w:r>
          </w:p>
          <w:p>
            <w:pPr>
              <w:spacing w:after="0" w:before="0"/>
            </w:pPr>
            <w:r>
              <w:rPr>
                <w:rFonts w:ascii="Courier New" w:cs="Courier New" w:eastAsia="Courier New" w:hAnsi="Courier New"/>
                <w:color w:val="A8D8B0"/>
                <w:sz w:val="18"/>
                <w:szCs w:val="18"/>
              </w:rPr>
              <w:t xml:space="preserve">        'paint_cost':     round(sqm * config['painting_per_sqm'], 2),</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Example: 7802.27 kg -&gt; 200 SQM</w:t>
            </w:r>
          </w:p>
          <w:p>
            <w:pPr>
              <w:spacing w:after="0" w:before="0"/>
            </w:pPr>
            <w:r>
              <w:rPr>
                <w:rFonts w:ascii="Courier New" w:cs="Courier New" w:eastAsia="Courier New" w:hAnsi="Courier New"/>
                <w:color w:val="A8D8B0"/>
                <w:sz w:val="18"/>
                <w:szCs w:val="18"/>
              </w:rPr>
              <w:t xml:space="preserve">#   blasting: 200 x  9.00 = AED 1,800</w:t>
            </w:r>
          </w:p>
          <w:p>
            <w:pPr>
              <w:spacing w:after="0" w:before="0"/>
            </w:pPr>
            <w:r>
              <w:rPr>
                <w:rFonts w:ascii="Courier New" w:cs="Courier New" w:eastAsia="Courier New" w:hAnsi="Courier New"/>
                <w:color w:val="A8D8B0"/>
                <w:sz w:val="18"/>
                <w:szCs w:val="18"/>
              </w:rPr>
              <w:t xml:space="preserve">#   painting: 200 x 11.00 = AED 2,200</w:t>
            </w:r>
          </w:p>
        </w:tc>
      </w:tr>
    </w:tbl>
    <w:p>
      <w:pPr>
        <w:spacing w:after="0" w:before="120"/>
      </w:pPr>
      <w:r>
        <w:t xml:space="preserve"/>
      </w:r>
    </w:p>
    <w:p>
      <w:pPr>
        <w:pStyle w:val="Heading2"/>
        <w:spacing w:after="120" w:before="240"/>
      </w:pPr>
      <w:r>
        <w:rPr>
          <w:rFonts w:ascii="Arial" w:cs="Arial" w:eastAsia="Arial" w:hAnsi="Arial"/>
          <w:b/>
          <w:bCs/>
          <w:color w:val="1A7A6A"/>
          <w:sz w:val="24"/>
          <w:szCs w:val="24"/>
        </w:rPr>
        <w:t xml:space="preserve">7.4  Fix 4 — Consumables Auto-Calculation  [P3]</w:t>
      </w:r>
    </w:p>
    <w:p>
      <w:pPr>
        <w:spacing w:after="80" w:before="80"/>
        <w:jc w:val="left"/>
      </w:pPr>
      <w:r>
        <w:rPr>
          <w:rFonts w:ascii="Arial" w:cs="Arial" w:eastAsia="Arial" w:hAnsi="Arial"/>
          <w:b w:val="false"/>
          <w:bCs w:val="false"/>
          <w:i w:val="false"/>
          <w:iCs w:val="false"/>
          <w:color w:val="2D2D2D"/>
          <w:sz w:val="21"/>
          <w:szCs w:val="21"/>
        </w:rPr>
        <w:t xml:space="preserve">Consumables (AED 5,348 in the reference) must be derived from a standard factor rather than left blank. Use a factor calibrated against the reference job.</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5C52" w:sz="1"/>
              <w:left w:val="single" w:color="2A5C52" w:sz="1"/>
              <w:bottom w:val="single" w:color="2A5C52" w:sz="1"/>
              <w:right w:val="single" w:color="2A5C52" w:sz="1"/>
            </w:tcBorders>
            <w:shd w:fill="1C3A34" w:val="clear"/>
            <w:tcMar>
              <w:top w:type="dxa" w:w="160"/>
              <w:left w:type="dxa" w:w="240"/>
              <w:bottom w:type="dxa" w:w="160"/>
              <w:right w:type="dxa" w:w="240"/>
            </w:tcMar>
          </w:tcPr>
          <w:p>
            <w:pPr>
              <w:spacing w:after="0" w:before="0"/>
            </w:pPr>
            <w:r>
              <w:rPr>
                <w:rFonts w:ascii="Courier New" w:cs="Courier New" w:eastAsia="Courier New" w:hAnsi="Courier New"/>
                <w:color w:val="A8D8B0"/>
                <w:sz w:val="18"/>
                <w:szCs w:val="18"/>
              </w:rPr>
              <w:t xml:space="preserve">def calculate_consumables(steel_kg: float, welding_hrs: float) -&gt; float:</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Reference: AED 5,348.31 for 7,802.27 kg + 160 weld hrs</w:t>
            </w:r>
          </w:p>
          <w:p>
            <w:pPr>
              <w:spacing w:after="0" w:before="0"/>
            </w:pPr>
            <w:r>
              <w:rPr>
                <w:rFonts w:ascii="Courier New" w:cs="Courier New" w:eastAsia="Courier New" w:hAnsi="Courier New"/>
                <w:color w:val="A8D8B0"/>
                <w:sz w:val="18"/>
                <w:szCs w:val="18"/>
              </w:rPr>
              <w:t xml:space="preserve">    Breakdown (estimated):</w:t>
            </w:r>
          </w:p>
          <w:p>
            <w:pPr>
              <w:spacing w:after="0" w:before="0"/>
            </w:pPr>
            <w:r>
              <w:rPr>
                <w:rFonts w:ascii="Courier New" w:cs="Courier New" w:eastAsia="Courier New" w:hAnsi="Courier New"/>
                <w:color w:val="A8D8B0"/>
                <w:sz w:val="18"/>
                <w:szCs w:val="18"/>
              </w:rPr>
              <w:t xml:space="preserve">      Welding electrodes/wire:  ~AED 3,500  (based on 160 hrs)</w:t>
            </w:r>
          </w:p>
          <w:p>
            <w:pPr>
              <w:spacing w:after="0" w:before="0"/>
            </w:pPr>
            <w:r>
              <w:rPr>
                <w:rFonts w:ascii="Courier New" w:cs="Courier New" w:eastAsia="Courier New" w:hAnsi="Courier New"/>
                <w:color w:val="A8D8B0"/>
                <w:sz w:val="18"/>
                <w:szCs w:val="18"/>
              </w:rPr>
              <w:t xml:space="preserve">      Grinding discs / cutting: ~AED 1,000</w:t>
            </w:r>
          </w:p>
          <w:p>
            <w:pPr>
              <w:spacing w:after="0" w:before="0"/>
            </w:pPr>
            <w:r>
              <w:rPr>
                <w:rFonts w:ascii="Courier New" w:cs="Courier New" w:eastAsia="Courier New" w:hAnsi="Courier New"/>
                <w:color w:val="A8D8B0"/>
                <w:sz w:val="18"/>
                <w:szCs w:val="18"/>
              </w:rPr>
              <w:t xml:space="preserve">      Gas / PPE / misc:         ~  AED 848</w:t>
            </w:r>
          </w:p>
          <w:p>
            <w:pPr>
              <w:spacing w:after="0" w:before="0"/>
            </w:pPr>
            <w:r>
              <w:rPr>
                <w:rFonts w:ascii="Courier New" w:cs="Courier New" w:eastAsia="Courier New" w:hAnsi="Courier New"/>
                <w:color w:val="A8D8B0"/>
                <w:sz w:val="18"/>
                <w:szCs w:val="18"/>
              </w:rPr>
              <w:t xml:space="preserve">    Simple factor: 5348.31 / 7802.27 = 0.685 AED/kg</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CONSUMABLE_RATE_PER_KG = 5348.31 / 7802.27  # = 0.6855</w:t>
            </w:r>
          </w:p>
          <w:p>
            <w:pPr>
              <w:spacing w:after="0" w:before="0"/>
            </w:pPr>
            <w:r>
              <w:rPr>
                <w:rFonts w:ascii="Courier New" w:cs="Courier New" w:eastAsia="Courier New" w:hAnsi="Courier New"/>
                <w:color w:val="A8D8B0"/>
                <w:sz w:val="18"/>
                <w:szCs w:val="18"/>
              </w:rPr>
              <w:t xml:space="preserve">    return round(steel_kg * CONSUMABLE_RATE_PER_KG, 2)</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Example: 7802.27 kg -&gt; AED 5,348.31  (matches reference exactly)</w:t>
            </w:r>
          </w:p>
        </w:tc>
      </w:tr>
    </w:tbl>
    <w:p>
      <w:pPr>
        <w:spacing w:after="0" w:before="120"/>
      </w:pPr>
      <w:r>
        <w:t xml:space="preserve"/>
      </w:r>
    </w:p>
    <w:p>
      <w:pPr>
        <w:pStyle w:val="Heading2"/>
        <w:spacing w:after="120" w:before="240"/>
      </w:pPr>
      <w:r>
        <w:rPr>
          <w:rFonts w:ascii="Arial" w:cs="Arial" w:eastAsia="Arial" w:hAnsi="Arial"/>
          <w:b/>
          <w:bCs/>
          <w:color w:val="1A7A6A"/>
          <w:sz w:val="24"/>
          <w:szCs w:val="24"/>
        </w:rPr>
        <w:t xml:space="preserve">7.5  Fix 5 — Header Field Population  [P2]</w:t>
      </w:r>
    </w:p>
    <w:p>
      <w:pPr>
        <w:spacing w:after="80" w:before="80"/>
        <w:jc w:val="left"/>
      </w:pPr>
      <w:r>
        <w:rPr>
          <w:rFonts w:ascii="Arial" w:cs="Arial" w:eastAsia="Arial" w:hAnsi="Arial"/>
          <w:b w:val="false"/>
          <w:bCs w:val="false"/>
          <w:i w:val="false"/>
          <w:iCs w:val="false"/>
          <w:color w:val="2D2D2D"/>
          <w:sz w:val="21"/>
          <w:szCs w:val="21"/>
        </w:rPr>
        <w:t xml:space="preserve">Customer metadata must be passed into the costing sheet generator from the job intake form, not left blank.</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5C52" w:sz="1"/>
              <w:left w:val="single" w:color="2A5C52" w:sz="1"/>
              <w:bottom w:val="single" w:color="2A5C52" w:sz="1"/>
              <w:right w:val="single" w:color="2A5C52" w:sz="1"/>
            </w:tcBorders>
            <w:shd w:fill="1C3A34" w:val="clear"/>
            <w:tcMar>
              <w:top w:type="dxa" w:w="160"/>
              <w:left w:type="dxa" w:w="240"/>
              <w:bottom w:type="dxa" w:w="160"/>
              <w:right w:type="dxa" w:w="240"/>
            </w:tcMar>
          </w:tcPr>
          <w:p>
            <w:pPr>
              <w:spacing w:after="0" w:before="0"/>
            </w:pPr>
            <w:r>
              <w:rPr>
                <w:rFonts w:ascii="Courier New" w:cs="Courier New" w:eastAsia="Courier New" w:hAnsi="Courier New"/>
                <w:color w:val="A8D8B0"/>
                <w:sz w:val="18"/>
                <w:szCs w:val="18"/>
              </w:rPr>
              <w:t xml:space="preserve">def build_costing_header(job_data: dict) -&gt; dict:</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job_data should come from the job intake / CRM form.</w:t>
            </w:r>
          </w:p>
          <w:p>
            <w:pPr>
              <w:spacing w:after="0" w:before="0"/>
            </w:pPr>
            <w:r>
              <w:rPr>
                <w:rFonts w:ascii="Courier New" w:cs="Courier New" w:eastAsia="Courier New" w:hAnsi="Courier New"/>
                <w:color w:val="A8D8B0"/>
                <w:sz w:val="18"/>
                <w:szCs w:val="18"/>
              </w:rPr>
              <w:t xml:space="preserve">    All fields are mandatory before costing sheet generation.</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required_fields = [</w:t>
            </w:r>
          </w:p>
          <w:p>
            <w:pPr>
              <w:spacing w:after="0" w:before="0"/>
            </w:pPr>
            <w:r>
              <w:rPr>
                <w:rFonts w:ascii="Courier New" w:cs="Courier New" w:eastAsia="Courier New" w:hAnsi="Courier New"/>
                <w:color w:val="A8D8B0"/>
                <w:sz w:val="18"/>
                <w:szCs w:val="18"/>
              </w:rPr>
              <w:t xml:space="preserve">        'customer_name',    # e.g. 'Descon Engineering'</w:t>
            </w:r>
          </w:p>
          <w:p>
            <w:pPr>
              <w:spacing w:after="0" w:before="0"/>
            </w:pPr>
            <w:r>
              <w:rPr>
                <w:rFonts w:ascii="Courier New" w:cs="Courier New" w:eastAsia="Courier New" w:hAnsi="Courier New"/>
                <w:color w:val="A8D8B0"/>
                <w:sz w:val="18"/>
                <w:szCs w:val="18"/>
              </w:rPr>
              <w:t xml:space="preserve">        'enquiry_no',       # e.g. '142676'</w:t>
            </w:r>
          </w:p>
          <w:p>
            <w:pPr>
              <w:spacing w:after="0" w:before="0"/>
            </w:pPr>
            <w:r>
              <w:rPr>
                <w:rFonts w:ascii="Courier New" w:cs="Courier New" w:eastAsia="Courier New" w:hAnsi="Courier New"/>
                <w:color w:val="A8D8B0"/>
                <w:sz w:val="18"/>
                <w:szCs w:val="18"/>
              </w:rPr>
              <w:t xml:space="preserve">        'attention_of',     # e.g. 'Mr. Harun Khan'</w:t>
            </w:r>
          </w:p>
          <w:p>
            <w:pPr>
              <w:spacing w:after="0" w:before="0"/>
            </w:pPr>
            <w:r>
              <w:rPr>
                <w:rFonts w:ascii="Courier New" w:cs="Courier New" w:eastAsia="Courier New" w:hAnsi="Courier New"/>
                <w:color w:val="A8D8B0"/>
                <w:sz w:val="18"/>
                <w:szCs w:val="18"/>
              </w:rPr>
              <w:t xml:space="preserve">        'contact_no',       # e.g. '971566529515'</w:t>
            </w:r>
          </w:p>
          <w:p>
            <w:pPr>
              <w:spacing w:after="0" w:before="0"/>
            </w:pPr>
            <w:r>
              <w:rPr>
                <w:rFonts w:ascii="Courier New" w:cs="Courier New" w:eastAsia="Courier New" w:hAnsi="Courier New"/>
                <w:color w:val="A8D8B0"/>
                <w:sz w:val="18"/>
                <w:szCs w:val="18"/>
              </w:rPr>
              <w:t xml:space="preserve">        'email',</w:t>
            </w:r>
          </w:p>
          <w:p>
            <w:pPr>
              <w:spacing w:after="0" w:before="0"/>
            </w:pPr>
            <w:r>
              <w:rPr>
                <w:rFonts w:ascii="Courier New" w:cs="Courier New" w:eastAsia="Courier New" w:hAnsi="Courier New"/>
                <w:color w:val="A8D8B0"/>
                <w:sz w:val="18"/>
                <w:szCs w:val="18"/>
              </w:rPr>
              <w:t xml:space="preserve">        'ref_no',           # e.g. 'CNJ/142676/01/2025'</w:t>
            </w:r>
          </w:p>
          <w:p>
            <w:pPr>
              <w:spacing w:after="0" w:before="0"/>
            </w:pPr>
            <w:r>
              <w:rPr>
                <w:rFonts w:ascii="Courier New" w:cs="Courier New" w:eastAsia="Courier New" w:hAnsi="Courier New"/>
                <w:color w:val="A8D8B0"/>
                <w:sz w:val="18"/>
                <w:szCs w:val="18"/>
              </w:rPr>
              <w:t xml:space="preserve">        'date',</w:t>
            </w:r>
          </w:p>
          <w:p>
            <w:pPr>
              <w:spacing w:after="0" w:before="0"/>
            </w:pPr>
            <w:r>
              <w:rPr>
                <w:rFonts w:ascii="Courier New" w:cs="Courier New" w:eastAsia="Courier New" w:hAnsi="Courier New"/>
                <w:color w:val="A8D8B0"/>
                <w:sz w:val="18"/>
                <w:szCs w:val="18"/>
              </w:rPr>
              <w:t xml:space="preserve">    ]</w:t>
            </w:r>
          </w:p>
          <w:p>
            <w:pPr>
              <w:spacing w:after="0" w:before="0"/>
            </w:pPr>
            <w:r>
              <w:rPr>
                <w:rFonts w:ascii="Courier New" w:cs="Courier New" w:eastAsia="Courier New" w:hAnsi="Courier New"/>
                <w:color w:val="A8D8B0"/>
                <w:sz w:val="18"/>
                <w:szCs w:val="18"/>
              </w:rPr>
              <w:t xml:space="preserve">    missing = [f for f in required_fields if not job_data.get(f)]</w:t>
            </w:r>
          </w:p>
          <w:p>
            <w:pPr>
              <w:spacing w:after="0" w:before="0"/>
            </w:pPr>
            <w:r>
              <w:rPr>
                <w:rFonts w:ascii="Courier New" w:cs="Courier New" w:eastAsia="Courier New" w:hAnsi="Courier New"/>
                <w:color w:val="A8D8B0"/>
                <w:sz w:val="18"/>
                <w:szCs w:val="18"/>
              </w:rPr>
              <w:t xml:space="preserve">    if missing:</w:t>
            </w:r>
          </w:p>
          <w:p>
            <w:pPr>
              <w:spacing w:after="0" w:before="0"/>
            </w:pPr>
            <w:r>
              <w:rPr>
                <w:rFonts w:ascii="Courier New" w:cs="Courier New" w:eastAsia="Courier New" w:hAnsi="Courier New"/>
                <w:color w:val="A8D8B0"/>
                <w:sz w:val="18"/>
                <w:szCs w:val="18"/>
              </w:rPr>
              <w:t xml:space="preserve">        raise ValueError(f'Missing required header fields: {missing}')</w:t>
            </w:r>
          </w:p>
          <w:p>
            <w:pPr>
              <w:spacing w:after="0" w:before="0"/>
            </w:pPr>
            <w:r>
              <w:rPr>
                <w:rFonts w:ascii="Courier New" w:cs="Courier New" w:eastAsia="Courier New" w:hAnsi="Courier New"/>
                <w:color w:val="A8D8B0"/>
                <w:sz w:val="18"/>
                <w:szCs w:val="18"/>
              </w:rPr>
              <w:t xml:space="preserve"/>
            </w:r>
          </w:p>
          <w:p>
            <w:pPr>
              <w:spacing w:after="0" w:before="0"/>
            </w:pPr>
            <w:r>
              <w:rPr>
                <w:rFonts w:ascii="Courier New" w:cs="Courier New" w:eastAsia="Courier New" w:hAnsi="Courier New"/>
                <w:color w:val="A8D8B0"/>
                <w:sz w:val="18"/>
                <w:szCs w:val="18"/>
              </w:rPr>
              <w:t xml:space="preserve">    return {k: job_data[k] for k in required_fields}</w:t>
            </w:r>
          </w:p>
        </w:tc>
      </w:tr>
    </w:tbl>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8. Projected Score After Fixes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1500"/>
        <w:gridCol w:w="1626"/>
      </w:tblGrid>
      <w:tr>
        <w:tc>
          <w:tcPr>
            <w:tcW w:type="dxa" w:w="24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Stage</w:t>
            </w:r>
          </w:p>
        </w:tc>
        <w:tc>
          <w:tcPr>
            <w:tcW w:type="dxa" w:w="20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Fixes Applied</w:t>
            </w:r>
          </w:p>
        </w:tc>
        <w:tc>
          <w:tcPr>
            <w:tcW w:type="dxa" w:w="15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Costing Score</w:t>
            </w:r>
          </w:p>
        </w:tc>
        <w:tc>
          <w:tcPr>
            <w:tcW w:type="dxa" w:w="1500"/>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Change</w:t>
            </w:r>
          </w:p>
        </w:tc>
        <w:tc>
          <w:tcPr>
            <w:tcW w:type="dxa" w:w="1626"/>
            <w:tcBorders>
              <w:top w:val="single" w:color="D5E8E4" w:sz="1"/>
              <w:left w:val="single" w:color="D5E8E4" w:sz="1"/>
              <w:bottom w:val="single" w:color="D5E8E4" w:sz="1"/>
              <w:right w:val="single" w:color="D5E8E4" w:sz="1"/>
            </w:tcBorders>
            <w:shd w:fill="1A7A6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9"/>
                <w:szCs w:val="19"/>
              </w:rPr>
              <w:t xml:space="preserve">Key Unlock</w:t>
            </w:r>
          </w:p>
        </w:tc>
      </w:tr>
      <w:tr>
        <w:tc>
          <w:tcPr>
            <w:tcW w:type="dxa" w:w="2400"/>
            <w:tcBorders>
              <w:top w:val="single" w:color="D5E8E4" w:sz="1"/>
              <w:left w:val="single" w:color="D5E8E4" w:sz="1"/>
              <w:bottom w:val="single" w:color="D5E8E4" w:sz="1"/>
              <w:right w:val="single" w:color="D5E8E4" w:sz="1"/>
            </w:tcBorders>
            <w:shd w:fill="FDECE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Baseline (Current)</w:t>
            </w:r>
          </w:p>
        </w:tc>
        <w:tc>
          <w:tcPr>
            <w:tcW w:type="dxa" w:w="2000"/>
            <w:tcBorders>
              <w:top w:val="single" w:color="D5E8E4" w:sz="1"/>
              <w:left w:val="single" w:color="D5E8E4" w:sz="1"/>
              <w:bottom w:val="single" w:color="D5E8E4" w:sz="1"/>
              <w:right w:val="single" w:color="D5E8E4" w:sz="1"/>
            </w:tcBorders>
            <w:shd w:fill="FDECE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None</w:t>
            </w:r>
          </w:p>
        </w:tc>
        <w:tc>
          <w:tcPr>
            <w:tcW w:type="dxa" w:w="1500"/>
            <w:tcBorders>
              <w:top w:val="single" w:color="D5E8E4" w:sz="1"/>
              <w:left w:val="single" w:color="D5E8E4" w:sz="1"/>
              <w:bottom w:val="single" w:color="D5E8E4" w:sz="1"/>
              <w:right w:val="single" w:color="D5E8E4" w:sz="1"/>
            </w:tcBorders>
            <w:shd w:fill="FDECEA"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22"/>
                <w:szCs w:val="22"/>
              </w:rPr>
              <w:t xml:space="preserve">32 / 100</w:t>
            </w:r>
          </w:p>
        </w:tc>
        <w:tc>
          <w:tcPr>
            <w:tcW w:type="dxa" w:w="1500"/>
            <w:tcBorders>
              <w:top w:val="single" w:color="D5E8E4" w:sz="1"/>
              <w:left w:val="single" w:color="D5E8E4" w:sz="1"/>
              <w:bottom w:val="single" w:color="D5E8E4" w:sz="1"/>
              <w:right w:val="single" w:color="D5E8E4" w:sz="1"/>
            </w:tcBorders>
            <w:shd w:fill="FDECE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2D2D2D"/>
                <w:sz w:val="19"/>
                <w:szCs w:val="19"/>
              </w:rPr>
              <w:t xml:space="preserve">—</w:t>
            </w:r>
          </w:p>
        </w:tc>
        <w:tc>
          <w:tcPr>
            <w:tcW w:type="dxa" w:w="1626"/>
            <w:tcBorders>
              <w:top w:val="single" w:color="D5E8E4" w:sz="1"/>
              <w:left w:val="single" w:color="D5E8E4" w:sz="1"/>
              <w:bottom w:val="single" w:color="D5E8E4" w:sz="1"/>
              <w:right w:val="single" w:color="D5E8E4" w:sz="1"/>
            </w:tcBorders>
            <w:shd w:fill="FDECEA"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2D2D2D"/>
                <w:sz w:val="19"/>
                <w:szCs w:val="19"/>
              </w:rPr>
              <w:t xml:space="preserve">—</w:t>
            </w:r>
          </w:p>
        </w:tc>
      </w:tr>
      <w:tr>
        <w:tc>
          <w:tcPr>
            <w:tcW w:type="dxa" w:w="24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After Drawing Reader Fix</w:t>
            </w:r>
          </w:p>
        </w:tc>
        <w:tc>
          <w:tcPr>
            <w:tcW w:type="dxa" w:w="2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Multi-sheet processing → correct steel qty</w:t>
            </w:r>
          </w:p>
        </w:tc>
        <w:tc>
          <w:tcPr>
            <w:tcW w:type="dxa" w:w="15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22"/>
                <w:szCs w:val="22"/>
              </w:rPr>
              <w:t xml:space="preserve">60 / 100</w:t>
            </w:r>
          </w:p>
        </w:tc>
        <w:tc>
          <w:tcPr>
            <w:tcW w:type="dxa" w:w="1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E8449"/>
                <w:sz w:val="19"/>
                <w:szCs w:val="19"/>
              </w:rPr>
              <w:t xml:space="preserve">+28 pts</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2D2D2D"/>
                <w:sz w:val="19"/>
                <w:szCs w:val="19"/>
              </w:rPr>
              <w:t xml:space="preserve">Material cost recovers from AED 427 to ~AED 31,000</w:t>
            </w:r>
          </w:p>
        </w:tc>
      </w:tr>
      <w:tr>
        <w:tc>
          <w:tcPr>
            <w:tcW w:type="dxa" w:w="24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After Rate Card Fix</w:t>
            </w:r>
          </w:p>
        </w:tc>
        <w:tc>
          <w:tcPr>
            <w:tcW w:type="dxa" w:w="20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C&amp;J reference rates applied</w:t>
            </w:r>
          </w:p>
        </w:tc>
        <w:tc>
          <w:tcPr>
            <w:tcW w:type="dxa" w:w="1500"/>
            <w:tcBorders>
              <w:top w:val="single" w:color="D5E8E4" w:sz="1"/>
              <w:left w:val="single" w:color="D5E8E4" w:sz="1"/>
              <w:bottom w:val="single" w:color="D5E8E4" w:sz="1"/>
              <w:right w:val="single" w:color="D5E8E4" w:sz="1"/>
            </w:tcBorders>
            <w:shd w:fill="F2FAF8" w:val="clear"/>
            <w:tcMar>
              <w:top w:type="dxa" w:w="100"/>
              <w:left w:type="dxa" w:w="100"/>
              <w:bottom w:type="dxa" w:w="100"/>
              <w:right w:type="dxa" w:w="100"/>
            </w:tcMar>
            <w:vAlign w:val="center"/>
          </w:tcPr>
          <w:p>
            <w:pPr>
              <w:spacing w:after="0" w:before="0"/>
              <w:jc w:val="center"/>
            </w:pPr>
            <w:r>
              <w:rPr>
                <w:rFonts w:ascii="Arial" w:cs="Arial" w:eastAsia="Arial" w:hAnsi="Arial"/>
                <w:b/>
                <w:bCs/>
                <w:color w:val="D35400"/>
                <w:sz w:val="22"/>
                <w:szCs w:val="22"/>
              </w:rPr>
              <w:t xml:space="preserve">72 / 100</w:t>
            </w:r>
          </w:p>
        </w:tc>
        <w:tc>
          <w:tcPr>
            <w:tcW w:type="dxa" w:w="1500"/>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E8449"/>
                <w:sz w:val="19"/>
                <w:szCs w:val="19"/>
              </w:rPr>
              <w:t xml:space="preserve">+12 pts</w:t>
            </w:r>
          </w:p>
        </w:tc>
        <w:tc>
          <w:tcPr>
            <w:tcW w:type="dxa" w:w="1626"/>
            <w:tcBorders>
              <w:top w:val="single" w:color="D5E8E4" w:sz="1"/>
              <w:left w:val="single" w:color="D5E8E4" w:sz="1"/>
              <w:bottom w:val="single" w:color="D5E8E4" w:sz="1"/>
              <w:right w:val="single" w:color="D5E8E4" w:sz="1"/>
            </w:tcBorders>
            <w:shd w:fill="F2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2D2D2D"/>
                <w:sz w:val="19"/>
                <w:szCs w:val="19"/>
              </w:rPr>
              <w:t xml:space="preserve">Labour &amp; surface treatment costs normalise</w:t>
            </w:r>
          </w:p>
        </w:tc>
      </w:tr>
      <w:tr>
        <w:tc>
          <w:tcPr>
            <w:tcW w:type="dxa" w:w="24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After All P1+P2 Fixes</w:t>
            </w:r>
          </w:p>
        </w:tc>
        <w:tc>
          <w:tcPr>
            <w:tcW w:type="dxa" w:w="20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Quantities, headers, overhead %, margin %</w:t>
            </w:r>
          </w:p>
        </w:tc>
        <w:tc>
          <w:tcPr>
            <w:tcW w:type="dxa" w:w="1500"/>
            <w:tcBorders>
              <w:top w:val="single" w:color="D5E8E4" w:sz="1"/>
              <w:left w:val="single" w:color="D5E8E4" w:sz="1"/>
              <w:bottom w:val="single" w:color="D5E8E4" w:sz="1"/>
              <w:right w:val="single" w:color="D5E8E4" w:sz="1"/>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22"/>
                <w:szCs w:val="22"/>
              </w:rPr>
              <w:t xml:space="preserve">85 / 100</w:t>
            </w:r>
          </w:p>
        </w:tc>
        <w:tc>
          <w:tcPr>
            <w:tcW w:type="dxa" w:w="1500"/>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E8449"/>
                <w:sz w:val="19"/>
                <w:szCs w:val="19"/>
              </w:rPr>
              <w:t xml:space="preserve">+13 pts</w:t>
            </w:r>
          </w:p>
        </w:tc>
        <w:tc>
          <w:tcPr>
            <w:tcW w:type="dxa" w:w="1626"/>
            <w:tcBorders>
              <w:top w:val="single" w:color="D5E8E4" w:sz="1"/>
              <w:left w:val="single" w:color="D5E8E4" w:sz="1"/>
              <w:bottom w:val="single" w:color="D5E8E4" w:sz="1"/>
              <w:right w:val="single" w:color="D5E8E4" w:sz="1"/>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2D2D2D"/>
                <w:sz w:val="19"/>
                <w:szCs w:val="19"/>
              </w:rPr>
              <w:t xml:space="preserve">All financial totals within 10% of reference</w:t>
            </w:r>
          </w:p>
        </w:tc>
      </w:tr>
      <w:tr>
        <w:tc>
          <w:tcPr>
            <w:tcW w:type="dxa" w:w="2400"/>
            <w:tcBorders>
              <w:top w:val="single" w:color="D5E8E4" w:sz="1"/>
              <w:left w:val="single" w:color="D5E8E4" w:sz="1"/>
              <w:bottom w:val="single" w:color="D5E8E4" w:sz="1"/>
              <w:right w:val="single" w:color="D5E8E4" w:sz="1"/>
            </w:tcBorders>
            <w:shd w:fill="EAFAF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2D2D2D"/>
                <w:sz w:val="19"/>
                <w:szCs w:val="19"/>
              </w:rPr>
              <w:t xml:space="preserve">After All P3 Fixes</w:t>
            </w:r>
          </w:p>
        </w:tc>
        <w:tc>
          <w:tcPr>
            <w:tcW w:type="dxa" w:w="2000"/>
            <w:tcBorders>
              <w:top w:val="single" w:color="D5E8E4" w:sz="1"/>
              <w:left w:val="single" w:color="D5E8E4" w:sz="1"/>
              <w:bottom w:val="single" w:color="D5E8E4" w:sz="1"/>
              <w:right w:val="single" w:color="D5E8E4" w:sz="1"/>
            </w:tcBorders>
            <w:shd w:fill="EAFA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2D2D2D"/>
                <w:sz w:val="19"/>
                <w:szCs w:val="19"/>
              </w:rPr>
              <w:t xml:space="preserve">Labour hours, surface area, consumables formula</w:t>
            </w:r>
          </w:p>
        </w:tc>
        <w:tc>
          <w:tcPr>
            <w:tcW w:type="dxa" w:w="1500"/>
            <w:tcBorders>
              <w:top w:val="single" w:color="D5E8E4" w:sz="1"/>
              <w:left w:val="single" w:color="D5E8E4" w:sz="1"/>
              <w:bottom w:val="single" w:color="D5E8E4" w:sz="1"/>
              <w:right w:val="single" w:color="D5E8E4" w:sz="1"/>
            </w:tcBorders>
            <w:shd w:fill="EAFAF1" w:val="clear"/>
            <w:tcMar>
              <w:top w:type="dxa" w:w="100"/>
              <w:left w:type="dxa" w:w="100"/>
              <w:bottom w:type="dxa" w:w="100"/>
              <w:right w:type="dxa" w:w="100"/>
            </w:tcMar>
            <w:vAlign w:val="center"/>
          </w:tcPr>
          <w:p>
            <w:pPr>
              <w:spacing w:after="0" w:before="0"/>
              <w:jc w:val="center"/>
            </w:pPr>
            <w:r>
              <w:rPr>
                <w:rFonts w:ascii="Arial" w:cs="Arial" w:eastAsia="Arial" w:hAnsi="Arial"/>
                <w:b/>
                <w:bCs/>
                <w:color w:val="1E8449"/>
                <w:sz w:val="22"/>
                <w:szCs w:val="22"/>
              </w:rPr>
              <w:t xml:space="preserve">93 / 100</w:t>
            </w:r>
          </w:p>
        </w:tc>
        <w:tc>
          <w:tcPr>
            <w:tcW w:type="dxa" w:w="1500"/>
            <w:tcBorders>
              <w:top w:val="single" w:color="D5E8E4" w:sz="1"/>
              <w:left w:val="single" w:color="D5E8E4" w:sz="1"/>
              <w:bottom w:val="single" w:color="D5E8E4" w:sz="1"/>
              <w:right w:val="single" w:color="D5E8E4" w:sz="1"/>
            </w:tcBorders>
            <w:shd w:fill="EAFAF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E8449"/>
                <w:sz w:val="19"/>
                <w:szCs w:val="19"/>
              </w:rPr>
              <w:t xml:space="preserve">+8 pts</w:t>
            </w:r>
          </w:p>
        </w:tc>
        <w:tc>
          <w:tcPr>
            <w:tcW w:type="dxa" w:w="1626"/>
            <w:tcBorders>
              <w:top w:val="single" w:color="D5E8E4" w:sz="1"/>
              <w:left w:val="single" w:color="D5E8E4" w:sz="1"/>
              <w:bottom w:val="single" w:color="D5E8E4" w:sz="1"/>
              <w:right w:val="single" w:color="D5E8E4" w:sz="1"/>
            </w:tcBorders>
            <w:shd w:fill="EAFA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iCs/>
                <w:color w:val="2D2D2D"/>
                <w:sz w:val="19"/>
                <w:szCs w:val="19"/>
              </w:rPr>
              <w:t xml:space="preserve">Production-grade costing accuracy</w:t>
            </w:r>
          </w:p>
        </w:tc>
      </w:tr>
    </w:tbl>
    <w:p>
      <w:pPr>
        <w:spacing w:after="0" w:before="120"/>
      </w:pPr>
      <w:r>
        <w:t xml:space="preserve"/>
      </w:r>
    </w:p>
    <w:p>
      <w:pPr>
        <w:spacing w:after="80" w:before="80"/>
        <w:jc w:val="left"/>
      </w:pPr>
      <w:r>
        <w:rPr>
          <w:rFonts w:ascii="Arial" w:cs="Arial" w:eastAsia="Arial" w:hAnsi="Arial"/>
          <w:b/>
          <w:bCs/>
          <w:i w:val="false"/>
          <w:iCs w:val="false"/>
          <w:color w:val="145C50"/>
          <w:sz w:val="21"/>
          <w:szCs w:val="21"/>
        </w:rPr>
        <w:t xml:space="preserve">The Drawing Reader multi-sheet fix (already documented in the Drawing Reader Accuracy Report) is the single most impactful action — it recovers 28 points on the costing sheet alone without changing any costing logic. The costing sheet and drawing reader failures are coupled; they must be resolved together.</w:t>
      </w:r>
    </w:p>
    <w:p>
      <w:pPr>
        <w:spacing w:after="0" w:before="160"/>
      </w:pPr>
      <w:r>
        <w:t xml:space="preserve"/>
      </w:r>
    </w:p>
    <w:p>
      <w:pPr>
        <w:pStyle w:val="Heading1"/>
        <w:pBdr>
          <w:bottom w:val="single" w:color="1A7A6A" w:sz="5" w:space="6"/>
        </w:pBdr>
        <w:spacing w:after="160" w:before="340"/>
      </w:pPr>
      <w:r>
        <w:rPr>
          <w:rFonts w:ascii="Arial" w:cs="Arial" w:eastAsia="Arial" w:hAnsi="Arial"/>
          <w:b/>
          <w:bCs/>
          <w:color w:val="145C50"/>
          <w:sz w:val="28"/>
          <w:szCs w:val="28"/>
        </w:rPr>
        <w:t xml:space="preserve">9. Verdict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A" w:sz="1"/>
              <w:left w:val="single" w:color="1A7A6A" w:sz="1"/>
              <w:bottom w:val="single" w:color="1A7A6A" w:sz="1"/>
              <w:right w:val="single" w:color="1A7A6A" w:sz="1"/>
            </w:tcBorders>
            <w:shd w:fill="E6F4F1" w:val="clear"/>
            <w:tcMar>
              <w:top w:type="dxa" w:w="200"/>
              <w:left w:type="dxa" w:w="280"/>
              <w:bottom w:type="dxa" w:w="200"/>
              <w:right w:type="dxa" w:w="280"/>
            </w:tcMar>
          </w:tcPr>
          <w:p>
            <w:pPr>
              <w:spacing w:after="0" w:before="0"/>
            </w:pPr>
            <w:r>
              <w:rPr>
                <w:rFonts w:ascii="Arial" w:cs="Arial" w:eastAsia="Arial" w:hAnsi="Arial"/>
                <w:b w:val="false"/>
                <w:bCs w:val="false"/>
                <w:color w:val="2D2D2D"/>
                <w:sz w:val="22"/>
                <w:szCs w:val="22"/>
              </w:rPr>
              <w:t xml:space="preserve">The AI-generated job costing sheet scores 32/100 — not because the costing logic is fundamentally broken, but because the input data feeding into it is catastrophically incomplete.</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val="false"/>
                <w:bCs w:val="false"/>
                <w:color w:val="2D2D2D"/>
                <w:sz w:val="21"/>
                <w:szCs w:val="21"/>
              </w:rPr>
              <w:t xml:space="preserve">The structural skeleton is correct. All 26 line items are present, the signatory block is accurate, and several unit rates match exactly. The sheet is internally arithmetically consistent within its own (wrong) numbers. The audit trail and config sheet are genuine improvements over the reference format.</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bCs/>
                <w:color w:val="2D2D2D"/>
                <w:sz w:val="21"/>
                <w:szCs w:val="21"/>
              </w:rPr>
              <w:t xml:space="preserve">The financial totals are off by 17× because:</w:t>
            </w:r>
          </w:p>
          <w:p>
            <w:pPr>
              <w:spacing w:after="0" w:before="80"/>
            </w:pPr>
            <w:r>
              <w:rPr>
                <w:rFonts w:ascii="Arial" w:cs="Arial" w:eastAsia="Arial" w:hAnsi="Arial"/>
                <w:b w:val="false"/>
                <w:bCs w:val="false"/>
                <w:color w:val="2D2D2D"/>
                <w:sz w:val="21"/>
                <w:szCs w:val="21"/>
              </w:rPr>
              <w:t xml:space="preserve">  1.  Steel weight is 64× understated (root cause: Drawing Reader only processed 2 of 15 tags).</w:t>
            </w:r>
          </w:p>
          <w:p>
            <w:pPr>
              <w:spacing w:after="0" w:before="80"/>
            </w:pPr>
            <w:r>
              <w:rPr>
                <w:rFonts w:ascii="Arial" w:cs="Arial" w:eastAsia="Arial" w:hAnsi="Arial"/>
                <w:b w:val="false"/>
                <w:bCs w:val="false"/>
                <w:color w:val="2D2D2D"/>
                <w:sz w:val="21"/>
                <w:szCs w:val="21"/>
              </w:rPr>
              <w:t xml:space="preserve">  2.  Labour and surface treatment rates use a different rate card than C&amp;J's actual negotiated rates.</w:t>
            </w:r>
          </w:p>
          <w:p>
            <w:pPr>
              <w:spacing w:after="0" w:before="80"/>
            </w:pPr>
            <w:r>
              <w:rPr>
                <w:rFonts w:ascii="Arial" w:cs="Arial" w:eastAsia="Arial" w:hAnsi="Arial"/>
                <w:b w:val="false"/>
                <w:bCs w:val="false"/>
                <w:color w:val="2D2D2D"/>
                <w:sz w:val="21"/>
                <w:szCs w:val="21"/>
              </w:rPr>
              <w:t xml:space="preserve">  3.  Overhead % and profit margin % are config defaults rather than job-level parameters.</w:t>
            </w:r>
          </w:p>
          <w:p>
            <w:pPr>
              <w:spacing w:after="0" w:before="80"/>
            </w:pPr>
            <w:r>
              <w:rPr>
                <w:rFonts w:ascii="Arial" w:cs="Arial" w:eastAsia="Arial" w:hAnsi="Arial"/>
                <w:b w:val="false"/>
                <w:bCs w:val="false"/>
                <w:color w:val="2D2D2D"/>
                <w:sz w:val="21"/>
                <w:szCs w:val="21"/>
              </w:rPr>
              <w:t xml:space="preserve"/>
            </w:r>
          </w:p>
          <w:p>
            <w:pPr>
              <w:spacing w:after="0" w:before="80"/>
            </w:pPr>
            <w:r>
              <w:rPr>
                <w:rFonts w:ascii="Arial" w:cs="Arial" w:eastAsia="Arial" w:hAnsi="Arial"/>
                <w:b/>
                <w:bCs/>
                <w:color w:val="145C50"/>
                <w:sz w:val="21"/>
                <w:szCs w:val="21"/>
              </w:rPr>
              <w:t xml:space="preserve">Fix the Drawing Reader first. Then lock the rate card. These two actions alone will raise the costing sheet from 32 to approximately 72/100 without changing the costing architecture. The remaining fixes (labour formulas, surface area calculation, consumables factor) are refinements that take the score to 93+.</w:t>
            </w:r>
          </w:p>
        </w:tc>
      </w:tr>
    </w:tbl>
    <w:p>
      <w:pPr>
        <w:spacing w:after="0" w:before="200"/>
      </w:pPr>
      <w:r>
        <w:t xml:space="preserve"/>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2026-04-22T07:29:22.825Z</dcterms:created>
  <dcterms:modified xsi:type="dcterms:W3CDTF">2026-04-22T07:29:22.827Z</dcterms:modified>
</cp:coreProperties>
</file>

<file path=docProps/custom.xml><?xml version="1.0" encoding="utf-8"?>
<Properties xmlns="http://schemas.openxmlformats.org/officeDocument/2006/custom-properties" xmlns:vt="http://schemas.openxmlformats.org/officeDocument/2006/docPropsVTypes"/>
</file>