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MES系统前端UI风格和视觉风格分析报告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设计系统</w:t>
      </w:r>
    </w:p>
    <w:p>
      <w:r>
        <w:rPr>
          <w:b/>
        </w:rPr>
        <w:t xml:space="preserve">UI框架: </w:t>
      </w:r>
      <w:r>
        <w:t>Ant Design (antd) - 企业级React组件库</w:t>
      </w:r>
    </w:p>
    <w:p>
      <w:r>
        <w:rPr>
          <w:b/>
        </w:rPr>
        <w:t xml:space="preserve">设计语言: </w:t>
      </w:r>
      <w:r>
        <w:t>企业级B端管理系统风格</w:t>
      </w:r>
    </w:p>
    <w:p>
      <w:r>
        <w:rPr>
          <w:b/>
        </w:rPr>
        <w:t xml:space="preserve">布局方式: </w:t>
      </w:r>
      <w:r>
        <w:t>Flexbox + CSS Grid</w:t>
      </w:r>
    </w:p>
    <w:p>
      <w:pPr>
        <w:pStyle w:val="Heading1"/>
      </w:pPr>
      <w:r>
        <w:t>2. 颜色系统</w:t>
      </w:r>
    </w:p>
    <w:p>
      <w:pPr>
        <w:pStyle w:val="Heading2"/>
      </w:pPr>
      <w:r>
        <w:t>2.1 主色调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颜色名称</w:t>
            </w:r>
          </w:p>
        </w:tc>
        <w:tc>
          <w:tcPr>
            <w:tcW w:type="dxa" w:w="2880"/>
          </w:tcPr>
          <w:p>
            <w:r>
              <w:t>颜色值</w:t>
            </w:r>
          </w:p>
        </w:tc>
        <w:tc>
          <w:tcPr>
            <w:tcW w:type="dxa" w:w="2880"/>
          </w:tcPr>
          <w:p>
            <w:r>
              <w:t>用途说明</w:t>
            </w:r>
          </w:p>
        </w:tc>
      </w:tr>
      <w:tr>
        <w:tc>
          <w:tcPr>
            <w:tcW w:type="dxa" w:w="2880"/>
          </w:tcPr>
          <w:p>
            <w:r>
              <w:t>品牌红</w:t>
            </w:r>
          </w:p>
        </w:tc>
        <w:tc>
          <w:tcPr>
            <w:tcW w:type="dxa" w:w="2880"/>
          </w:tcPr>
          <w:p>
            <w:r>
              <w:t>#C8000A</w:t>
            </w:r>
          </w:p>
        </w:tc>
        <w:tc>
          <w:tcPr>
            <w:tcW w:type="dxa" w:w="2880"/>
          </w:tcPr>
          <w:p>
            <w:r>
              <w:t>顶部导航栏（突出企业品牌）</w:t>
            </w:r>
          </w:p>
        </w:tc>
      </w:tr>
      <w:tr>
        <w:tc>
          <w:tcPr>
            <w:tcW w:type="dxa" w:w="2880"/>
          </w:tcPr>
          <w:p>
            <w:r>
              <w:t>主题蓝</w:t>
            </w:r>
          </w:p>
        </w:tc>
        <w:tc>
          <w:tcPr>
            <w:tcW w:type="dxa" w:w="2880"/>
          </w:tcPr>
          <w:p>
            <w:r>
              <w:t>#1677ff</w:t>
            </w:r>
          </w:p>
        </w:tc>
        <w:tc>
          <w:tcPr>
            <w:tcW w:type="dxa" w:w="2880"/>
          </w:tcPr>
          <w:p>
            <w:r>
              <w:t>主交互色、选中状态、链接</w:t>
            </w:r>
          </w:p>
        </w:tc>
      </w:tr>
      <w:tr>
        <w:tc>
          <w:tcPr>
            <w:tcW w:type="dxa" w:w="2880"/>
          </w:tcPr>
          <w:p>
            <w:r>
              <w:t>背景灰</w:t>
            </w:r>
          </w:p>
        </w:tc>
        <w:tc>
          <w:tcPr>
            <w:tcW w:type="dxa" w:w="2880"/>
          </w:tcPr>
          <w:p>
            <w:r>
              <w:t>#F0F2F5</w:t>
            </w:r>
          </w:p>
        </w:tc>
        <w:tc>
          <w:tcPr>
            <w:tcW w:type="dxa" w:w="2880"/>
          </w:tcPr>
          <w:p>
            <w:r>
              <w:t>主背景色</w:t>
            </w:r>
          </w:p>
        </w:tc>
      </w:tr>
      <w:tr>
        <w:tc>
          <w:tcPr>
            <w:tcW w:type="dxa" w:w="2880"/>
          </w:tcPr>
          <w:p>
            <w:r>
              <w:t>白色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卡片/模块背景</w:t>
            </w:r>
          </w:p>
        </w:tc>
      </w:tr>
    </w:tbl>
    <w:p>
      <w:pPr>
        <w:pStyle w:val="Heading2"/>
      </w:pPr>
      <w:r>
        <w:t>2.2 语义色彩（状态编码）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颜色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十六进制</w:t>
            </w:r>
          </w:p>
        </w:tc>
      </w:tr>
      <w:tr>
        <w:tc>
          <w:tcPr>
            <w:tcW w:type="dxa" w:w="2160"/>
          </w:tcPr>
          <w:p>
            <w:r>
              <w:t>✅ 成功</w:t>
            </w:r>
          </w:p>
        </w:tc>
        <w:tc>
          <w:tcPr>
            <w:tcW w:type="dxa" w:w="2160"/>
          </w:tcPr>
          <w:p>
            <w:r>
              <w:t>绿色</w:t>
            </w:r>
          </w:p>
        </w:tc>
        <w:tc>
          <w:tcPr>
            <w:tcW w:type="dxa" w:w="2160"/>
          </w:tcPr>
          <w:p>
            <w:r>
              <w:t>生产中、完成</w:t>
            </w:r>
          </w:p>
        </w:tc>
        <w:tc>
          <w:tcPr>
            <w:tcW w:type="dxa" w:w="2160"/>
          </w:tcPr>
          <w:p>
            <w:r>
              <w:t>#52c41a</w:t>
            </w:r>
          </w:p>
        </w:tc>
      </w:tr>
      <w:tr>
        <w:tc>
          <w:tcPr>
            <w:tcW w:type="dxa" w:w="2160"/>
          </w:tcPr>
          <w:p>
            <w:r>
              <w:t>⚠️ 警告</w:t>
            </w:r>
          </w:p>
        </w:tc>
        <w:tc>
          <w:tcPr>
            <w:tcW w:type="dxa" w:w="2160"/>
          </w:tcPr>
          <w:p>
            <w:r>
              <w:t>黄色</w:t>
            </w:r>
          </w:p>
        </w:tc>
        <w:tc>
          <w:tcPr>
            <w:tcW w:type="dxa" w:w="2160"/>
          </w:tcPr>
          <w:p>
            <w:r>
              <w:t>待转移、预警</w:t>
            </w:r>
          </w:p>
        </w:tc>
        <w:tc>
          <w:tcPr>
            <w:tcW w:type="dxa" w:w="2160"/>
          </w:tcPr>
          <w:p>
            <w:r>
              <w:t>#faad14</w:t>
            </w:r>
          </w:p>
        </w:tc>
      </w:tr>
      <w:tr>
        <w:tc>
          <w:tcPr>
            <w:tcW w:type="dxa" w:w="2160"/>
          </w:tcPr>
          <w:p>
            <w:r>
              <w:t>ℹ️ 信息</w:t>
            </w:r>
          </w:p>
        </w:tc>
        <w:tc>
          <w:tcPr>
            <w:tcW w:type="dxa" w:w="2160"/>
          </w:tcPr>
          <w:p>
            <w:r>
              <w:t>蓝色</w:t>
            </w:r>
          </w:p>
        </w:tc>
        <w:tc>
          <w:tcPr>
            <w:tcW w:type="dxa" w:w="2160"/>
          </w:tcPr>
          <w:p>
            <w:r>
              <w:t>待检验、处理中</w:t>
            </w:r>
          </w:p>
        </w:tc>
        <w:tc>
          <w:tcPr>
            <w:tcW w:type="dxa" w:w="2160"/>
          </w:tcPr>
          <w:p>
            <w:r>
              <w:t>#1677ff</w:t>
            </w:r>
          </w:p>
        </w:tc>
      </w:tr>
      <w:tr>
        <w:tc>
          <w:tcPr>
            <w:tcW w:type="dxa" w:w="2160"/>
          </w:tcPr>
          <w:p>
            <w:r>
              <w:t>❌ 错误</w:t>
            </w:r>
          </w:p>
        </w:tc>
        <w:tc>
          <w:tcPr>
            <w:tcW w:type="dxa" w:w="2160"/>
          </w:tcPr>
          <w:p>
            <w:r>
              <w:t>红色</w:t>
            </w:r>
          </w:p>
        </w:tc>
        <w:tc>
          <w:tcPr>
            <w:tcW w:type="dxa" w:w="2160"/>
          </w:tcPr>
          <w:p>
            <w:r>
              <w:t>异常停机、阻塞</w:t>
            </w:r>
          </w:p>
        </w:tc>
        <w:tc>
          <w:tcPr>
            <w:tcW w:type="dxa" w:w="2160"/>
          </w:tcPr>
          <w:p>
            <w:r>
              <w:t>#ff4d4f</w:t>
            </w:r>
          </w:p>
        </w:tc>
      </w:tr>
      <w:tr>
        <w:tc>
          <w:tcPr>
            <w:tcW w:type="dxa" w:w="2160"/>
          </w:tcPr>
          <w:p>
            <w:r>
              <w:t>⚪ 默认</w:t>
            </w:r>
          </w:p>
        </w:tc>
        <w:tc>
          <w:tcPr>
            <w:tcW w:type="dxa" w:w="2160"/>
          </w:tcPr>
          <w:p>
            <w:r>
              <w:t>灰色</w:t>
            </w:r>
          </w:p>
        </w:tc>
        <w:tc>
          <w:tcPr>
            <w:tcW w:type="dxa" w:w="2160"/>
          </w:tcPr>
          <w:p>
            <w:r>
              <w:t>未开工、闲置</w:t>
            </w:r>
          </w:p>
        </w:tc>
        <w:tc>
          <w:tcPr>
            <w:tcW w:type="dxa" w:w="2160"/>
          </w:tcPr>
          <w:p>
            <w:r>
              <w:t>#8c8c8c</w:t>
            </w:r>
          </w:p>
        </w:tc>
      </w:tr>
    </w:tbl>
    <w:p>
      <w:pPr>
        <w:pStyle w:val="Heading2"/>
      </w:pPr>
      <w:r>
        <w:t>2.3 文字层次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文字类型</w:t>
            </w:r>
          </w:p>
        </w:tc>
        <w:tc>
          <w:tcPr>
            <w:tcW w:type="dxa" w:w="4320"/>
          </w:tcPr>
          <w:p>
            <w:r>
              <w:t>颜色值</w:t>
            </w:r>
          </w:p>
        </w:tc>
      </w:tr>
      <w:tr>
        <w:tc>
          <w:tcPr>
            <w:tcW w:type="dxa" w:w="4320"/>
          </w:tcPr>
          <w:p>
            <w:r>
              <w:t>主文字</w:t>
            </w:r>
          </w:p>
        </w:tc>
        <w:tc>
          <w:tcPr>
            <w:tcW w:type="dxa" w:w="4320"/>
          </w:tcPr>
          <w:p>
            <w:r>
              <w:t>#1A1A1A / #262626</w:t>
            </w:r>
          </w:p>
        </w:tc>
      </w:tr>
      <w:tr>
        <w:tc>
          <w:tcPr>
            <w:tcW w:type="dxa" w:w="4320"/>
          </w:tcPr>
          <w:p>
            <w:r>
              <w:t>次要文字</w:t>
            </w:r>
          </w:p>
        </w:tc>
        <w:tc>
          <w:tcPr>
            <w:tcW w:type="dxa" w:w="4320"/>
          </w:tcPr>
          <w:p>
            <w:r>
              <w:t>#8C8C8C</w:t>
            </w:r>
          </w:p>
        </w:tc>
      </w:tr>
      <w:tr>
        <w:tc>
          <w:tcPr>
            <w:tcW w:type="dxa" w:w="4320"/>
          </w:tcPr>
          <w:p>
            <w:r>
              <w:t>辅助文字</w:t>
            </w:r>
          </w:p>
        </w:tc>
        <w:tc>
          <w:tcPr>
            <w:tcW w:type="dxa" w:w="4320"/>
          </w:tcPr>
          <w:p>
            <w:r>
              <w:t>#98A2B3 / #667085</w:t>
            </w:r>
          </w:p>
        </w:tc>
      </w:tr>
    </w:tbl>
    <w:p>
      <w:pPr>
        <w:pStyle w:val="Heading1"/>
      </w:pPr>
      <w:r>
        <w:t>3. 字体系统</w:t>
      </w:r>
    </w:p>
    <w:p>
      <w:r>
        <w:rPr>
          <w:b/>
        </w:rPr>
        <w:t xml:space="preserve">字体栈: </w:t>
      </w:r>
      <w:r>
        <w:t>-apple-system, BlinkMacSystemFont, 'PingFang SC', 'Microsoft YaHei', 'Segoe UI'</w:t>
      </w:r>
    </w:p>
    <w:p>
      <w:pPr>
        <w:pStyle w:val="Heading2"/>
      </w:pPr>
      <w:r>
        <w:t>字号层级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字号</w:t>
            </w:r>
          </w:p>
        </w:tc>
        <w:tc>
          <w:tcPr>
            <w:tcW w:type="dxa" w:w="2880"/>
          </w:tcPr>
          <w:p>
            <w:r>
              <w:t>字重</w:t>
            </w:r>
          </w:p>
        </w:tc>
      </w:tr>
      <w:tr>
        <w:tc>
          <w:tcPr>
            <w:tcW w:type="dxa" w:w="2880"/>
          </w:tcPr>
          <w:p>
            <w:r>
              <w:t>标题</w:t>
            </w:r>
          </w:p>
        </w:tc>
        <w:tc>
          <w:tcPr>
            <w:tcW w:type="dxa" w:w="2880"/>
          </w:tcPr>
          <w:p>
            <w:r>
              <w:t>16-26px</w:t>
            </w:r>
          </w:p>
        </w:tc>
        <w:tc>
          <w:tcPr>
            <w:tcW w:type="dxa" w:w="2880"/>
          </w:tcPr>
          <w:p>
            <w:r>
              <w:t>Font-weight: 600-800</w:t>
            </w:r>
          </w:p>
        </w:tc>
      </w:tr>
      <w:tr>
        <w:tc>
          <w:tcPr>
            <w:tcW w:type="dxa" w:w="2880"/>
          </w:tcPr>
          <w:p>
            <w:r>
              <w:t>正文</w:t>
            </w:r>
          </w:p>
        </w:tc>
        <w:tc>
          <w:tcPr>
            <w:tcW w:type="dxa" w:w="2880"/>
          </w:tcPr>
          <w:p>
            <w:r>
              <w:t>12-14px</w:t>
            </w:r>
          </w:p>
        </w:tc>
        <w:tc>
          <w:tcPr>
            <w:tcW w:type="dxa" w:w="2880"/>
          </w:tcPr>
          <w:p>
            <w:r>
              <w:t>Font-weight: 400-500</w:t>
            </w:r>
          </w:p>
        </w:tc>
      </w:tr>
      <w:tr>
        <w:tc>
          <w:tcPr>
            <w:tcW w:type="dxa" w:w="2880"/>
          </w:tcPr>
          <w:p>
            <w:r>
              <w:t>辅助</w:t>
            </w:r>
          </w:p>
        </w:tc>
        <w:tc>
          <w:tcPr>
            <w:tcW w:type="dxa" w:w="2880"/>
          </w:tcPr>
          <w:p>
            <w:r>
              <w:t>10-11px</w:t>
            </w:r>
          </w:p>
        </w:tc>
        <w:tc>
          <w:tcPr>
            <w:tcW w:type="dxa" w:w="2880"/>
          </w:tcPr>
          <w:p>
            <w:r>
              <w:t>Font-weight: 400-600</w:t>
            </w:r>
          </w:p>
        </w:tc>
      </w:tr>
    </w:tbl>
    <w:p>
      <w:r>
        <w:rPr>
          <w:b/>
        </w:rPr>
        <w:t xml:space="preserve">等宽字体: </w:t>
      </w:r>
      <w:r>
        <w:t>Menlo, Consolas - 用于工单号、时间戳等</w:t>
      </w:r>
    </w:p>
    <w:p>
      <w:pPr>
        <w:pStyle w:val="Heading1"/>
      </w:pPr>
      <w:r>
        <w:t>4. 布局结构</w:t>
      </w:r>
    </w:p>
    <w:p>
      <w:r>
        <w:rPr>
          <w:rFonts w:ascii="Courier New" w:hAnsi="Courier New"/>
        </w:rPr>
        <w:br/>
        <w:t>┌─────────────────────────────────────┐</w:t>
        <w:br/>
        <w:t>│  顶部导航 (50px, 红色)              │</w:t>
        <w:br/>
        <w:t>├──────────┬──────────────────────────┤</w:t>
        <w:br/>
        <w:t>│          │ 面包屑导航               │</w:t>
        <w:br/>
        <w:t>│  侧边栏  ├──────────────────────────┤</w:t>
        <w:br/>
        <w:t>│ (白色)   │ 主内容区 (灰色背景)      │</w:t>
        <w:br/>
        <w:t>│          │  - KPI卡片               │</w:t>
        <w:br/>
        <w:t>│          │  - 数据表格              │</w:t>
        <w:br/>
        <w:t>│          │  - 操作栏                │</w:t>
        <w:br/>
        <w:t>├──────────┴──────────────────────────┤</w:t>
        <w:br/>
        <w:t>│  底部Tab栏 (50px, 白色)            │</w:t>
        <w:br/>
        <w:t>└─────────────────────────────────────┘</w:t>
        <w:br/>
      </w:r>
    </w:p>
    <w:p>
      <w:pPr>
        <w:pStyle w:val="Heading1"/>
      </w:pPr>
      <w:r>
        <w:t>5. 组件风格</w:t>
      </w:r>
    </w:p>
    <w:p>
      <w:pPr>
        <w:pStyle w:val="Heading2"/>
      </w:pPr>
      <w:r>
        <w:t>5.1 卡片式设计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圆角</w:t>
            </w:r>
          </w:p>
        </w:tc>
        <w:tc>
          <w:tcPr>
            <w:tcW w:type="dxa" w:w="4320"/>
          </w:tcPr>
          <w:p>
            <w:r>
              <w:t>8-10px</w:t>
            </w:r>
          </w:p>
        </w:tc>
      </w:tr>
      <w:tr>
        <w:tc>
          <w:tcPr>
            <w:tcW w:type="dxa" w:w="4320"/>
          </w:tcPr>
          <w:p>
            <w:r>
              <w:t>阴影</w:t>
            </w:r>
          </w:p>
        </w:tc>
        <w:tc>
          <w:tcPr>
            <w:tcW w:type="dxa" w:w="4320"/>
          </w:tcPr>
          <w:p>
            <w:r>
              <w:t>0 1px 6px rgba(0,0,0,0.07) / 悬停时 0 6px 18px</w:t>
            </w:r>
          </w:p>
        </w:tc>
      </w:tr>
      <w:tr>
        <w:tc>
          <w:tcPr>
            <w:tcW w:type="dxa" w:w="4320"/>
          </w:tcPr>
          <w:p>
            <w:r>
              <w:t>边框</w:t>
            </w:r>
          </w:p>
        </w:tc>
        <w:tc>
          <w:tcPr>
            <w:tcW w:type="dxa" w:w="4320"/>
          </w:tcPr>
          <w:p>
            <w:r>
              <w:t>1px solid #f0f0f0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白色 #ffffff</w:t>
            </w:r>
          </w:p>
        </w:tc>
      </w:tr>
    </w:tbl>
    <w:p>
      <w:pPr>
        <w:pStyle w:val="Heading2"/>
      </w:pPr>
      <w:r>
        <w:t>5.2 按钮样式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小号(28px) / 中号(32px) / 大号(40px)</w:t>
            </w:r>
          </w:p>
        </w:tc>
      </w:tr>
      <w:tr>
        <w:tc>
          <w:tcPr>
            <w:tcW w:type="dxa" w:w="4320"/>
          </w:tcPr>
          <w:p>
            <w:r>
              <w:t>圆角</w:t>
            </w:r>
          </w:p>
        </w:tc>
        <w:tc>
          <w:tcPr>
            <w:tcW w:type="dxa" w:w="4320"/>
          </w:tcPr>
          <w:p>
            <w:r>
              <w:t>4-6px</w:t>
            </w:r>
          </w:p>
        </w:tc>
      </w:tr>
      <w:tr>
        <w:tc>
          <w:tcPr>
            <w:tcW w:type="dxa" w:w="4320"/>
          </w:tcPr>
          <w:p>
            <w:r>
              <w:t>交互</w:t>
            </w:r>
          </w:p>
        </w:tc>
        <w:tc>
          <w:tcPr>
            <w:tcW w:type="dxa" w:w="4320"/>
          </w:tcPr>
          <w:p>
            <w:r>
              <w:t>悬停时边框变蓝、文字变蓝</w:t>
            </w:r>
          </w:p>
        </w:tc>
      </w:tr>
    </w:tbl>
    <w:p>
      <w:pPr>
        <w:pStyle w:val="Heading2"/>
      </w:pPr>
      <w:r>
        <w:t>5.3 表格设计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</w:t>
            </w:r>
          </w:p>
        </w:tc>
        <w:tc>
          <w:tcPr>
            <w:tcW w:type="dxa" w:w="4320"/>
          </w:tcPr>
          <w:p>
            <w:r>
              <w:t>样式</w:t>
            </w:r>
          </w:p>
        </w:tc>
      </w:tr>
      <w:tr>
        <w:tc>
          <w:tcPr>
            <w:tcW w:type="dxa" w:w="4320"/>
          </w:tcPr>
          <w:p>
            <w:r>
              <w:t>头部</w:t>
            </w:r>
          </w:p>
        </w:tc>
        <w:tc>
          <w:tcPr>
            <w:tcW w:type="dxa" w:w="4320"/>
          </w:tcPr>
          <w:p>
            <w:r>
              <w:t>浅灰背景 #fafafa，字体加粗</w:t>
            </w:r>
          </w:p>
        </w:tc>
      </w:tr>
      <w:tr>
        <w:tc>
          <w:tcPr>
            <w:tcW w:type="dxa" w:w="4320"/>
          </w:tcPr>
          <w:p>
            <w:r>
              <w:t>行悬停</w:t>
            </w:r>
          </w:p>
        </w:tc>
        <w:tc>
          <w:tcPr>
            <w:tcW w:type="dxa" w:w="4320"/>
          </w:tcPr>
          <w:p>
            <w:r>
              <w:t>#fafafa</w:t>
            </w:r>
          </w:p>
        </w:tc>
      </w:tr>
      <w:tr>
        <w:tc>
          <w:tcPr>
            <w:tcW w:type="dxa" w:w="4320"/>
          </w:tcPr>
          <w:p>
            <w:r>
              <w:t>选中行</w:t>
            </w:r>
          </w:p>
        </w:tc>
        <w:tc>
          <w:tcPr>
            <w:tcW w:type="dxa" w:w="4320"/>
          </w:tcPr>
          <w:p>
            <w:r>
              <w:t>#e6f7ff</w:t>
            </w:r>
          </w:p>
        </w:tc>
      </w:tr>
      <w:tr>
        <w:tc>
          <w:tcPr>
            <w:tcW w:type="dxa" w:w="4320"/>
          </w:tcPr>
          <w:p>
            <w:r>
              <w:t>分页</w:t>
            </w:r>
          </w:p>
        </w:tc>
        <w:tc>
          <w:tcPr>
            <w:tcW w:type="dxa" w:w="4320"/>
          </w:tcPr>
          <w:p>
            <w:r>
              <w:t>右对齐，16px间距</w:t>
            </w:r>
          </w:p>
        </w:tc>
      </w:tr>
    </w:tbl>
    <w:p>
      <w:pPr>
        <w:pStyle w:val="Heading1"/>
      </w:pPr>
      <w:r>
        <w:t>6. 交互特点</w:t>
      </w:r>
    </w:p>
    <w:p>
      <w:pPr>
        <w:pStyle w:val="Heading2"/>
      </w:pPr>
      <w:r>
        <w:t>6.1 动画效果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过渡时间</w:t>
            </w:r>
          </w:p>
        </w:tc>
        <w:tc>
          <w:tcPr>
            <w:tcW w:type="dxa" w:w="4320"/>
          </w:tcPr>
          <w:p>
            <w:r>
              <w:t>0.15s - 0.3s</w:t>
            </w:r>
          </w:p>
        </w:tc>
      </w:tr>
      <w:tr>
        <w:tc>
          <w:tcPr>
            <w:tcW w:type="dxa" w:w="4320"/>
          </w:tcPr>
          <w:p>
            <w:r>
              <w:t>缓动函数</w:t>
            </w:r>
          </w:p>
        </w:tc>
        <w:tc>
          <w:tcPr>
            <w:tcW w:type="dxa" w:w="4320"/>
          </w:tcPr>
          <w:p>
            <w:r>
              <w:t>ease / cubic-bezier</w:t>
            </w:r>
          </w:p>
        </w:tc>
      </w:tr>
    </w:tbl>
    <w:p>
      <w:r>
        <w:rPr>
          <w:b/>
        </w:rPr>
        <w:t xml:space="preserve">悬停效果: </w:t>
      </w:r>
      <w:r>
        <w:t>卡片上浮2px、阴影加深</w:t>
      </w:r>
    </w:p>
    <w:p>
      <w:pPr>
        <w:pStyle w:val="Heading2"/>
      </w:pPr>
      <w:r>
        <w:t>6.2 状态反馈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状态类型</w:t>
            </w:r>
          </w:p>
        </w:tc>
        <w:tc>
          <w:tcPr>
            <w:tcW w:type="dxa" w:w="4320"/>
          </w:tcPr>
          <w:p>
            <w:r>
              <w:t>视觉效果</w:t>
            </w:r>
          </w:p>
        </w:tc>
      </w:tr>
      <w:tr>
        <w:tc>
          <w:tcPr>
            <w:tcW w:type="dxa" w:w="4320"/>
          </w:tcPr>
          <w:p>
            <w:r>
              <w:t>异常状态</w:t>
            </w:r>
          </w:p>
        </w:tc>
        <w:tc>
          <w:tcPr>
            <w:tcW w:type="dxa" w:w="4320"/>
          </w:tcPr>
          <w:p>
            <w:r>
              <w:t>红色边框闪烁动画 (1.2s infinite)</w:t>
            </w:r>
          </w:p>
        </w:tc>
      </w:tr>
      <w:tr>
        <w:tc>
          <w:tcPr>
            <w:tcW w:type="dxa" w:w="4320"/>
          </w:tcPr>
          <w:p>
            <w:r>
              <w:t>进行中</w:t>
            </w:r>
          </w:p>
        </w:tc>
        <w:tc>
          <w:tcPr>
            <w:tcW w:type="dxa" w:w="4320"/>
          </w:tcPr>
          <w:p>
            <w:r>
              <w:t>蓝色发光脉冲效果</w:t>
            </w:r>
          </w:p>
        </w:tc>
      </w:tr>
    </w:tbl>
    <w:p>
      <w:r>
        <w:rPr>
          <w:b/>
        </w:rPr>
        <w:t xml:space="preserve">选中项: </w:t>
      </w:r>
      <w:r>
        <w:t>左侧蓝色边框 + 蓝色勾号 ✓</w:t>
      </w:r>
    </w:p>
    <w:p>
      <w:pPr>
        <w:pStyle w:val="Heading2"/>
      </w:pPr>
      <w:r>
        <w:t>6.3 滚动条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宽度</w:t>
            </w:r>
          </w:p>
        </w:tc>
        <w:tc>
          <w:tcPr>
            <w:tcW w:type="dxa" w:w="4320"/>
          </w:tcPr>
          <w:p>
            <w:r>
              <w:t>4-6px</w:t>
            </w:r>
          </w:p>
        </w:tc>
      </w:tr>
      <w:tr>
        <w:tc>
          <w:tcPr>
            <w:tcW w:type="dxa" w:w="4320"/>
          </w:tcPr>
          <w:p>
            <w:r>
              <w:t>颜色</w:t>
            </w:r>
          </w:p>
        </w:tc>
        <w:tc>
          <w:tcPr>
            <w:tcW w:type="dxa" w:w="4320"/>
          </w:tcPr>
          <w:p>
            <w:r>
              <w:t>滑块 #D9D9D9，悬停时 #BFBFBF</w:t>
            </w:r>
          </w:p>
        </w:tc>
      </w:tr>
    </w:tbl>
    <w:p>
      <w:pPr>
        <w:pStyle w:val="Heading1"/>
      </w:pPr>
      <w:r>
        <w:t>7. 视觉特征</w:t>
      </w:r>
    </w:p>
    <w:p>
      <w:pPr>
        <w:pStyle w:val="Heading2"/>
      </w:pPr>
      <w:r>
        <w:t>7.1 设计理念</w:t>
      </w:r>
    </w:p>
    <w:p>
      <w:r>
        <w:rPr>
          <w:b/>
        </w:rPr>
        <w:t xml:space="preserve">• 卡片化: </w:t>
      </w:r>
      <w:r>
        <w:t>信息模块清晰分隔</w:t>
      </w:r>
    </w:p>
    <w:p>
      <w:r>
        <w:rPr>
          <w:b/>
        </w:rPr>
        <w:t xml:space="preserve">• 状态驱动: </w:t>
      </w:r>
      <w:r>
        <w:t>颜色编码直观传达设备/工单状态</w:t>
      </w:r>
    </w:p>
    <w:p>
      <w:r>
        <w:rPr>
          <w:b/>
        </w:rPr>
        <w:t xml:space="preserve">• 信息密度: </w:t>
      </w:r>
      <w:r>
        <w:t>适中，关键信息突出</w:t>
      </w:r>
    </w:p>
    <w:p>
      <w:r>
        <w:rPr>
          <w:b/>
        </w:rPr>
        <w:t xml:space="preserve">• 专业感: </w:t>
      </w:r>
      <w:r>
        <w:t>规整的网格布局、精确的间距</w:t>
      </w:r>
    </w:p>
    <w:p>
      <w:pPr>
        <w:pStyle w:val="Heading2"/>
      </w:pPr>
      <w:r>
        <w:t>7.2 特色元素</w:t>
      </w:r>
    </w:p>
    <w:p>
      <w:r>
        <w:rPr>
          <w:b/>
        </w:rPr>
        <w:t xml:space="preserve">• 实时看板: </w:t>
      </w:r>
      <w:r>
        <w:t>带脉冲动画的状态指示灯</w:t>
      </w:r>
    </w:p>
    <w:p>
      <w:r>
        <w:rPr>
          <w:b/>
        </w:rPr>
        <w:t xml:space="preserve">• 进度条: </w:t>
      </w:r>
      <w:r>
        <w:t>渐变色填充，带百分比标签</w:t>
      </w:r>
    </w:p>
    <w:p>
      <w:r>
        <w:rPr>
          <w:b/>
        </w:rPr>
        <w:t xml:space="preserve">• 徽章: </w:t>
      </w:r>
      <w:r>
        <w:t>圆角pill标签，带语义色背景</w:t>
      </w:r>
    </w:p>
    <w:p>
      <w:r>
        <w:rPr>
          <w:b/>
        </w:rPr>
        <w:t xml:space="preserve">• 抽屉: </w:t>
      </w:r>
      <w:r>
        <w:t>侧滑详情面板，保持上下文</w:t>
      </w:r>
    </w:p>
    <w:p>
      <w:pPr>
        <w:pStyle w:val="Heading1"/>
      </w:pPr>
      <w:r>
        <w:t>8. 主题支持</w:t>
      </w:r>
    </w:p>
    <w:p>
      <w:pPr>
        <w:pStyle w:val="Heading2"/>
      </w:pPr>
      <w:r>
        <w:t>8.1 亮色模式（默认）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元素类型</w:t>
            </w:r>
          </w:p>
        </w:tc>
        <w:tc>
          <w:tcPr>
            <w:tcW w:type="dxa" w:w="4320"/>
          </w:tcPr>
          <w:p>
            <w:r>
              <w:t>颜色值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#F0F2F5 / #ffffff</w:t>
            </w:r>
          </w:p>
        </w:tc>
      </w:tr>
      <w:tr>
        <w:tc>
          <w:tcPr>
            <w:tcW w:type="dxa" w:w="4320"/>
          </w:tcPr>
          <w:p>
            <w:r>
              <w:t>文字</w:t>
            </w:r>
          </w:p>
        </w:tc>
        <w:tc>
          <w:tcPr>
            <w:tcW w:type="dxa" w:w="4320"/>
          </w:tcPr>
          <w:p>
            <w:r>
              <w:t>#1A1A1A / #262626</w:t>
            </w:r>
          </w:p>
        </w:tc>
      </w:tr>
      <w:tr>
        <w:tc>
          <w:tcPr>
            <w:tcW w:type="dxa" w:w="4320"/>
          </w:tcPr>
          <w:p>
            <w:r>
              <w:t>边框</w:t>
            </w:r>
          </w:p>
        </w:tc>
        <w:tc>
          <w:tcPr>
            <w:tcW w:type="dxa" w:w="4320"/>
          </w:tcPr>
          <w:p>
            <w:r>
              <w:t>#F0F0F0 / #E8E8E8</w:t>
            </w:r>
          </w:p>
        </w:tc>
      </w:tr>
    </w:tbl>
    <w:p>
      <w:pPr>
        <w:pStyle w:val="Heading2"/>
      </w:pPr>
      <w:r>
        <w:t>8.2 暗色模式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元素类型</w:t>
            </w:r>
          </w:p>
        </w:tc>
        <w:tc>
          <w:tcPr>
            <w:tcW w:type="dxa" w:w="4320"/>
          </w:tcPr>
          <w:p>
            <w:r>
              <w:t>颜色值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#1f1f1f / #262626</w:t>
            </w:r>
          </w:p>
        </w:tc>
      </w:tr>
      <w:tr>
        <w:tc>
          <w:tcPr>
            <w:tcW w:type="dxa" w:w="4320"/>
          </w:tcPr>
          <w:p>
            <w:r>
              <w:t>文字</w:t>
            </w:r>
          </w:p>
        </w:tc>
        <w:tc>
          <w:tcPr>
            <w:tcW w:type="dxa" w:w="4320"/>
          </w:tcPr>
          <w:p>
            <w:r>
              <w:t>#d9d9d9 / #bfbfbf</w:t>
            </w:r>
          </w:p>
        </w:tc>
      </w:tr>
      <w:tr>
        <w:tc>
          <w:tcPr>
            <w:tcW w:type="dxa" w:w="4320"/>
          </w:tcPr>
          <w:p>
            <w:r>
              <w:t>边框</w:t>
            </w:r>
          </w:p>
        </w:tc>
        <w:tc>
          <w:tcPr>
            <w:tcW w:type="dxa" w:w="4320"/>
          </w:tcPr>
          <w:p>
            <w:r>
              <w:t>#303030 / #434343</w:t>
            </w:r>
          </w:p>
        </w:tc>
      </w:tr>
    </w:tbl>
    <w:p>
      <w:pPr>
        <w:pStyle w:val="Heading1"/>
      </w:pPr>
      <w:r>
        <w:t>9. 适用场景</w:t>
      </w:r>
    </w:p>
    <w:p>
      <w:r>
        <w:rPr>
          <w:b/>
        </w:rPr>
        <w:t xml:space="preserve">✅ 生产管理系统: </w:t>
      </w:r>
      <w:r>
        <w:t>状态实时监控</w:t>
      </w:r>
    </w:p>
    <w:p>
      <w:r>
        <w:rPr>
          <w:b/>
        </w:rPr>
        <w:t xml:space="preserve">✅ 数据密集型应用: </w:t>
      </w:r>
      <w:r>
        <w:t>列表、表格、看板</w:t>
      </w:r>
    </w:p>
    <w:p>
      <w:r>
        <w:rPr>
          <w:b/>
        </w:rPr>
        <w:t xml:space="preserve">✅ 企业后台系统: </w:t>
      </w:r>
      <w:r>
        <w:t>规范、专业、易用</w:t>
      </w:r>
    </w:p>
    <w:p>
      <w:r>
        <w:rPr>
          <w:b/>
        </w:rPr>
        <w:t xml:space="preserve">✅ 移动端适配: </w:t>
      </w:r>
      <w:r>
        <w:t>底部Tab栏、响应式布局</w:t>
      </w:r>
    </w:p>
    <w:p>
      <w:pPr>
        <w:pStyle w:val="Heading1"/>
      </w:pPr>
      <w:r>
        <w:t>10. 设计总结</w:t>
      </w:r>
    </w:p>
    <w:p>
      <w:r>
        <w:br/>
        <w:t>该MES系统UI设计采用现代化企业级设计语言，具有以下特点：</w:t>
        <w:br/>
        <w:br/>
        <w:t>1. 清晰的信息层次：通过卡片化布局和合理的间距，使信息结构清晰易读。</w:t>
        <w:br/>
        <w:br/>
        <w:t>2. 强状态语义：使用5种标准色彩（绿/黄/蓝/红/灰）系统化表达设备和工单状态，</w:t>
        <w:br/>
        <w:t xml:space="preserve">   便于生产人员快速识别。</w:t>
        <w:br/>
        <w:br/>
        <w:t>3. 专业工业风格：配色稳重，符合制造业应用的严谨性，同时保持视觉舒适度。</w:t>
        <w:br/>
        <w:br/>
        <w:t>4. 高效交互设计：悬停反馈、状态动画、选中标记等微交互增强用户体验。</w:t>
        <w:br/>
        <w:br/>
        <w:t>5. 良好的响应式支持：适配桌面端和移动端，底部Tab栏设计适合触屏操作。</w:t>
        <w:br/>
        <w:br/>
        <w:t>整体评价：这是一个清晰、高效、专业的企业级MES系统界面设计，状态语义化强，</w:t>
        <w:br/>
        <w:t>适合工业生产场景的实时监控和数据展示需求。</w:t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文档生成时间: 2026年5月3日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