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I also faced problem in communicating with my University Internship supervisor, Employees, </w:t>
      </w:r>
      <w:r w:rsidRPr="00933963">
        <w:rPr>
          <w:rFonts w:ascii="Times New Roman" w:eastAsia="Times New Roman" w:hAnsi="Times New Roman"/>
          <w:color w:val="000000"/>
          <w:szCs w:val="24"/>
        </w:rPr>
        <w:lastRenderedPageBreak/>
        <w:t>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480D5F">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480D5F">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56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480D5F">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480D5F">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480D5F">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480D5F">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480D5F">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480D5F">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480D5F">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480D5F">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480D5F">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480D5F">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480D5F">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480D5F">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480D5F">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480D5F">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111F" w14:textId="77777777" w:rsidR="00480D5F" w:rsidRDefault="00480D5F">
      <w:pPr>
        <w:spacing w:after="0" w:line="240" w:lineRule="auto"/>
      </w:pPr>
      <w:r>
        <w:separator/>
      </w:r>
    </w:p>
  </w:endnote>
  <w:endnote w:type="continuationSeparator" w:id="0">
    <w:p w14:paraId="079A4F1D" w14:textId="77777777" w:rsidR="00480D5F" w:rsidRDefault="0048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BD3089" w:rsidRDefault="00BD3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0A80B" w14:textId="77777777" w:rsidR="00480D5F" w:rsidRDefault="00480D5F">
      <w:pPr>
        <w:spacing w:after="0" w:line="240" w:lineRule="auto"/>
      </w:pPr>
      <w:r>
        <w:separator/>
      </w:r>
    </w:p>
  </w:footnote>
  <w:footnote w:type="continuationSeparator" w:id="0">
    <w:p w14:paraId="6E9D6CBF" w14:textId="77777777" w:rsidR="00480D5F" w:rsidRDefault="0048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17FF9"/>
    <w:rsid w:val="0002588D"/>
    <w:rsid w:val="00032459"/>
    <w:rsid w:val="000A4591"/>
    <w:rsid w:val="001001BC"/>
    <w:rsid w:val="00100E28"/>
    <w:rsid w:val="00101F53"/>
    <w:rsid w:val="001130D4"/>
    <w:rsid w:val="00121F62"/>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411FA4"/>
    <w:rsid w:val="004212B6"/>
    <w:rsid w:val="004617E5"/>
    <w:rsid w:val="00475B4D"/>
    <w:rsid w:val="00480D5F"/>
    <w:rsid w:val="00493510"/>
    <w:rsid w:val="004C1D2F"/>
    <w:rsid w:val="004D1CE2"/>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351BC"/>
    <w:rsid w:val="00851620"/>
    <w:rsid w:val="00852357"/>
    <w:rsid w:val="00883B76"/>
    <w:rsid w:val="00910520"/>
    <w:rsid w:val="00917B74"/>
    <w:rsid w:val="00921BDC"/>
    <w:rsid w:val="0094461D"/>
    <w:rsid w:val="0098493B"/>
    <w:rsid w:val="00993E2B"/>
    <w:rsid w:val="009A0E7A"/>
    <w:rsid w:val="009B42E6"/>
    <w:rsid w:val="009B5B43"/>
    <w:rsid w:val="009D51A5"/>
    <w:rsid w:val="009D5EDB"/>
    <w:rsid w:val="009E15DB"/>
    <w:rsid w:val="00A324D9"/>
    <w:rsid w:val="00A743DF"/>
    <w:rsid w:val="00AA34F2"/>
    <w:rsid w:val="00AC1C3E"/>
    <w:rsid w:val="00AD6315"/>
    <w:rsid w:val="00B24DCB"/>
    <w:rsid w:val="00B61169"/>
    <w:rsid w:val="00BD3089"/>
    <w:rsid w:val="00BD6528"/>
    <w:rsid w:val="00BF6C9D"/>
    <w:rsid w:val="00C56546"/>
    <w:rsid w:val="00C705C0"/>
    <w:rsid w:val="00C90FBC"/>
    <w:rsid w:val="00CC5C11"/>
    <w:rsid w:val="00CD6AF7"/>
    <w:rsid w:val="00D57CF6"/>
    <w:rsid w:val="00D816C1"/>
    <w:rsid w:val="00D87FD2"/>
    <w:rsid w:val="00DA0C5D"/>
    <w:rsid w:val="00DB4B1F"/>
    <w:rsid w:val="00E11667"/>
    <w:rsid w:val="00E5029F"/>
    <w:rsid w:val="00E5069F"/>
    <w:rsid w:val="00EA5D15"/>
    <w:rsid w:val="00EB3B70"/>
    <w:rsid w:val="00EF333C"/>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0EFD-3236-4A53-B5D3-64837397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5993</TotalTime>
  <Pages>64</Pages>
  <Words>16414</Words>
  <Characters>93560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31</cp:revision>
  <cp:lastPrinted>2022-03-07T10:07:00Z</cp:lastPrinted>
  <dcterms:created xsi:type="dcterms:W3CDTF">2022-01-26T11:41:00Z</dcterms:created>
  <dcterms:modified xsi:type="dcterms:W3CDTF">2022-03-26T12:01:00Z</dcterms:modified>
  <dc:language>en-US</dc:language>
</cp:coreProperties>
</file>