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65D"/>
          <w:sz w:val="40"/>
        </w:rPr>
        <w:t>MSBA 265 — MODULE 1 EXAM STUDY GUIDE</w:t>
      </w:r>
    </w:p>
    <w:p>
      <w:pPr>
        <w:jc w:val="center"/>
      </w:pPr>
      <w:r>
        <w:rPr>
          <w:b/>
          <w:sz w:val="23"/>
        </w:rPr>
        <w:t>Exploratory Data Analysis • Data Quality • Outliers • Model Choice • Production Pipelines</w:t>
      </w:r>
    </w:p>
    <w:p>
      <w:pPr>
        <w:jc w:val="center"/>
      </w:pPr>
      <w:r>
        <w:rPr>
          <w:i/>
          <w:sz w:val="20"/>
        </w:rPr>
        <w:t>Use this guide to know exactly what to review, what to ask yourself, what conclusion to reach, and why.</w:t>
      </w:r>
    </w:p>
    <w:p>
      <w:pPr>
        <w:pStyle w:val="Heading1"/>
      </w:pPr>
      <w:r>
        <w:t>How to Study This Module</w:t>
      </w:r>
    </w:p>
    <w:p>
      <w:r>
        <w:rPr>
          <w:b/>
        </w:rPr>
        <w:t xml:space="preserve">Do not memorize isolated letters or vocabulary. </w:t>
      </w:r>
      <w:r>
        <w:t xml:space="preserve">For every topic, practice the same four-step thought process: </w:t>
      </w:r>
      <w:r>
        <w:rPr>
          <w:b/>
        </w:rPr>
        <w:t>What is the variable? → What does the EDA show? → What could go wrong? → What action should the analyst take?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tcPr>
          <w:p>
            <w:r>
              <w:rPr>
                <w:b/>
              </w:rPr>
              <w:t>1. IDENTIFY</w:t>
            </w:r>
          </w:p>
        </w:tc>
        <w:tc>
          <w:tcPr>
            <w:tcW w:type="dxa" w:w="2592"/>
          </w:tcPr>
          <w:p>
            <w:r>
              <w:rPr>
                <w:b/>
              </w:rPr>
              <w:t>2. DIAGNOSE</w:t>
            </w:r>
          </w:p>
        </w:tc>
        <w:tc>
          <w:tcPr>
            <w:tcW w:type="dxa" w:w="2592"/>
          </w:tcPr>
          <w:p>
            <w:r>
              <w:rPr>
                <w:b/>
              </w:rPr>
              <w:t>3. EXPLAIN WHY</w:t>
            </w:r>
          </w:p>
        </w:tc>
        <w:tc>
          <w:tcPr>
            <w:tcW w:type="dxa" w:w="2592"/>
          </w:tcPr>
          <w:p>
            <w:r>
              <w:rPr>
                <w:b/>
              </w:rPr>
              <w:t>4. CHOOSE ACTION</w:t>
            </w:r>
          </w:p>
        </w:tc>
      </w:tr>
      <w:tr>
        <w:tc>
          <w:tcPr>
            <w:tcW w:type="dxa" w:w="2592"/>
          </w:tcPr>
          <w:p>
            <w:r>
              <w:t>Business meaning / data type</w:t>
            </w:r>
          </w:p>
        </w:tc>
        <w:tc>
          <w:tcPr>
            <w:tcW w:type="dxa" w:w="2592"/>
          </w:tcPr>
          <w:p>
            <w:r>
              <w:t>Shape, bounds, correlation, outliers</w:t>
            </w:r>
          </w:p>
        </w:tc>
        <w:tc>
          <w:tcPr>
            <w:tcW w:type="dxa" w:w="2592"/>
          </w:tcPr>
          <w:p>
            <w:r>
              <w:t>Math + domain risk</w:t>
            </w:r>
          </w:p>
        </w:tc>
        <w:tc>
          <w:tcPr>
            <w:tcW w:type="dxa" w:w="2592"/>
          </w:tcPr>
          <w:p>
            <w:r>
              <w:t>Keep, transform, encode, scale, or change model</w:t>
            </w:r>
          </w:p>
        </w:tc>
      </w:tr>
    </w:tbl>
    <w:p>
      <w:pPr>
        <w:pStyle w:val="Heading1"/>
      </w:pPr>
      <w:r>
        <w:t>The 10 Concepts You Must Be Able to Defend</w:t>
      </w:r>
    </w:p>
    <w:p>
      <w:pPr>
        <w:pStyle w:val="Heading2"/>
      </w:pPr>
      <w:r>
        <w:t>1. Business Data Dictionary: Why build it before modeling?</w:t>
      </w:r>
    </w:p>
    <w:p>
      <w:pPr>
        <w:pStyle w:val="LookHere"/>
      </w:pPr>
      <w:r>
        <w:t xml:space="preserve">WHERE TO LOOK: </w:t>
      </w:r>
      <w:r>
        <w:rPr>
          <w:b w:val="0"/>
        </w:rPr>
        <w:t>Workshop pp. 7–9: Cell 4 and §3.6–3.7, especially the Business Data Dictionary and Four Critical Domain Analytics Insights. Homework Part 2.</w:t>
      </w:r>
    </w:p>
    <w:p>
      <w:pPr>
        <w:pStyle w:val="StudyQuestion"/>
      </w:pPr>
      <w:r>
        <w:t xml:space="preserve">ASK YOURSELF: </w:t>
      </w:r>
      <w:r>
        <w:rPr>
          <w:b w:val="0"/>
        </w:rPr>
        <w:t>Before transforming a column, do I know what it actually measures, its unit, data type, valid range, and business meaning?</w:t>
      </w:r>
    </w:p>
    <w:p>
      <w:pPr>
        <w:pStyle w:val="Answer"/>
      </w:pPr>
      <w:r>
        <w:t xml:space="preserve">ANSWER YOU SHOULD REACH: </w:t>
      </w:r>
      <w:r>
        <w:rPr>
          <w:b w:val="0"/>
        </w:rPr>
        <w:t>A Business Data Dictionary maps technical variables to domain definitions, operational units, data types, and business logic so those meanings govern downstream feature engineering and preprocessing.</w:t>
      </w:r>
    </w:p>
    <w:p>
      <w:pPr>
        <w:pStyle w:val="Why"/>
      </w:pPr>
      <w:r>
        <w:t xml:space="preserve">WHY: </w:t>
      </w:r>
      <w:r>
        <w:rPr>
          <w:b w:val="0"/>
        </w:rPr>
        <w:t>A computer sees values; it does not automatically know that Exposure means time at risk, ClaimNb is a count, or BonusMalus is a regulatory index. The dictionary prevents technically valid but operationally wrong transformations.</w:t>
      </w:r>
    </w:p>
    <w:p>
      <w:r>
        <w:rPr>
          <w:b/>
        </w:rPr>
        <w:t xml:space="preserve">EXAM TRIGGER / MEMORY CUE: </w:t>
      </w:r>
      <w:r>
        <w:t>If an answer says the dictionary exists mainly to delete text columns, compute p-values, or perform train/test splitting, that is not its primary operational purpose.</w:t>
      </w:r>
    </w:p>
    <w:p>
      <w:pPr>
        <w:pStyle w:val="Heading2"/>
      </w:pPr>
      <w:r>
        <w:t>2. Density vs. Area: Why should both not enter the same linear model?</w:t>
      </w:r>
    </w:p>
    <w:p>
      <w:pPr>
        <w:pStyle w:val="LookHere"/>
      </w:pPr>
      <w:r>
        <w:t xml:space="preserve">WHERE TO LOOK: </w:t>
      </w:r>
      <w:r>
        <w:rPr>
          <w:b w:val="0"/>
        </w:rPr>
        <w:t>Workshop p. 8: §3.7, “Density vs. Area — Spatial Redundancy Management.” Homework Part 2.4.</w:t>
      </w:r>
    </w:p>
    <w:p>
      <w:pPr>
        <w:pStyle w:val="StudyQuestion"/>
      </w:pPr>
      <w:r>
        <w:t xml:space="preserve">ASK YOURSELF: </w:t>
      </w:r>
      <w:r>
        <w:rPr>
          <w:b w:val="0"/>
        </w:rPr>
        <w:t>Are these two features giving the model genuinely different information, or are they two versions of the same underlying concept?</w:t>
      </w:r>
    </w:p>
    <w:p>
      <w:pPr>
        <w:pStyle w:val="Answer"/>
      </w:pPr>
      <w:r>
        <w:t xml:space="preserve">ANSWER YOU SHOULD REACH: </w:t>
      </w:r>
      <w:r>
        <w:rPr>
          <w:b w:val="0"/>
        </w:rPr>
        <w:t>Density is a continuous people/km² measure; Area is a binned ordinal representation of urban density (A = rural through F = urban). Including both creates severe feature redundancy/collinearity and can destabilize coefficient estimates. Select one representation.</w:t>
      </w:r>
    </w:p>
    <w:p>
      <w:pPr>
        <w:pStyle w:val="Why"/>
      </w:pPr>
      <w:r>
        <w:t xml:space="preserve">WHY: </w:t>
      </w:r>
      <w:r>
        <w:rPr>
          <w:b w:val="0"/>
        </w:rPr>
        <w:t>When predictors carry overlapping information, the model has difficulty separating their individual effects. The course blueprint keeps continuous log(Density) and excludes Area.</w:t>
      </w:r>
    </w:p>
    <w:p>
      <w:r>
        <w:rPr>
          <w:b/>
        </w:rPr>
        <w:t xml:space="preserve">EXAM TRIGGER / MEMORY CUE: </w:t>
      </w:r>
      <w:r>
        <w:t>Key phrase to recognize: spatial redundancy / collinearity → unstable or inflated coefficients.</w:t>
      </w:r>
    </w:p>
    <w:p>
      <w:pPr>
        <w:pStyle w:val="Heading2"/>
      </w:pPr>
      <w:r>
        <w:t>3. KDE Curves: What visual signal suggests a distinct anomalous group?</w:t>
      </w:r>
    </w:p>
    <w:p>
      <w:pPr>
        <w:pStyle w:val="LookHere"/>
      </w:pPr>
      <w:r>
        <w:t xml:space="preserve">WHERE TO LOOK: </w:t>
      </w:r>
      <w:r>
        <w:rPr>
          <w:b w:val="0"/>
        </w:rPr>
        <w:t>Workshop p. 14: §4.3.1–4.3.3, especially “Visual Signals for Detecting Outliers on a KDE Curve.”</w:t>
      </w:r>
    </w:p>
    <w:p>
      <w:pPr>
        <w:pStyle w:val="StudyQuestion"/>
      </w:pPr>
      <w:r>
        <w:t xml:space="preserve">ASK YOURSELF: </w:t>
      </w:r>
      <w:r>
        <w:rPr>
          <w:b w:val="0"/>
        </w:rPr>
        <w:t>Does the KDE have one smooth dominant peak, or is there a small isolated bump/secondary peak away from the main distribution?</w:t>
      </w:r>
    </w:p>
    <w:p>
      <w:pPr>
        <w:pStyle w:val="Answer"/>
      </w:pPr>
      <w:r>
        <w:t xml:space="preserve">ANSWER YOU SHOULD REACH: </w:t>
      </w:r>
      <w:r>
        <w:rPr>
          <w:b w:val="0"/>
        </w:rPr>
        <w:t>An isolated secondary peak (multi-modality) can signal a distinct anomalous group or a cluster of corrupt observations.</w:t>
      </w:r>
    </w:p>
    <w:p>
      <w:pPr>
        <w:pStyle w:val="Why"/>
      </w:pPr>
      <w:r>
        <w:t xml:space="preserve">WHY: </w:t>
      </w:r>
      <w:r>
        <w:rPr>
          <w:b w:val="0"/>
        </w:rPr>
        <w:t>The KDE is a smooth estimate of the distribution. A separate “island” means observations are clustering away from the main population rather than merely forming a normal tail.</w:t>
      </w:r>
    </w:p>
    <w:p>
      <w:r>
        <w:rPr>
          <w:b/>
        </w:rPr>
        <w:t xml:space="preserve">EXAM TRIGGER / MEMORY CUE: </w:t>
      </w:r>
      <w:r>
        <w:t>Also know the other two visual warnings: near-zero long tails and asymmetric long tails/skewness.</w:t>
      </w:r>
    </w:p>
    <w:p>
      <w:pPr>
        <w:pStyle w:val="Heading2"/>
      </w:pPr>
      <w:r>
        <w:t>4. Tukey IQR vs. Z-score on heavily skewed Density</w:t>
      </w:r>
    </w:p>
    <w:p>
      <w:pPr>
        <w:pStyle w:val="LookHere"/>
      </w:pPr>
      <w:r>
        <w:t xml:space="preserve">WHERE TO LOOK: </w:t>
      </w:r>
      <w:r>
        <w:rPr>
          <w:b w:val="0"/>
        </w:rPr>
        <w:t>Workshop pp. 17–19: §4.6 Parametric vs. Non-Parametric Outlier Detection; also p. 15 Density deep-dive. Homework Part 5 uses Tukey 1.5×IQR.</w:t>
      </w:r>
    </w:p>
    <w:p>
      <w:pPr>
        <w:pStyle w:val="StudyQuestion"/>
      </w:pPr>
      <w:r>
        <w:t xml:space="preserve">ASK YOURSELF: </w:t>
      </w:r>
      <w:r>
        <w:rPr>
          <w:b w:val="0"/>
        </w:rPr>
        <w:t>Is the distribution roughly symmetric, or is a long tail pulling the mean and standard deviation?</w:t>
      </w:r>
    </w:p>
    <w:p>
      <w:pPr>
        <w:pStyle w:val="Answer"/>
      </w:pPr>
      <w:r>
        <w:t xml:space="preserve">ANSWER YOU SHOULD REACH: </w:t>
      </w:r>
      <w:r>
        <w:rPr>
          <w:b w:val="0"/>
        </w:rPr>
        <w:t>For heavily right-skewed Density, Tukey IQR is more robust because it uses Q1 and Q3. Extreme tail values can pull the mean upward and inflate standard deviation, weakening a Z-score cutoff.</w:t>
      </w:r>
    </w:p>
    <w:p>
      <w:pPr>
        <w:pStyle w:val="Why"/>
      </w:pPr>
      <w:r>
        <w:t xml:space="preserve">WHY: </w:t>
      </w:r>
      <w:r>
        <w:rPr>
          <w:b w:val="0"/>
        </w:rPr>
        <w:t>Z-scores depend on μ and σ. When the tail inflates those values, an extreme observation may look less extreme than it really is. Quartiles are less sensitive to the long tail.</w:t>
      </w:r>
    </w:p>
    <w:p>
      <w:r>
        <w:rPr>
          <w:b/>
        </w:rPr>
        <w:t xml:space="preserve">EXAM TRIGGER / MEMORY CUE: </w:t>
      </w:r>
      <w:r>
        <w:t>Remember: Tukey fence = Q1 − 1.5×IQR and Q3 + 1.5×IQR.</w:t>
      </w:r>
    </w:p>
    <w:p>
      <w:pPr>
        <w:pStyle w:val="Heading2"/>
      </w:pPr>
      <w:r>
        <w:t>5. Why the Density Z-score cutoff around 12,970 is misleading</w:t>
      </w:r>
    </w:p>
    <w:p>
      <w:pPr>
        <w:pStyle w:val="LookHere"/>
      </w:pPr>
      <w:r>
        <w:t xml:space="preserve">WHERE TO LOOK: </w:t>
      </w:r>
      <w:r>
        <w:rPr>
          <w:b w:val="0"/>
        </w:rPr>
        <w:t>Workshop §4.6 and Density box-plot discussion; Homework solution for Density.</w:t>
      </w:r>
    </w:p>
    <w:p>
      <w:pPr>
        <w:pStyle w:val="StudyQuestion"/>
      </w:pPr>
      <w:r>
        <w:t xml:space="preserve">ASK YOURSELF: </w:t>
      </w:r>
      <w:r>
        <w:rPr>
          <w:b w:val="0"/>
        </w:rPr>
        <w:t>If the Z-score boundary is extremely high, what caused it to move that far outward?</w:t>
      </w:r>
    </w:p>
    <w:p>
      <w:pPr>
        <w:pStyle w:val="Answer"/>
      </w:pPr>
      <w:r>
        <w:t xml:space="preserve">ANSWER YOU SHOULD REACH: </w:t>
      </w:r>
      <w:r>
        <w:rPr>
          <w:b w:val="0"/>
        </w:rPr>
        <w:t>The right-tail urban Density values inflate μ and σ, pushing the |Z| &gt; 3 cutoff unnaturally high (about 12,970 people/km² in the course example). This can cause Z-scores to miss severe skewness.</w:t>
      </w:r>
    </w:p>
    <w:p>
      <w:pPr>
        <w:pStyle w:val="Why"/>
      </w:pPr>
      <w:r>
        <w:t xml:space="preserve">WHY: </w:t>
      </w:r>
      <w:r>
        <w:rPr>
          <w:b w:val="0"/>
        </w:rPr>
        <w:t>The issue is not that Z-scores cannot process large datasets or integers. The issue is the parametric cutoff's sensitivity to a skewed distribution.</w:t>
      </w:r>
    </w:p>
    <w:p>
      <w:r>
        <w:rPr>
          <w:b/>
        </w:rPr>
        <w:t xml:space="preserve">EXAM TRIGGER / MEMORY CUE: </w:t>
      </w:r>
      <w:r>
        <w:t>Connect this to the Tukey fence near 3,800 people/km²: the two methods behave very differently because of skew.</w:t>
      </w:r>
    </w:p>
    <w:p>
      <w:pPr>
        <w:pStyle w:val="Heading2"/>
      </w:pPr>
      <w:r>
        <w:t>6. BonusMalus: What does a score of 50 mean?</w:t>
      </w:r>
    </w:p>
    <w:p>
      <w:pPr>
        <w:pStyle w:val="LookHere"/>
      </w:pPr>
      <w:r>
        <w:t xml:space="preserve">WHERE TO LOOK: </w:t>
      </w:r>
      <w:r>
        <w:rPr>
          <w:b w:val="0"/>
        </w:rPr>
        <w:t>Workshop p. 8: §3.7 “BonusMalus — The Non-Linear Regulatory Benchmark”; Homework boundary audit and distribution statements.</w:t>
      </w:r>
    </w:p>
    <w:p>
      <w:pPr>
        <w:pStyle w:val="StudyQuestion"/>
      </w:pPr>
      <w:r>
        <w:t xml:space="preserve">ASK YOURSELF: </w:t>
      </w:r>
      <w:r>
        <w:rPr>
          <w:b w:val="0"/>
        </w:rPr>
        <w:t>Is BonusMalus an ordinary physical measurement, or a regulatory risk index with a meaningful benchmark?</w:t>
      </w:r>
    </w:p>
    <w:p>
      <w:pPr>
        <w:pStyle w:val="Answer"/>
      </w:pPr>
      <w:r>
        <w:t xml:space="preserve">ANSWER YOU SHOULD REACH: </w:t>
      </w:r>
      <w:r>
        <w:rPr>
          <w:b w:val="0"/>
        </w:rPr>
        <w:t>In the course materials, BonusMalus = 50 represents a 50% premium discount for a safe driver with 13+ clean years; 100 is neutral; values above 100 indicate surcharge/penalty risk.</w:t>
      </w:r>
    </w:p>
    <w:p>
      <w:pPr>
        <w:pStyle w:val="Why"/>
      </w:pPr>
      <w:r>
        <w:t xml:space="preserve">WHY: </w:t>
      </w:r>
      <w:r>
        <w:rPr>
          <w:b w:val="0"/>
        </w:rPr>
        <w:t>You must interpret the number using domain meaning, not treat 50 as “50% risky” or as corrupted data.</w:t>
      </w:r>
    </w:p>
    <w:p>
      <w:r>
        <w:rPr>
          <w:b/>
        </w:rPr>
        <w:t xml:space="preserve">EXAM TRIGGER / MEMORY CUE: </w:t>
      </w:r>
      <w:r>
        <w:t>Useful model action from the workshop: scale the continuous score and consider an Is Surcharge indicator for BonusMalus &gt; 100.</w:t>
      </w:r>
    </w:p>
    <w:p>
      <w:pPr>
        <w:pStyle w:val="Heading2"/>
      </w:pPr>
      <w:r>
        <w:t>7. Raw Boundary Audit: Why use df.describe().T before trusting plots/statistics?</w:t>
      </w:r>
    </w:p>
    <w:p>
      <w:pPr>
        <w:pStyle w:val="LookHere"/>
      </w:pPr>
      <w:r>
        <w:t xml:space="preserve">WHERE TO LOOK: </w:t>
      </w:r>
      <w:r>
        <w:rPr>
          <w:b w:val="0"/>
        </w:rPr>
        <w:t>Workshop pp. 5–7: §3.4 Structural Audit and §3.4.3 “Never Trust Statistics Blindly!”; Homework Part 2.</w:t>
      </w:r>
    </w:p>
    <w:p>
      <w:pPr>
        <w:pStyle w:val="StudyQuestion"/>
      </w:pPr>
      <w:r>
        <w:t xml:space="preserve">ASK YOURSELF: </w:t>
      </w:r>
      <w:r>
        <w:rPr>
          <w:b w:val="0"/>
        </w:rPr>
        <w:t>Before I trust the mean, standard deviation, KDE, or scaler, have I verified that the raw minimum/maximum values are possible?</w:t>
      </w:r>
    </w:p>
    <w:p>
      <w:pPr>
        <w:pStyle w:val="Answer"/>
      </w:pPr>
      <w:r>
        <w:t xml:space="preserve">ANSWER YOU SHOULD REACH: </w:t>
      </w:r>
      <w:r>
        <w:rPr>
          <w:b w:val="0"/>
        </w:rPr>
        <w:t>Audit raw bounds first to detect corruptions such as sentinel nulls (e.g., −999), negative driver ages, or negative durations. Such values can drag the mean away from the median and inflate/explode standard deviation, making Z-scores and standard scaling misleading.</w:t>
      </w:r>
    </w:p>
    <w:p>
      <w:pPr>
        <w:pStyle w:val="Why"/>
      </w:pPr>
      <w:r>
        <w:t xml:space="preserve">WHY: </w:t>
      </w:r>
      <w:r>
        <w:rPr>
          <w:b w:val="0"/>
        </w:rPr>
        <w:t>A beautiful chart can still be built from bad data. Data quality verification must happen before interpreting downstream statistics.</w:t>
      </w:r>
    </w:p>
    <w:p>
      <w:r>
        <w:rPr>
          <w:b/>
        </w:rPr>
        <w:t xml:space="preserve">EXAM TRIGGER / MEMORY CUE: </w:t>
      </w:r>
      <w:r>
        <w:t>Course audit examples: DrivAge 18–100; Exposure has no negative duration; BonusMalus 50–350.</w:t>
      </w:r>
    </w:p>
    <w:p>
      <w:pPr>
        <w:pStyle w:val="Heading2"/>
      </w:pPr>
      <w:r>
        <w:t>8. Statistical outlier ≠ bad record: what to do with valid urban Density values</w:t>
      </w:r>
    </w:p>
    <w:p>
      <w:pPr>
        <w:pStyle w:val="LookHere"/>
      </w:pPr>
      <w:r>
        <w:t xml:space="preserve">WHERE TO LOOK: </w:t>
      </w:r>
      <w:r>
        <w:rPr>
          <w:b w:val="0"/>
        </w:rPr>
        <w:t>Workshop p. 15: Density Box Plot deep-dive; Homework Part 4 solution.</w:t>
      </w:r>
    </w:p>
    <w:p>
      <w:pPr>
        <w:pStyle w:val="StudyQuestion"/>
      </w:pPr>
      <w:r>
        <w:t xml:space="preserve">ASK YOURSELF: </w:t>
      </w:r>
      <w:r>
        <w:rPr>
          <w:b w:val="0"/>
        </w:rPr>
        <w:t>Is this point impossible/corrupt, or merely rare but valid in the real business population?</w:t>
      </w:r>
    </w:p>
    <w:p>
      <w:pPr>
        <w:pStyle w:val="Answer"/>
      </w:pPr>
      <w:r>
        <w:t xml:space="preserve">ANSWER YOU SHOULD REACH: </w:t>
      </w:r>
      <w:r>
        <w:rPr>
          <w:b w:val="0"/>
        </w:rPr>
        <w:t>Density values around 5,000–25,000 people/km² can sit beyond the Tukey fence (~3,800) yet represent valid metropolitan policyholders. Do not automatically delete them. For statewide risk pricing, dropping them removes urban risk and creates selection bias. Retain valid records and apply log(1 + Density) to compress the long right tail.</w:t>
      </w:r>
    </w:p>
    <w:p>
      <w:pPr>
        <w:pStyle w:val="Why"/>
      </w:pPr>
      <w:r>
        <w:t xml:space="preserve">WHY: </w:t>
      </w:r>
      <w:r>
        <w:rPr>
          <w:b w:val="0"/>
        </w:rPr>
        <w:t>Outlier detection is a flag for investigation, not an automatic deletion command. Domain context decides whether a rare value is corruption or a legitimate customer.</w:t>
      </w:r>
    </w:p>
    <w:p>
      <w:r>
        <w:rPr>
          <w:b/>
        </w:rPr>
        <w:t xml:space="preserve">EXAM TRIGGER / MEMORY CUE: </w:t>
      </w:r>
      <w:r>
        <w:t>Use the phrase: statistically unusual, but operationally valid.</w:t>
      </w:r>
    </w:p>
    <w:p>
      <w:pPr>
        <w:pStyle w:val="Heading2"/>
      </w:pPr>
      <w:r>
        <w:t>9. OLS vs. ClaimNb: let EDA choose the model architecture</w:t>
      </w:r>
    </w:p>
    <w:p>
      <w:pPr>
        <w:pStyle w:val="LookHere"/>
      </w:pPr>
      <w:r>
        <w:t xml:space="preserve">WHERE TO LOOK: </w:t>
      </w:r>
      <w:r>
        <w:rPr>
          <w:b w:val="0"/>
        </w:rPr>
        <w:t>Workshop pp. 21–22: §4.8.2–4.8.3 “How Module 1 Dictates Our Downstream Model Choice.” Homework ClaimNb defense.</w:t>
      </w:r>
    </w:p>
    <w:p>
      <w:pPr>
        <w:pStyle w:val="StudyQuestion"/>
      </w:pPr>
      <w:r>
        <w:t xml:space="preserve">ASK YOURSELF: </w:t>
      </w:r>
      <w:r>
        <w:rPr>
          <w:b w:val="0"/>
        </w:rPr>
        <w:t>What type of target is this: continuous and approximately symmetric, or a discrete non-negative count with many zeros?</w:t>
      </w:r>
    </w:p>
    <w:p>
      <w:pPr>
        <w:pStyle w:val="Answer"/>
      </w:pPr>
      <w:r>
        <w:t xml:space="preserve">ANSWER YOU SHOULD REACH: </w:t>
      </w:r>
      <w:r>
        <w:rPr>
          <w:b w:val="0"/>
        </w:rPr>
        <w:t>OLS is a candidate for continuous, symmetric/unskewed targets. ClaimNb is a discrete integer count (0,1,2,...) with &gt;95% zeros in the course materials. Raw OLS can predict impossible negative claim counts and violates the constant-variance framing used in the lesson. The course-directed architecture is a Poisson GLM with log(Exposure) as an offset.</w:t>
      </w:r>
    </w:p>
    <w:p>
      <w:pPr>
        <w:pStyle w:val="Why"/>
      </w:pPr>
      <w:r>
        <w:t xml:space="preserve">WHY: </w:t>
      </w:r>
      <w:r>
        <w:rPr>
          <w:b w:val="0"/>
        </w:rPr>
        <w:t>Model choice should follow the target's mathematical and business structure. Exposure matters because claim opportunity depends on how long the policy was active.</w:t>
      </w:r>
    </w:p>
    <w:p>
      <w:r>
        <w:rPr>
          <w:b/>
        </w:rPr>
        <w:t xml:space="preserve">EXAM TRIGGER / MEMORY CUE: </w:t>
      </w:r>
      <w:r>
        <w:t>Also remember the transformation lesson: ClaimNb is a count and zero is meaningful; do not blindly log-transform it. The materials emphasize log(0) = −∞ for the ordinary log.</w:t>
      </w:r>
    </w:p>
    <w:p>
      <w:pPr>
        <w:pStyle w:val="Heading2"/>
      </w:pPr>
      <w:r>
        <w:t>10. Training vs. Production Inference: the Golden Rule</w:t>
      </w:r>
    </w:p>
    <w:p>
      <w:pPr>
        <w:pStyle w:val="LookHere"/>
      </w:pPr>
      <w:r>
        <w:t xml:space="preserve">WHERE TO LOOK: </w:t>
      </w:r>
      <w:r>
        <w:rPr>
          <w:b w:val="0"/>
        </w:rPr>
        <w:t>Workshop p. 7 “Crucial Engineering Lesson: Training vs. Production Inference Alignment,” p. 20 workflow summary, and p. 23 production script.</w:t>
      </w:r>
    </w:p>
    <w:p>
      <w:pPr>
        <w:pStyle w:val="StudyQuestion"/>
      </w:pPr>
      <w:r>
        <w:t xml:space="preserve">ASK YOURSELF: </w:t>
      </w:r>
      <w:r>
        <w:rPr>
          <w:b w:val="0"/>
        </w:rPr>
        <w:t>Will a brand-new customer be cleaned, transformed, and encoded in exactly the same way as the data used to train the model?</w:t>
      </w:r>
    </w:p>
    <w:p>
      <w:pPr>
        <w:pStyle w:val="Answer"/>
      </w:pPr>
      <w:r>
        <w:t xml:space="preserve">ANSWER YOU SHOULD REACH: </w:t>
      </w:r>
      <w:r>
        <w:rPr>
          <w:b w:val="0"/>
        </w:rPr>
        <w:t>Any cleaning or transformation applied during training must be identically applied during production inference.</w:t>
      </w:r>
    </w:p>
    <w:p>
      <w:pPr>
        <w:pStyle w:val="Why"/>
      </w:pPr>
      <w:r>
        <w:t xml:space="preserve">WHY: </w:t>
      </w:r>
      <w:r>
        <w:rPr>
          <w:b w:val="0"/>
        </w:rPr>
        <w:t>If an outlier rule, encoding step, imputation rule, or transformation is omitted at inference, the model receives data in a different representation than it learned from. The course materials identify pipeline skew, runtime failures, and inaccurate risk scores as consequences.</w:t>
      </w:r>
    </w:p>
    <w:p>
      <w:r>
        <w:rPr>
          <w:b/>
        </w:rPr>
        <w:t xml:space="preserve">EXAM TRIGGER / MEMORY CUE: </w:t>
      </w:r>
      <w:r>
        <w:t>Think: same pipeline in training + live scoring. Reusable production code is how you enforce that alignment.</w:t>
      </w:r>
    </w:p>
    <w:p>
      <w:r>
        <w:br w:type="page"/>
      </w:r>
    </w:p>
    <w:p>
      <w:pPr>
        <w:pStyle w:val="Heading1"/>
      </w:pPr>
      <w:r>
        <w:t>Short-Answer Defense Templates</w:t>
      </w:r>
    </w:p>
    <w:p>
      <w:r>
        <w:t>For written responses, do not stop at naming a technique. Use this structure: FINDING → WHY IT MATTERS → BUSINESS/MATH RISK → CORRECT ACTION.</w:t>
      </w:r>
    </w:p>
    <w:p>
      <w:pPr>
        <w:pStyle w:val="Heading2"/>
      </w:pPr>
      <w:r>
        <w:t>Data Quality / Raw Bounds</w:t>
      </w:r>
    </w:p>
    <w:p>
      <w:pPr>
        <w:ind w:left="259"/>
      </w:pPr>
      <w:r>
        <w:t>First audit raw boundaries with df.describe().T before trusting summary statistics or KDE curves. Impossible values such as sentinel −999 codes, negative driver ages, or negative exposure durations can distort the mean and inflate standard deviation. That distortion makes Z-scores and standard scaling unreliable. Therefore, verify valid ranges and correct true corruptions before downstream EDA or preprocessing.</w:t>
      </w:r>
    </w:p>
    <w:p>
      <w:pPr>
        <w:pStyle w:val="Heading2"/>
      </w:pPr>
      <w:r>
        <w:t>Valid Density “Outliers”</w:t>
      </w:r>
    </w:p>
    <w:p>
      <w:pPr>
        <w:ind w:left="259"/>
      </w:pPr>
      <w:r>
        <w:t>The observations are statistical outliers because they exceed the Tukey upper fence, but they may still be valid metropolitan policyholders. Deleting them would remove urban risk from the modeled population and create selection bias. Retain valid records and use log(1 + Density) to compress the long right tail before modeling.</w:t>
      </w:r>
    </w:p>
    <w:p>
      <w:pPr>
        <w:pStyle w:val="Heading2"/>
      </w:pPr>
      <w:r>
        <w:t>ClaimNb Model Choice</w:t>
      </w:r>
    </w:p>
    <w:p>
      <w:pPr>
        <w:ind w:left="259"/>
      </w:pPr>
      <w:r>
        <w:t>ClaimNb is a discrete, non-negative claim count and is heavily zero-inflated in our Module 1 data. OLS is designed in this lesson for continuous targets and can produce impossible negative claim predictions while failing the constant-variance assumption. Therefore, the course-directed model is a Poisson GLM with log(Exposure) as an offset so claim counts are modeled relative to time at risk.</w:t>
      </w:r>
    </w:p>
    <w:p>
      <w:pPr>
        <w:pStyle w:val="Heading2"/>
      </w:pPr>
      <w:r>
        <w:t>Pipeline Alignment</w:t>
      </w:r>
    </w:p>
    <w:p>
      <w:pPr>
        <w:ind w:left="259"/>
      </w:pPr>
      <w:r>
        <w:t>Every cleaning, transformation, and encoding step used during model training must also be applied identically during live inference. If production omits a step, the incoming data no longer matches the representation learned during training, causing pipeline skew, possible runtime failures, and inaccurate risk scores.</w:t>
      </w:r>
    </w:p>
    <w:p>
      <w:pPr>
        <w:pStyle w:val="Heading1"/>
      </w:pPr>
      <w:r>
        <w:t>Fast Recall Sheet</w:t>
      </w:r>
    </w:p>
    <w:tbl>
      <w:tblPr>
        <w:tblStyle w:val="TableGrid"/>
        <w:tblW w:type="auto" w:w="0"/>
        <w:jc w:val="center"/>
        <w:tblLook w:firstColumn="1" w:firstRow="1" w:lastColumn="0" w:lastRow="0" w:noHBand="0" w:noVBand="1" w:val="04A0"/>
      </w:tblPr>
      <w:tblGrid>
        <w:gridCol w:w="5184"/>
        <w:gridCol w:w="5184"/>
      </w:tblGrid>
      <w:tr>
        <w:tc>
          <w:tcPr>
            <w:tcW w:type="dxa" w:w="5184"/>
          </w:tcPr>
          <w:p>
            <w:r>
              <w:rPr>
                <w:b/>
              </w:rPr>
              <w:t>SEE THIS</w:t>
            </w:r>
          </w:p>
        </w:tc>
        <w:tc>
          <w:tcPr>
            <w:tcW w:type="dxa" w:w="5184"/>
          </w:tcPr>
          <w:p>
            <w:r>
              <w:rPr>
                <w:b/>
              </w:rPr>
              <w:t>THINK THIS</w:t>
            </w:r>
          </w:p>
        </w:tc>
      </w:tr>
      <w:tr>
        <w:tc>
          <w:tcPr>
            <w:tcW w:type="dxa" w:w="5184"/>
          </w:tcPr>
          <w:p>
            <w:r>
              <w:t>Data Dictionary</w:t>
            </w:r>
          </w:p>
        </w:tc>
        <w:tc>
          <w:tcPr>
            <w:tcW w:type="dxa" w:w="5184"/>
          </w:tcPr>
          <w:p>
            <w:r>
              <w:t>technical name → business meaning/unit → preprocessing rule</w:t>
            </w:r>
          </w:p>
        </w:tc>
      </w:tr>
      <w:tr>
        <w:tc>
          <w:tcPr>
            <w:tcW w:type="dxa" w:w="5184"/>
          </w:tcPr>
          <w:p>
            <w:r>
              <w:t>Density + Area</w:t>
            </w:r>
          </w:p>
        </w:tc>
        <w:tc>
          <w:tcPr>
            <w:tcW w:type="dxa" w:w="5184"/>
          </w:tcPr>
          <w:p>
            <w:r>
              <w:t>same spatial concept → redundancy/collinearity → choose one</w:t>
            </w:r>
          </w:p>
        </w:tc>
      </w:tr>
      <w:tr>
        <w:tc>
          <w:tcPr>
            <w:tcW w:type="dxa" w:w="5184"/>
          </w:tcPr>
          <w:p>
            <w:r>
              <w:t>KDE isolated bump</w:t>
            </w:r>
          </w:p>
        </w:tc>
        <w:tc>
          <w:tcPr>
            <w:tcW w:type="dxa" w:w="5184"/>
          </w:tcPr>
          <w:p>
            <w:r>
              <w:t>secondary peak / multi-modality → investigate anomalous cluster</w:t>
            </w:r>
          </w:p>
        </w:tc>
      </w:tr>
      <w:tr>
        <w:tc>
          <w:tcPr>
            <w:tcW w:type="dxa" w:w="5184"/>
          </w:tcPr>
          <w:p>
            <w:r>
              <w:t>Right-skewed Density</w:t>
            </w:r>
          </w:p>
        </w:tc>
        <w:tc>
          <w:tcPr>
            <w:tcW w:type="dxa" w:w="5184"/>
          </w:tcPr>
          <w:p>
            <w:r>
              <w:t>mean &amp; σ get pulled/inflated → Tukey quartiles are more robust</w:t>
            </w:r>
          </w:p>
        </w:tc>
      </w:tr>
      <w:tr>
        <w:tc>
          <w:tcPr>
            <w:tcW w:type="dxa" w:w="5184"/>
          </w:tcPr>
          <w:p>
            <w:r>
              <w:t>Z cutoff ≈ 12,970</w:t>
            </w:r>
          </w:p>
        </w:tc>
        <w:tc>
          <w:tcPr>
            <w:tcW w:type="dxa" w:w="5184"/>
          </w:tcPr>
          <w:p>
            <w:r>
              <w:t>inflated by long urban tail → may miss severe skew</w:t>
            </w:r>
          </w:p>
        </w:tc>
      </w:tr>
      <w:tr>
        <w:tc>
          <w:tcPr>
            <w:tcW w:type="dxa" w:w="5184"/>
          </w:tcPr>
          <w:p>
            <w:r>
              <w:t>BonusMalus 50</w:t>
            </w:r>
          </w:p>
        </w:tc>
        <w:tc>
          <w:tcPr>
            <w:tcW w:type="dxa" w:w="5184"/>
          </w:tcPr>
          <w:p>
            <w:r>
              <w:t>safe driver → maximum 50% discount in course materials</w:t>
            </w:r>
          </w:p>
        </w:tc>
      </w:tr>
      <w:tr>
        <w:tc>
          <w:tcPr>
            <w:tcW w:type="dxa" w:w="5184"/>
          </w:tcPr>
          <w:p>
            <w:r>
              <w:t>Raw bounds first</w:t>
            </w:r>
          </w:p>
        </w:tc>
        <w:tc>
          <w:tcPr>
            <w:tcW w:type="dxa" w:w="5184"/>
          </w:tcPr>
          <w:p>
            <w:r>
              <w:t>catch −999 / negative age / negative duration before trusting stats</w:t>
            </w:r>
          </w:p>
        </w:tc>
      </w:tr>
      <w:tr>
        <w:tc>
          <w:tcPr>
            <w:tcW w:type="dxa" w:w="5184"/>
          </w:tcPr>
          <w:p>
            <w:r>
              <w:t>Urban Density dots</w:t>
            </w:r>
          </w:p>
        </w:tc>
        <w:tc>
          <w:tcPr>
            <w:tcW w:type="dxa" w:w="5184"/>
          </w:tcPr>
          <w:p>
            <w:r>
              <w:t>statistical outlier ≠ corruption → retain + log(1+Density)</w:t>
            </w:r>
          </w:p>
        </w:tc>
      </w:tr>
      <w:tr>
        <w:tc>
          <w:tcPr>
            <w:tcW w:type="dxa" w:w="5184"/>
          </w:tcPr>
          <w:p>
            <w:r>
              <w:t>ClaimNb</w:t>
            </w:r>
          </w:p>
        </w:tc>
        <w:tc>
          <w:tcPr>
            <w:tcW w:type="dxa" w:w="5184"/>
          </w:tcPr>
          <w:p>
            <w:r>
              <w:t>discrete + &gt;95% zeros → Poisson GLM + log(Exposure) offset</w:t>
            </w:r>
          </w:p>
        </w:tc>
      </w:tr>
      <w:tr>
        <w:tc>
          <w:tcPr>
            <w:tcW w:type="dxa" w:w="5184"/>
          </w:tcPr>
          <w:p>
            <w:r>
              <w:t>Golden Rule</w:t>
            </w:r>
          </w:p>
        </w:tc>
        <w:tc>
          <w:tcPr>
            <w:tcW w:type="dxa" w:w="5184"/>
          </w:tcPr>
          <w:p>
            <w:r>
              <w:t>training preprocessing = inference preprocessing</w:t>
            </w:r>
          </w:p>
        </w:tc>
      </w:tr>
    </w:tbl>
    <w:p>
      <w:pPr>
        <w:pStyle w:val="Heading1"/>
      </w:pPr>
      <w:r>
        <w:t>Self-Quiz: Say the Answer Before Looking Back</w:t>
      </w:r>
    </w:p>
    <w:p>
      <w:pPr>
        <w:spacing w:after="140"/>
      </w:pPr>
      <w:r>
        <w:t>1. What is the operational purpose of a Business Data Dictionary?</w:t>
      </w:r>
    </w:p>
    <w:p>
      <w:pPr>
        <w:spacing w:after="140"/>
      </w:pPr>
      <w:r>
        <w:t>2. Why are Density and Area redundant, and what problem can that cause in a linear model?</w:t>
      </w:r>
    </w:p>
    <w:p>
      <w:pPr>
        <w:spacing w:after="140"/>
      </w:pPr>
      <w:r>
        <w:t>3. What does an isolated secondary peak on a KDE suggest?</w:t>
      </w:r>
    </w:p>
    <w:p>
      <w:pPr>
        <w:spacing w:after="140"/>
      </w:pPr>
      <w:r>
        <w:t>4. Why are Tukey IQR fences more robust than Z-scores for heavily right-skewed Density?</w:t>
      </w:r>
    </w:p>
    <w:p>
      <w:pPr>
        <w:spacing w:after="140"/>
      </w:pPr>
      <w:r>
        <w:t>5. Why can the Density Z-score cutoff become artificially high?</w:t>
      </w:r>
    </w:p>
    <w:p>
      <w:pPr>
        <w:spacing w:after="140"/>
      </w:pPr>
      <w:r>
        <w:t>6. What does BonusMalus = 50 mean in the course materials?</w:t>
      </w:r>
    </w:p>
    <w:p>
      <w:pPr>
        <w:spacing w:after="140"/>
      </w:pPr>
      <w:r>
        <w:t>7. Name two corrupt values a raw-boundary audit could catch, and explain what they do to μ and σ.</w:t>
      </w:r>
    </w:p>
    <w:p>
      <w:pPr>
        <w:spacing w:after="140"/>
      </w:pPr>
      <w:r>
        <w:t>8. Why should valid high-density metropolitan records not automatically be deleted?</w:t>
      </w:r>
    </w:p>
    <w:p>
      <w:pPr>
        <w:spacing w:after="140"/>
      </w:pPr>
      <w:r>
        <w:t>9. Why is raw ClaimNb a poor OLS target, and what model does the course direct you to use?</w:t>
      </w:r>
    </w:p>
    <w:p>
      <w:pPr>
        <w:spacing w:after="140"/>
      </w:pPr>
      <w:r>
        <w:t>10. State the Golden Rule of training vs. production inference and one consequence of violating it.</w:t>
      </w:r>
    </w:p>
    <w:p>
      <w:pPr>
        <w:pStyle w:val="Heading1"/>
      </w:pPr>
      <w:r>
        <w:t>Where These Ideas Came From</w:t>
      </w:r>
    </w:p>
    <w:p>
      <w:r>
        <w:t>Primary study sources: Module 1 Step-by-Step Hands-On Lab Guide (especially pp. 7–9, 14–15, 17–23); Module 1 Practical Homework Assignment (Parts 2–5 and its solution guide); Demystifying Data: Counts, Volumes, and the Danger of Automated Tools; and the high-cardinality feature handout. The linear-regression scripts are useful background for understanding OLS, standardization, and gradient descent, but the formal Module 1 exam topics are most directly supported by the workshop and homework materials.</w:t>
      </w:r>
    </w:p>
    <w:sectPr w:rsidR="00FC693F" w:rsidRPr="0006063C" w:rsidSect="00034616">
      <w:headerReference w:type="default" r:id="rId9"/>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sz w:val="16"/>
      </w:rPr>
      <w:t>Study from the workshop + homework you already completed. Focus on WHY each analytics decision is made.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MSBA 265 | Module 1 Exam Study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udyQuestion">
    <w:name w:val="Study Question"/>
    <w:pPr>
      <w:spacing w:before="60" w:after="40"/>
    </w:pPr>
    <w:rPr>
      <w:rFonts w:ascii="Aptos" w:hAnsi="Aptos"/>
      <w:b/>
      <w:color w:val="2F5597"/>
      <w:sz w:val="21"/>
    </w:rPr>
  </w:style>
  <w:style w:type="paragraph" w:customStyle="1" w:styleId="Answer">
    <w:name w:val="Answer"/>
    <w:pPr>
      <w:spacing w:before="60" w:after="40"/>
    </w:pPr>
    <w:rPr>
      <w:rFonts w:ascii="Aptos" w:hAnsi="Aptos"/>
      <w:b/>
      <w:color w:val="1F6D3A"/>
      <w:sz w:val="21"/>
    </w:rPr>
  </w:style>
  <w:style w:type="paragraph" w:customStyle="1" w:styleId="Why">
    <w:name w:val="Why"/>
    <w:pPr>
      <w:spacing w:before="60" w:after="40"/>
    </w:pPr>
    <w:rPr>
      <w:rFonts w:ascii="Aptos" w:hAnsi="Aptos"/>
      <w:b/>
      <w:color w:val="7F6000"/>
      <w:sz w:val="21"/>
    </w:rPr>
  </w:style>
  <w:style w:type="paragraph" w:customStyle="1" w:styleId="LookHere">
    <w:name w:val="LookHere"/>
    <w:pPr>
      <w:spacing w:before="60" w:after="40"/>
    </w:pPr>
    <w:rPr>
      <w:rFonts w:ascii="Aptos" w:hAnsi="Aptos"/>
      <w:b/>
      <w:color w:val="7030A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