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C49" w:color="auto" w:val="clear"/>
            <w:tcMar>
              <w:top w:type="dxa" w:w="280"/>
              <w:left w:type="dxa" w:w="360"/>
              <w:bottom w:type="dxa" w:w="280"/>
              <w:right w:type="dxa" w:w="3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D3E8"/>
                <w:spacing w:val="20"/>
                <w:sz w:val="18"/>
                <w:szCs w:val="18"/>
              </w:rPr>
              <w:t xml:space="preserve">VERTEX AI EDITION  |  BENCHMARK REPORT  |  2026 BEST TECHNOLOGY BREAKTHROUGH (AI)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64"/>
                <w:szCs w:val="64"/>
              </w:rPr>
              <w:t xml:space="preserve">Fusion Force Gateway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EAF2F3"/>
                <w:sz w:val="28"/>
                <w:szCs w:val="28"/>
              </w:rPr>
              <w:t xml:space="preserve">LiteLLM gateway + Headroom compression on Google Cloud Vertex AI (Gemini Flash 3 Lite)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color w:val="1E9A5A"/>
        </w:rPr>
        <w:t xml:space="preserve">1  </w:t>
      </w:r>
      <w:r>
        <w:t xml:space="preserve">Project Overview: Elevator Pitch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A short paragraph that convinces the judges to dig further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c>
          <w:tcPr>
            <w:tcW w:type="dxa" w:w="99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6F4EC" w:color="auto" w:val="clear"/>
            <w:tcMar>
              <w:top w:type="dxa" w:w="160"/>
              <w:left w:type="dxa" w:w="260"/>
              <w:bottom w:type="dxa" w:w="140"/>
              <w:right w:type="dxa" w:w="26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9A5A"/>
                <w:spacing w:val="30"/>
                <w:sz w:val="18"/>
                <w:szCs w:val="18"/>
              </w:rPr>
              <w:t xml:space="preserve">ELEVATOR PITCH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olor w:val="0B3C49"/>
                <w:sz w:val="24"/>
                <w:szCs w:val="24"/>
              </w:rPr>
              <w:t xml:space="preserve">Agents pay again and again for the same bloated tool output. </w:t>
            </w:r>
            <w:r>
              <w:rPr>
                <w:rFonts w:ascii="Calibri" w:cs="Calibri" w:eastAsia="Calibri" w:hAnsi="Calibri"/>
                <w:color w:val="14232B"/>
                <w:sz w:val="24"/>
                <w:szCs w:val="24"/>
              </w:rPr>
              <w:t xml:space="preserve">Fusion Force Gateway combines LiteLLM with Headroom compression in one shared service, deployed inside your Google Cloud project. Agents change a single setting; the gateway shrinks tool output, then calls Gemini on Vertex AI with Google credentials, with no API keys to manage. On our sample benchmark it cut tokens by </w:t>
            </w:r>
            <w:r>
              <w:rPr>
                <w:rFonts w:ascii="Calibri" w:cs="Calibri" w:eastAsia="Calibri" w:hAnsi="Calibri"/>
                <w:b/>
                <w:bCs/>
                <w:color w:val="14232B"/>
                <w:sz w:val="24"/>
                <w:szCs w:val="24"/>
              </w:rPr>
              <w:t xml:space="preserve">49.4%</w:t>
            </w:r>
            <w:r>
              <w:rPr>
                <w:rFonts w:ascii="Calibri" w:cs="Calibri" w:eastAsia="Calibri" w:hAnsi="Calibri"/>
                <w:color w:val="14232B"/>
                <w:sz w:val="24"/>
                <w:szCs w:val="24"/>
              </w:rPr>
              <w:t xml:space="preserve"> and cost by </w:t>
            </w:r>
            <w:r>
              <w:rPr>
                <w:rFonts w:ascii="Calibri" w:cs="Calibri" w:eastAsia="Calibri" w:hAnsi="Calibri"/>
                <w:b/>
                <w:bCs/>
                <w:color w:val="14232B"/>
                <w:sz w:val="24"/>
                <w:szCs w:val="24"/>
              </w:rPr>
              <w:t xml:space="preserve">45%</w:t>
            </w:r>
            <w:r>
              <w:rPr>
                <w:rFonts w:ascii="Calibri" w:cs="Calibri" w:eastAsia="Calibri" w:hAnsi="Calibri"/>
                <w:color w:val="14232B"/>
                <w:sz w:val="24"/>
                <w:szCs w:val="24"/>
              </w:rPr>
              <w:t xml:space="preserve"> (sample data, Claude Haiku 4.5).</w:t>
            </w:r>
          </w:p>
        </w:tc>
      </w:tr>
    </w:tbl>
    <w:p>
      <w:pPr>
        <w:spacing w:after="1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EAF2F3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1E9A5A"/>
                <w:sz w:val="44"/>
                <w:szCs w:val="44"/>
              </w:rPr>
              <w:t xml:space="preserve">49.4%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4232B"/>
                <w:sz w:val="19"/>
                <w:szCs w:val="19"/>
              </w:rPr>
              <w:t xml:space="preserve">fewer tokens sent to the model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EAF2F3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1E9A5A"/>
                <w:sz w:val="44"/>
                <w:szCs w:val="44"/>
              </w:rPr>
              <w:t xml:space="preserve">45%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4232B"/>
                <w:sz w:val="19"/>
                <w:szCs w:val="19"/>
              </w:rPr>
              <w:t xml:space="preserve">lower LLM cost, same tasks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EAF2F3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1E9A5A"/>
                <w:sz w:val="44"/>
                <w:szCs w:val="44"/>
              </w:rPr>
              <w:t xml:space="preserve">6 of 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4232B"/>
                <w:sz w:val="19"/>
                <w:szCs w:val="19"/>
              </w:rPr>
              <w:t xml:space="preserve">tasks improved (32% to 63% fewer tokens)</w:t>
            </w:r>
          </w:p>
        </w:tc>
        <w:tc>
          <w:tcPr>
            <w:tcW w:type="dxa" w:w="248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EAF2F3" w:color="auto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1E9A5A"/>
                <w:sz w:val="44"/>
                <w:szCs w:val="44"/>
              </w:rPr>
              <w:t xml:space="preserve">~$478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4232B"/>
                <w:sz w:val="19"/>
                <w:szCs w:val="19"/>
              </w:rPr>
              <w:t xml:space="preserve">saved per month at 50 developers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F7380"/>
          <w:sz w:val="17"/>
          <w:szCs w:val="17"/>
        </w:rPr>
        <w:t xml:space="preserve">Sample data: Claude Haiku 4.5, 6 DevOps triage tasks, compression off vs. on, run 2026-10-21. Source: results/run_20261021_235043.json. Gemini Flash 3 Lite on Vertex AI to follow.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000"/>
        <w:gridCol w:w="6316"/>
      </w:tblGrid>
      <w:tr>
        <w:tc>
          <w:tcPr>
            <w:tcW w:type="dxa" w:w="6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E9A5A"/>
                <w:sz w:val="26"/>
                <w:szCs w:val="26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3C49"/>
                <w:sz w:val="22"/>
                <w:szCs w:val="22"/>
              </w:rPr>
              <w:t xml:space="preserve">Team Name</w:t>
            </w:r>
          </w:p>
        </w:tc>
        <w:tc>
          <w:tcPr>
            <w:tcW w:type="dxa" w:w="6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32B"/>
                <w:sz w:val="22"/>
                <w:szCs w:val="22"/>
                <w:highlight w:val="yellow"/>
              </w:rPr>
              <w:t xml:space="preserve">[Add team name]</w:t>
            </w:r>
          </w:p>
        </w:tc>
      </w:tr>
      <w:tr>
        <w:tc>
          <w:tcPr>
            <w:tcW w:type="dxa" w:w="6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E9A5A"/>
                <w:sz w:val="26"/>
                <w:szCs w:val="26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3C49"/>
                <w:sz w:val="22"/>
                <w:szCs w:val="22"/>
              </w:rPr>
              <w:t xml:space="preserve">Project Short Title</w:t>
            </w:r>
          </w:p>
        </w:tc>
        <w:tc>
          <w:tcPr>
            <w:tcW w:type="dxa" w:w="6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4232B"/>
                <w:sz w:val="22"/>
                <w:szCs w:val="22"/>
              </w:rPr>
              <w:t xml:space="preserve">Fusion Force Gateway</w:t>
            </w:r>
          </w:p>
        </w:tc>
      </w:tr>
      <w:tr>
        <w:tc>
          <w:tcPr>
            <w:tcW w:type="dxa" w:w="62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mbria" w:cs="Cambria" w:eastAsia="Cambria" w:hAnsi="Cambria"/>
                <w:b/>
                <w:bCs/>
                <w:color w:val="1E9A5A"/>
                <w:sz w:val="26"/>
                <w:szCs w:val="26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3C49"/>
                <w:sz w:val="22"/>
                <w:szCs w:val="22"/>
              </w:rPr>
              <w:t xml:space="preserve">Contact person for questions</w:t>
            </w:r>
          </w:p>
        </w:tc>
        <w:tc>
          <w:tcPr>
            <w:tcW w:type="dxa" w:w="6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32B"/>
                <w:sz w:val="22"/>
                <w:szCs w:val="22"/>
                <w:highlight w:val="yellow"/>
              </w:rPr>
              <w:t xml:space="preserve">[Add name, email]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color w:val="1E9A5A"/>
        </w:rPr>
        <w:t xml:space="preserve">5  </w:t>
      </w:r>
      <w:r>
        <w:t xml:space="preserve">Problem Statement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The specific problem or challenge we are solving</w:t>
      </w:r>
    </w:p>
    <w:p>
      <w:pPr>
        <w:spacing w:after="10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AI agents call tools that return large payloads: logs, ticket lists, search results. Every agent step re-sends everything the agent has seen so far, so the same bulky text is paid for again and again.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It is expensive: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in our sample run, 97% of tokens and about 88% of cost were input tokens (126,236 of 129,785).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It is invisible: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teams rarely see token spend per task or per team, so nobody can manage 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The fix is hard to roll out: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asking every team to add compression to its own agent does not scale, and our org requires models to be reached through Vertex AI with Google credentials.</w:t>
      </w:r>
    </w:p>
    <w:p>
      <w:pPr>
        <w:spacing w:before="60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The challenge: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cut token spend org-wide without rewriting agents, using only approved Vertex AI access.</w:t>
      </w:r>
    </w:p>
    <w:p>
      <w:pPr>
        <w:pStyle w:val="Heading1"/>
        <w:keepNext/>
      </w:pPr>
      <w:r>
        <w:rPr>
          <w:color w:val="1E9A5A"/>
        </w:rPr>
        <w:t xml:space="preserve">6  </w:t>
      </w:r>
      <w:r>
        <w:t xml:space="preserve">Target User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Which product line or department benefits, and who might sponsor this as a project request?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Primary users: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platform and AI engineering teams that run agents for the whole company. First adopters: DevOps/SRE triage agents, coding agents and CI pipelines.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Likely sponsors: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the platform or AI engineering group that owns shared AI services, together with the FinOps or cloud-cost owners who pay the model bill.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Why it spreads: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it is one shared gateway, so a single rollout covers every team that points at it.</w:t>
      </w:r>
    </w:p>
    <w:p>
      <w:pPr>
        <w:pStyle w:val="Heading1"/>
        <w:keepNext/>
      </w:pPr>
      <w:r>
        <w:rPr>
          <w:color w:val="1E9A5A"/>
        </w:rPr>
        <w:t xml:space="preserve">7  </w:t>
      </w:r>
      <w:r>
        <w:t xml:space="preserve">Value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Why is this valuable, and what is new or differentiated?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1) Why this is worth solving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Cost savings: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input tokens dominate agent bills, so compressing tool output lowers cost directly. Sample data (Claude Haiku 4.5): 49.4% fewer tokens, 45% lower cost, about $478 a month at 50 developers.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Efficiency: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smaller prompts leave more room in the model's context window, so agents can read more evidence per task.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Risk reduction: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no API keys to store or rotate, and every call is metered through one governed gateway.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2) What is new or differentiated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Zero-rewrite adoption: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compression is a gateway setting, not an agent change. One config switch turns it on or off.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Proof, not a promise: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a built-in A/B harness runs identical tasks with compression off and on, and records real tokens and cost from LiteLLM's usage and pricing data.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From tokens to a business number: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a dashboard extrapolates to monthly org savings from your own headcount and usage, with live sliders.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Built for Google Cloud: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Vertex AI models, Google identity and no API keys.</w:t>
      </w:r>
    </w:p>
    <w:p>
      <w:pPr>
        <w:pStyle w:val="Heading1"/>
        <w:keepNext/>
      </w:pPr>
      <w:r>
        <w:rPr>
          <w:color w:val="1E9A5A"/>
        </w:rPr>
        <w:t xml:space="preserve">8  </w:t>
      </w:r>
      <w:r>
        <w:t xml:space="preserve">Environment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AI tools, data, and anything else the judges need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1) AI tools we leveraged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Gemini Flash 3 Lite on Vertex AI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 via LiteLLM: </w:t>
      </w:r>
      <w:r>
        <w:rPr>
          <w:rFonts w:ascii="Calibri" w:cs="Calibri" w:eastAsia="Calibri" w:hAnsi="Calibri"/>
          <w:b/>
          <w:bCs/>
          <w:color w:val="14232B"/>
          <w:sz w:val="22"/>
          <w:szCs w:val="22"/>
          <w:highlight w:val="yellow"/>
        </w:rPr>
        <w:t xml:space="preserve">[vertex_ai/&lt;model ID&gt;]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Headroom: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context compression for LLM traffic, the engine inside the gateway.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LiteLLM: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gateway, routing, and token and cost metering.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Google ADK: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framework for the demo DevOps Triage Agent and its tools.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Streamlit: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the savings dashboard. The project was built with Claude Code.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2) Data used to train the agent</w:t>
      </w:r>
    </w:p>
    <w:p>
      <w:pPr>
        <w:spacing w:after="10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No model was trained or fine-tuned. The demo agent uses mock JSON payloads that the repo generates itself (100 log entries, 50 GitHub-style issues, 60 runbook search results, about 88 KB). No customer or proprietary data is used.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3) What else the judges need to evaluate or run it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Google Cloud project with the Vertex AI API enabled and Application Default Credentials (</w:t>
      </w:r>
      <w:r>
        <w:rPr>
          <w:rFonts w:ascii="Courier New" w:cs="Courier New" w:eastAsia="Courier New" w:hAnsi="Courier New"/>
          <w:color w:val="14232B"/>
          <w:sz w:val="20"/>
          <w:szCs w:val="20"/>
        </w:rPr>
        <w:t xml:space="preserve">gcloud auth application-default login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Set the model, project and region in </w:t>
      </w:r>
      <w:r>
        <w:rPr>
          <w:rFonts w:ascii="Courier New" w:cs="Courier New" w:eastAsia="Courier New" w:hAnsi="Courier New"/>
          <w:color w:val="14232B"/>
          <w:sz w:val="20"/>
          <w:szCs w:val="20"/>
        </w:rPr>
        <w:t xml:space="preserve">config.yaml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, then run </w:t>
      </w:r>
      <w:r>
        <w:rPr>
          <w:rFonts w:ascii="Courier New" w:cs="Courier New" w:eastAsia="Courier New" w:hAnsi="Courier New"/>
          <w:color w:val="14232B"/>
          <w:sz w:val="20"/>
          <w:szCs w:val="20"/>
        </w:rPr>
        <w:t xml:space="preserve">./demo.sh benchmark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4232B"/>
          <w:sz w:val="20"/>
          <w:szCs w:val="20"/>
        </w:rPr>
        <w:t xml:space="preserve">./demo.sh dashboard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Prerequisite: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the Fusion Force Gateway build with Vertex AI support (LiteLLM's vertex_ai provider with project and region). The repo's default configuration uses an API key.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Benchmark design, results and caveats are in Appendix A. A presentation deck and the architecture diagram are in the docs/ folder.</w:t>
      </w:r>
    </w:p>
    <w:p>
      <w:pPr>
        <w:pStyle w:val="Heading1"/>
        <w:keepNext/>
      </w:pPr>
      <w:r>
        <w:rPr>
          <w:color w:val="1E9A5A"/>
        </w:rPr>
        <w:t xml:space="preserve">9  </w:t>
      </w:r>
      <w:r>
        <w:t xml:space="preserve">Innovation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Why this is unique, and what we learned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1) Why it is innovative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Compression as shared infrastructure: one gateway for every team, like a CDN for tokens, instead of a library each team wires into its own agent.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It closes the loop from technique to money: the harness that runs the A/B test also produces dollars saved and an org-wide estimate.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Two integration modes (in-process callback and local proxy) are chosen from config alone.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2) What we learned about tools and AI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Agent cost is mostly input.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97% of benchmark tokens were input, because tool results are re-sent on every step.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Gateway hooks have limits.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LiteLLM runs callback hooks only inside its own proxy server, so plain SDK calls need a small wrapper to apply compression.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Savings depend on the payload and the model.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Compression ranged from 32% to 63% across tasks, and output tokens (not compressed) cost more on some Gemini models, which shrinks the percentage cost saving (Appendix A).</w:t>
      </w:r>
    </w:p>
    <w:p>
      <w:pPr>
        <w:pStyle w:val="Heading1"/>
        <w:keepNext/>
      </w:pPr>
      <w:r>
        <w:rPr>
          <w:color w:val="1E9A5A"/>
        </w:rPr>
        <w:t xml:space="preserve">10  </w:t>
      </w:r>
      <w:r>
        <w:t xml:space="preserve">GitHub Repository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Link to the repository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C7C8C"/>
          <w:sz w:val="22"/>
          <w:szCs w:val="22"/>
          <w:u w:val="single"/>
        </w:rPr>
        <w:t xml:space="preserve">https://github.com/shyleshus7/tokengate</w:t>
      </w:r>
    </w:p>
    <w:p>
      <w:pPr>
        <w:pStyle w:val="Heading1"/>
        <w:keepNext/>
      </w:pPr>
      <w:r>
        <w:rPr>
          <w:color w:val="1E9A5A"/>
        </w:rPr>
        <w:t xml:space="preserve">11  </w:t>
      </w:r>
      <w:r>
        <w:t xml:space="preserve">UI Link or Endpoint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Where the working project can be reached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Savings dashboard (Streamlit), run locally: </w:t>
      </w:r>
      <w:r>
        <w:rPr>
          <w:rFonts w:ascii="Courier New" w:cs="Courier New" w:eastAsia="Courier New" w:hAnsi="Courier New"/>
          <w:color w:val="14232B"/>
          <w:sz w:val="20"/>
          <w:szCs w:val="20"/>
        </w:rPr>
        <w:t xml:space="preserve">./demo.sh dashboard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, then open </w:t>
      </w:r>
      <w:r>
        <w:rPr>
          <w:rFonts w:ascii="Courier New" w:cs="Courier New" w:eastAsia="Courier New" w:hAnsi="Courier New"/>
          <w:color w:val="14232B"/>
          <w:sz w:val="20"/>
          <w:szCs w:val="20"/>
        </w:rPr>
        <w:t xml:space="preserve">http://localhost:8501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Hosted dashboard URL: </w:t>
      </w:r>
      <w:r>
        <w:rPr>
          <w:rFonts w:ascii="Calibri" w:cs="Calibri" w:eastAsia="Calibri" w:hAnsi="Calibri"/>
          <w:b/>
          <w:bCs/>
          <w:color w:val="14232B"/>
          <w:sz w:val="22"/>
          <w:szCs w:val="22"/>
          <w:highlight w:val="yellow"/>
        </w:rPr>
        <w:t xml:space="preserve">[Add URL if deployed]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Gateway endpoint (Cloud Run or GKE): </w:t>
      </w:r>
      <w:r>
        <w:rPr>
          <w:rFonts w:ascii="Calibri" w:cs="Calibri" w:eastAsia="Calibri" w:hAnsi="Calibri"/>
          <w:b/>
          <w:bCs/>
          <w:color w:val="14232B"/>
          <w:sz w:val="22"/>
          <w:szCs w:val="22"/>
          <w:highlight w:val="yellow"/>
        </w:rPr>
        <w:t xml:space="preserve">[Add URL if deployed]</w:t>
      </w:r>
    </w:p>
    <w:p>
      <w:pPr>
        <w:pStyle w:val="Heading1"/>
        <w:keepNext/>
      </w:pPr>
      <w:r>
        <w:rPr>
          <w:color w:val="1E9A5A"/>
        </w:rPr>
        <w:t xml:space="preserve">12  </w:t>
      </w:r>
      <w:r>
        <w:t xml:space="preserve">High-Level Architecture Diagram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How the solution fits together</w:t>
      </w:r>
    </w:p>
    <w:p>
      <w:pPr>
        <w:spacing w:after="60" w:before="100"/>
        <w:jc w:val="center"/>
      </w:pPr>
      <w:r>
        <w:drawing>
          <wp:inline distT="0" distB="0" distL="0" distR="0">
            <wp:extent cx="6309360" cy="3696891"/>
            <wp:effectExtent t="0" r="0" b="0" l="0"/>
            <wp:docPr id="1" name="gcp-architecture" descr="Agents call the Fusion Force Gateway (LiteLLM plus Headroom) in a Google Cloud project, which calls Gemini Flash 3 Lite on Vertex AI using a service account and Application Default Credentials" title="Fusion Force Gateway on Googl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F7380"/>
          <w:sz w:val="17"/>
          <w:szCs w:val="17"/>
        </w:rPr>
        <w:t xml:space="preserve">Figure 1. Fusion Force Gateway on Google Cloud: clients, gateway (LiteLLM + Headroom), Vertex AI and identity.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Clients: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ADK agents, coding agents and CI pipelines keep their code and only change where they send requests.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Gateway: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one shared service. LiteLLM receives and routes requests, Headroom compresses tool output, and LiteLLM meters tokens and cost. Target deployment is Cloud Run or GKE; the hackathon demo runs it locally.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Vertex AI: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all model calls go to Gemini Flash 3 Lite in your Google Cloud project and region.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Identity: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a service account with the Vertex AI User role, picked up through Application Default Credentials. No API keys.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Visibility: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usage and cost feed the savings dashboard, per task and per team.</w:t>
      </w:r>
    </w:p>
    <w:p>
      <w:pPr>
        <w:pStyle w:val="Heading1"/>
        <w:keepNext/>
      </w:pPr>
      <w:r>
        <w:rPr>
          <w:color w:val="1E9A5A"/>
        </w:rPr>
        <w:t xml:space="preserve">A  </w:t>
      </w:r>
      <w:r>
        <w:t xml:space="preserve">Appendix: Vertex AI Benchmark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F7380"/>
          <w:sz w:val="19"/>
          <w:szCs w:val="19"/>
        </w:rPr>
        <w:t xml:space="preserve">Design, results to fill in, and the output-pricing caveat</w:t>
      </w:r>
    </w:p>
    <w:p>
      <w:pPr>
        <w:keepNext/>
        <w:spacing w:after="60" w:before="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Benchmark design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Tasks: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the same 6 DevOps triage tasks as the sample run (tasks.yaml), so results are comparable.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Two passes: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each task is asked once with compression off and once with Headroom on. Same questions, tools and mock data.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Metrics: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input and output tokens and dollar cost per task from LiteLLM usage and pricing data, plus the final answers for a side-by-side quality check.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Org estimate: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saving per request x developers x requests per day x working days (defaults 50 developers, 40 requests a day, 22 days).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Confirm LiteLLM has a price for the model, otherwise cost shows as $0.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Results (sample data: Claude Haiku 4.5)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50"/>
        <w:gridCol w:w="1450"/>
        <w:gridCol w:w="1450"/>
        <w:gridCol w:w="1443"/>
        <w:gridCol w:w="1443"/>
      </w:tblGrid>
      <w:tr>
        <w:trPr>
          <w:tblHeader/>
        </w:trPr>
        <w:tc>
          <w:tcPr>
            <w:tcW w:type="dxa" w:w="27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 without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Tokens with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Fewer tokens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without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with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checkout failures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26,958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15,249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43.4%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$0.0295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$0.0182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error summary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11,221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7,634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32%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$0.0132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$0.0094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open p1 issues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8,825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5,678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35.7%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$0.0103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$0.0071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slow queries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28,780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11,846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58.8%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$0.0316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$0.0138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rollback guidance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27,125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10,076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62.9%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$0.0304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6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$0.0126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on call brief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26,876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15,146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43.6%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$0.0291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$0.0177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232B"/>
                <w:sz w:val="20"/>
                <w:szCs w:val="20"/>
              </w:rPr>
              <w:t xml:space="preserve">Total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232B"/>
                <w:sz w:val="20"/>
                <w:szCs w:val="20"/>
              </w:rPr>
              <w:t xml:space="preserve">129,785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232B"/>
                <w:sz w:val="20"/>
                <w:szCs w:val="20"/>
              </w:rPr>
              <w:t xml:space="preserve">65,629</w:t>
            </w:r>
          </w:p>
        </w:tc>
        <w:tc>
          <w:tcPr>
            <w:tcW w:type="dxa" w:w="145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49.4%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232B"/>
                <w:sz w:val="20"/>
                <w:szCs w:val="20"/>
              </w:rPr>
              <w:t xml:space="preserve">$0.1440</w:t>
            </w:r>
          </w:p>
        </w:tc>
        <w:tc>
          <w:tcPr>
            <w:tcW w:type="dxa" w:w="144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EAF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232B"/>
                <w:sz w:val="20"/>
                <w:szCs w:val="20"/>
              </w:rPr>
              <w:t xml:space="preserve">$0.0788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F7380"/>
          <w:sz w:val="17"/>
          <w:szCs w:val="17"/>
        </w:rPr>
        <w:t xml:space="preserve">Run 2026-10-21, claude-haiku-4-5, Headroom proxy mode, source results/run_20261021_235043.json. To be replaced by the Gemini Flash 3 Lite run on Vertex AI. Fewer tokens = (without - with) / without.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How Gemini output pricing changes the saving</w:t>
      </w:r>
    </w:p>
    <w:p>
      <w:pPr>
        <w:spacing w:after="100" w:line="276"/>
      </w:pPr>
      <w:r>
        <w:rPr>
          <w:rFonts w:ascii="Calibri" w:cs="Calibri" w:eastAsia="Calibri" w:hAnsi="Calibri"/>
          <w:color w:val="14232B"/>
          <w:sz w:val="22"/>
          <w:szCs w:val="22"/>
        </w:rPr>
        <w:t xml:space="preserve">Headroom compresses what you send, not what the model writes back. Output tokens are priced at a multiple of input, and the multiple differs by model: about 5x on Claude Haiku 4.5 and around 8x on some Gemini models. The more of a bill is output, the smaller the percentage saving. Check the Flash 3 Lite input and output prices on your Vertex AI pricing page, and read the Vertex results with that ratio in mind.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color w:val="14232B"/>
          <w:sz w:val="22"/>
          <w:szCs w:val="22"/>
        </w:rPr>
        <w:t xml:space="preserve">Illustration only: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the token mix from the sample run, re-priced at different output-to-input ratios. It is not a Gemini measurement.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6"/>
        <w:gridCol w:w="3000"/>
        <w:gridCol w:w="3000"/>
      </w:tblGrid>
      <w:tr>
        <w:trPr>
          <w:tblHeader/>
        </w:trPr>
        <w:tc>
          <w:tcPr>
            <w:tcW w:type="dxa" w:w="39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 price as a multiple of input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 saving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B3C4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saving</w:t>
            </w:r>
          </w:p>
        </w:tc>
      </w:tr>
      <w:tr>
        <w:trPr>
          <w:cantSplit/>
        </w:trPr>
        <w:tc>
          <w:tcPr>
            <w:tcW w:type="dxa" w:w="39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1x (equal pricing)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49.4%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49.4%</w:t>
            </w:r>
          </w:p>
        </w:tc>
      </w:tr>
      <w:tr>
        <w:trPr>
          <w:cantSplit/>
        </w:trPr>
        <w:tc>
          <w:tcPr>
            <w:tcW w:type="dxa" w:w="39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5x (Claude Haiku 4.5)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49.4%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45.3%</w:t>
            </w:r>
          </w:p>
        </w:tc>
      </w:tr>
      <w:tr>
        <w:trPr>
          <w:cantSplit/>
        </w:trPr>
        <w:tc>
          <w:tcPr>
            <w:tcW w:type="dxa" w:w="39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about 8x (some Gemini models)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4232B"/>
                <w:sz w:val="20"/>
                <w:szCs w:val="20"/>
              </w:rPr>
              <w:t xml:space="preserve">49.4%</w:t>
            </w:r>
          </w:p>
        </w:tc>
        <w:tc>
          <w:tcPr>
            <w:tcW w:type="dxa" w:w="30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9A5A"/>
                <w:sz w:val="20"/>
                <w:szCs w:val="20"/>
              </w:rPr>
              <w:t xml:space="preserve">42.7%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F7380"/>
          <w:sz w:val="17"/>
          <w:szCs w:val="17"/>
        </w:rPr>
        <w:t xml:space="preserve">Sample token mix: 126,236 input and 3,549 output tokens without compression. Longer answers or reasoning-heavy workloads lower the saving further.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Quality check and limits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Proposed pass criteria: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tokens drop on every task, total cost is lower, and the final answers reach the same conclusions on all six tasks, checked by a person.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Why check: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in the sample run one task reported slightly different error counts with compression 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B3C49"/>
          <w:sz w:val="22"/>
          <w:szCs w:val="22"/>
        </w:rPr>
        <w:t xml:space="preserve">Limits: </w:t>
      </w:r>
      <w:r>
        <w:rPr>
          <w:rFonts w:ascii="Calibri" w:cs="Calibri" w:eastAsia="Calibri" w:hAnsi="Calibri"/>
          <w:color w:val="14232B"/>
          <w:sz w:val="22"/>
          <w:szCs w:val="22"/>
        </w:rPr>
        <w:t xml:space="preserve">a small, synthetic benchmark (6 tasks, mock data); prompt caching, latency and gateway operations are not measured. A pilot on real traffic should confirm the savings.</w:t>
      </w:r>
    </w:p>
    <w:sectPr>
      <w:footerReference w:type="default" r:id="rId6"/>
      <w:pgSz w:w="12240" w:h="15840" w:orient="portrait"/>
      <w:pgMar w:top="1000" w:right="1152" w:bottom="1000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36"/>
      </w:tabs>
    </w:pPr>
    <w:r>
      <w:rPr>
        <w:rFonts w:ascii="Calibri" w:cs="Calibri" w:eastAsia="Calibri" w:hAnsi="Calibri"/>
        <w:color w:val="5F7380"/>
        <w:sz w:val="17"/>
        <w:szCs w:val="17"/>
      </w:rPr>
      <w:t xml:space="preserve">Fusion Force Gateway on Vertex AI  |  Benchmark report</w:t>
    </w:r>
    <w:r>
      <w:rPr>
        <w:rFonts w:ascii="Calibri" w:cs="Calibri" w:eastAsia="Calibri" w:hAnsi="Calibri"/>
        <w:color w:val="5F7380"/>
        <w:sz w:val="17"/>
        <w:szCs w:val="17"/>
      </w:rPr>
      <w:t xml:space="preserve">	</w:t>
    </w:r>
    <w:r>
      <w:rPr>
        <w:rFonts w:ascii="Calibri" w:cs="Calibri" w:eastAsia="Calibri" w:hAnsi="Calibri"/>
        <w:color w:val="5F7380"/>
        <w:sz w:val="17"/>
        <w:szCs w:val="17"/>
      </w:rPr>
      <w:fldChar w:fldCharType="begin"/>
    </w:r>
    <w:r>
      <w:rPr>
        <w:rFonts w:ascii="Calibri" w:cs="Calibri" w:eastAsia="Calibri" w:hAnsi="Calibri"/>
        <w:color w:val="5F7380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F7380"/>
        <w:sz w:val="17"/>
        <w:szCs w:val="17"/>
      </w:rPr>
      <w:fldChar w:fldCharType="separate"/>
    </w:r>
    <w:r>
      <w:rPr>
        <w:rFonts w:ascii="Calibri" w:cs="Calibri" w:eastAsia="Calibri" w:hAnsi="Calibri"/>
        <w:color w:val="5F73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1E9A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32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320"/>
      <w:outlineLvl w:val="0"/>
    </w:pPr>
    <w:rPr>
      <w:rFonts w:ascii="Cambria" w:cs="Cambria" w:eastAsia="Cambria" w:hAnsi="Cambria"/>
      <w:b/>
      <w:bCs/>
      <w:color w:val="0B3C49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a821c95bc1a2bb124499e23f151d98717399bd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Fusion Force Gateway on Vertex AI - Benchmark Report</dc:title>
  <dc:creator>Fusion Force Gateway team</dc:creator>
  <dc:description>Vertex AI edition of the Fusion Force Gateway hackathon submission</dc:description>
  <cp:lastModifiedBy>Un-named</cp:lastModifiedBy>
  <cp:revision>1</cp:revision>
  <dcterms:created xsi:type="dcterms:W3CDTF">2026-10-22T21:49:33.149Z</dcterms:created>
  <dcterms:modified xsi:type="dcterms:W3CDTF">2026-10-22T21:49:33.149Z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