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none" w:color="FFFFFF" w:sz="0"/>
              <w:left w:val="none" w:color="FFFFFF" w:sz="0"/>
              <w:bottom w:val="none" w:color="FFFFFF" w:sz="0"/>
              <w:right w:val="none" w:color="FFFFFF" w:sz="0"/>
            </w:tcBorders>
            <w:shd w:fill="0B3C49" w:color="auto" w:val="clear"/>
            <w:tcMar>
              <w:top w:type="dxa" w:w="280"/>
              <w:left w:type="dxa" w:w="360"/>
              <w:bottom w:type="dxa" w:w="280"/>
              <w:right w:type="dxa" w:w="360"/>
            </w:tcMar>
            <w:vAlign w:val="center"/>
          </w:tcPr>
          <w:p>
            <w:pPr>
              <w:spacing w:after="60"/>
            </w:pPr>
            <w:r>
              <w:rPr>
                <w:rFonts w:ascii="Calibri" w:cs="Calibri" w:eastAsia="Calibri" w:hAnsi="Calibri"/>
                <w:b/>
                <w:bCs/>
                <w:color w:val="8FD3E8"/>
                <w:spacing w:val="20"/>
                <w:sz w:val="18"/>
                <w:szCs w:val="18"/>
              </w:rPr>
              <w:t xml:space="preserve">2026 BEST TECHNOLOGY BREAKTHROUGH (AI)  |  HACKATHON SUBMISSION</w:t>
            </w:r>
          </w:p>
          <w:p>
            <w:pPr>
              <w:spacing w:after="40"/>
            </w:pPr>
            <w:r>
              <w:rPr>
                <w:rFonts w:ascii="Cambria" w:cs="Cambria" w:eastAsia="Cambria" w:hAnsi="Cambria"/>
                <w:b/>
                <w:bCs/>
                <w:color w:val="FFFFFF"/>
                <w:sz w:val="68"/>
                <w:szCs w:val="68"/>
              </w:rPr>
              <w:t xml:space="preserve">Token Gate</w:t>
            </w:r>
          </w:p>
          <w:p>
            <w:pPr>
              <w:spacing w:after="40"/>
            </w:pPr>
            <w:r>
              <w:rPr>
                <w:rFonts w:ascii="Calibri" w:cs="Calibri" w:eastAsia="Calibri" w:hAnsi="Calibri"/>
                <w:color w:val="EAF2F3"/>
                <w:sz w:val="32"/>
                <w:szCs w:val="32"/>
              </w:rPr>
              <w:t xml:space="preserve">An Org-Wide LLM Compression Gateway</w:t>
            </w:r>
          </w:p>
        </w:tc>
      </w:tr>
    </w:tbl>
    <w:p>
      <w:pPr>
        <w:spacing w:after="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6DA" w:sz="4"/>
              <w:left w:val="single" w:color="C9D6DA" w:sz="4"/>
              <w:bottom w:val="single" w:color="C9D6DA" w:sz="4"/>
              <w:right w:val="single" w:color="C9D6DA" w:sz="4"/>
            </w:tcBorders>
            <w:shd w:fill="E6F4EC" w:color="auto" w:val="clear"/>
            <w:tcMar>
              <w:top w:type="dxa" w:w="200"/>
              <w:left w:type="dxa" w:w="280"/>
              <w:bottom w:type="dxa" w:w="200"/>
              <w:right w:type="dxa" w:w="280"/>
            </w:tcMar>
            <w:vAlign w:val="center"/>
          </w:tcPr>
          <w:p>
            <w:pPr>
              <w:spacing w:after="80"/>
            </w:pPr>
            <w:r>
              <w:rPr>
                <w:rFonts w:ascii="Calibri" w:cs="Calibri" w:eastAsia="Calibri" w:hAnsi="Calibri"/>
                <w:b/>
                <w:bCs/>
                <w:color w:val="1E9A5A"/>
                <w:spacing w:val="30"/>
                <w:sz w:val="18"/>
                <w:szCs w:val="18"/>
              </w:rPr>
              <w:t xml:space="preserve">ELEVATOR PITCH</w:t>
            </w:r>
          </w:p>
          <w:p>
            <w:pPr>
              <w:spacing w:after="0" w:line="300"/>
            </w:pPr>
            <w:r>
              <w:rPr>
                <w:rFonts w:ascii="Calibri" w:cs="Calibri" w:eastAsia="Calibri" w:hAnsi="Calibri"/>
                <w:b/>
                <w:bCs/>
                <w:color w:val="0B3C49"/>
                <w:sz w:val="24"/>
                <w:szCs w:val="24"/>
              </w:rPr>
              <w:t xml:space="preserve">Every AI agent pays, over and over, for the same bloated tool output. </w:t>
            </w:r>
            <w:r>
              <w:rPr>
                <w:rFonts w:ascii="Calibri" w:cs="Calibri" w:eastAsia="Calibri" w:hAnsi="Calibri"/>
                <w:color w:val="14232B"/>
                <w:sz w:val="24"/>
                <w:szCs w:val="24"/>
              </w:rPr>
              <w:t xml:space="preserve">Token Gate is one LiteLLM gateway with Headroom compression built in. Teams change a single setting, and verbose tool output is shrunk before it reaches the model. No agent rewrites. In our A/B benchmark the same six agent tasks used 49.4% fewer tokens and cost 45% less, and the built-in dashboard turns that into a live org-wide dollar figure.</w:t>
            </w:r>
          </w:p>
        </w:tc>
      </w:tr>
    </w:tbl>
    <w:p>
      <w:pPr>
        <w:spacing w:after="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2484"/>
        <w:gridCol w:w="2484"/>
        <w:gridCol w:w="2484"/>
      </w:tblGrid>
      <w:tr>
        <w:tc>
          <w:tcPr>
            <w:tcW w:type="dxa" w:w="2484"/>
            <w:tcBorders>
              <w:top w:val="none" w:color="FFFFFF" w:sz="0"/>
              <w:left w:val="none" w:color="FFFFFF" w:sz="0"/>
              <w:bottom w:val="none" w:color="FFFFFF" w:sz="0"/>
              <w:right w:val="single" w:color="FFFFFF" w:sz="18"/>
            </w:tcBorders>
            <w:shd w:fill="EAF2F3" w:color="auto" w:val="clear"/>
            <w:tcMar>
              <w:top w:type="dxa" w:w="140"/>
              <w:left w:type="dxa" w:w="160"/>
              <w:bottom w:type="dxa" w:w="140"/>
              <w:right w:type="dxa" w:w="120"/>
            </w:tcMar>
            <w:vAlign w:val="center"/>
          </w:tcPr>
          <w:p>
            <w:pPr>
              <w:spacing w:after="20"/>
              <w:jc w:val="left"/>
            </w:pPr>
            <w:r>
              <w:rPr>
                <w:rFonts w:ascii="Cambria" w:cs="Cambria" w:eastAsia="Cambria" w:hAnsi="Cambria"/>
                <w:b/>
                <w:bCs/>
                <w:color w:val="1E9A5A"/>
                <w:sz w:val="44"/>
                <w:szCs w:val="44"/>
              </w:rPr>
              <w:t xml:space="preserve">49.4%</w:t>
            </w:r>
          </w:p>
          <w:p>
            <w:pPr>
              <w:spacing w:after="0"/>
            </w:pPr>
            <w:r>
              <w:rPr>
                <w:rFonts w:ascii="Calibri" w:cs="Calibri" w:eastAsia="Calibri" w:hAnsi="Calibri"/>
                <w:color w:val="14232B"/>
                <w:sz w:val="19"/>
                <w:szCs w:val="19"/>
              </w:rPr>
              <w:t xml:space="preserve">fewer tokens sent to the model</w:t>
            </w:r>
          </w:p>
        </w:tc>
        <w:tc>
          <w:tcPr>
            <w:tcW w:type="dxa" w:w="2484"/>
            <w:tcBorders>
              <w:top w:val="none" w:color="FFFFFF" w:sz="0"/>
              <w:left w:val="none" w:color="FFFFFF" w:sz="0"/>
              <w:bottom w:val="none" w:color="FFFFFF" w:sz="0"/>
              <w:right w:val="single" w:color="FFFFFF" w:sz="18"/>
            </w:tcBorders>
            <w:shd w:fill="EAF2F3" w:color="auto" w:val="clear"/>
            <w:tcMar>
              <w:top w:type="dxa" w:w="140"/>
              <w:left w:type="dxa" w:w="160"/>
              <w:bottom w:type="dxa" w:w="140"/>
              <w:right w:type="dxa" w:w="120"/>
            </w:tcMar>
            <w:vAlign w:val="center"/>
          </w:tcPr>
          <w:p>
            <w:pPr>
              <w:spacing w:after="20"/>
              <w:jc w:val="left"/>
            </w:pPr>
            <w:r>
              <w:rPr>
                <w:rFonts w:ascii="Cambria" w:cs="Cambria" w:eastAsia="Cambria" w:hAnsi="Cambria"/>
                <w:b/>
                <w:bCs/>
                <w:color w:val="1E9A5A"/>
                <w:sz w:val="44"/>
                <w:szCs w:val="44"/>
              </w:rPr>
              <w:t xml:space="preserve">45%</w:t>
            </w:r>
          </w:p>
          <w:p>
            <w:pPr>
              <w:spacing w:after="0"/>
            </w:pPr>
            <w:r>
              <w:rPr>
                <w:rFonts w:ascii="Calibri" w:cs="Calibri" w:eastAsia="Calibri" w:hAnsi="Calibri"/>
                <w:color w:val="14232B"/>
                <w:sz w:val="19"/>
                <w:szCs w:val="19"/>
              </w:rPr>
              <w:t xml:space="preserve">lower LLM cost, same tasks</w:t>
            </w:r>
          </w:p>
        </w:tc>
        <w:tc>
          <w:tcPr>
            <w:tcW w:type="dxa" w:w="2484"/>
            <w:tcBorders>
              <w:top w:val="none" w:color="FFFFFF" w:sz="0"/>
              <w:left w:val="none" w:color="FFFFFF" w:sz="0"/>
              <w:bottom w:val="none" w:color="FFFFFF" w:sz="0"/>
              <w:right w:val="single" w:color="FFFFFF" w:sz="18"/>
            </w:tcBorders>
            <w:shd w:fill="EAF2F3" w:color="auto" w:val="clear"/>
            <w:tcMar>
              <w:top w:type="dxa" w:w="140"/>
              <w:left w:type="dxa" w:w="160"/>
              <w:bottom w:type="dxa" w:w="140"/>
              <w:right w:type="dxa" w:w="120"/>
            </w:tcMar>
            <w:vAlign w:val="center"/>
          </w:tcPr>
          <w:p>
            <w:pPr>
              <w:spacing w:after="20"/>
              <w:jc w:val="left"/>
            </w:pPr>
            <w:r>
              <w:rPr>
                <w:rFonts w:ascii="Cambria" w:cs="Cambria" w:eastAsia="Cambria" w:hAnsi="Cambria"/>
                <w:b/>
                <w:bCs/>
                <w:color w:val="1E9A5A"/>
                <w:sz w:val="44"/>
                <w:szCs w:val="44"/>
              </w:rPr>
              <w:t xml:space="preserve">6 of 6</w:t>
            </w:r>
          </w:p>
          <w:p>
            <w:pPr>
              <w:spacing w:after="0"/>
            </w:pPr>
            <w:r>
              <w:rPr>
                <w:rFonts w:ascii="Calibri" w:cs="Calibri" w:eastAsia="Calibri" w:hAnsi="Calibri"/>
                <w:color w:val="14232B"/>
                <w:sz w:val="19"/>
                <w:szCs w:val="19"/>
              </w:rPr>
              <w:t xml:space="preserve">tasks improved (32% to 63% fewer tokens)</w:t>
            </w:r>
          </w:p>
        </w:tc>
        <w:tc>
          <w:tcPr>
            <w:tcW w:type="dxa" w:w="2484"/>
            <w:tcBorders>
              <w:top w:val="none" w:color="FFFFFF" w:sz="0"/>
              <w:left w:val="none" w:color="FFFFFF" w:sz="0"/>
              <w:bottom w:val="none" w:color="FFFFFF" w:sz="0"/>
              <w:right w:val="single" w:color="FFFFFF" w:sz="18"/>
            </w:tcBorders>
            <w:shd w:fill="EAF2F3" w:color="auto" w:val="clear"/>
            <w:tcMar>
              <w:top w:type="dxa" w:w="140"/>
              <w:left w:type="dxa" w:w="160"/>
              <w:bottom w:type="dxa" w:w="140"/>
              <w:right w:type="dxa" w:w="120"/>
            </w:tcMar>
            <w:vAlign w:val="center"/>
          </w:tcPr>
          <w:p>
            <w:pPr>
              <w:spacing w:after="20"/>
              <w:jc w:val="left"/>
            </w:pPr>
            <w:r>
              <w:rPr>
                <w:rFonts w:ascii="Cambria" w:cs="Cambria" w:eastAsia="Cambria" w:hAnsi="Cambria"/>
                <w:b/>
                <w:bCs/>
                <w:color w:val="1E9A5A"/>
                <w:sz w:val="44"/>
                <w:szCs w:val="44"/>
              </w:rPr>
              <w:t xml:space="preserve">~$478</w:t>
            </w:r>
          </w:p>
          <w:p>
            <w:pPr>
              <w:spacing w:after="0"/>
            </w:pPr>
            <w:r>
              <w:rPr>
                <w:rFonts w:ascii="Calibri" w:cs="Calibri" w:eastAsia="Calibri" w:hAnsi="Calibri"/>
                <w:color w:val="14232B"/>
                <w:sz w:val="19"/>
                <w:szCs w:val="19"/>
              </w:rPr>
              <w:t xml:space="preserve">saved per month at 50 developers</w:t>
            </w:r>
          </w:p>
        </w:tc>
      </w:tr>
    </w:tbl>
    <w:p>
      <w:pPr>
        <w:spacing w:after="160" w:before="80"/>
      </w:pPr>
      <w:r>
        <w:rPr>
          <w:rFonts w:ascii="Calibri" w:cs="Calibri" w:eastAsia="Calibri" w:hAnsi="Calibri"/>
          <w:i/>
          <w:iCs/>
          <w:color w:val="5F7380"/>
          <w:sz w:val="17"/>
          <w:szCs w:val="17"/>
        </w:rPr>
        <w:t xml:space="preserve">Measured on Claude Haiku 4.5, 6 DevOps triage tasks, compression off vs. on, run 2026-10-21. Source: results/run_20261021_235043.json.</w:t>
      </w:r>
    </w:p>
    <w:p>
      <w:pPr>
        <w:pStyle w:val="Heading1"/>
        <w:keepNext/>
      </w:pPr>
      <w:r>
        <w:rPr>
          <w:color w:val="1E9A5A"/>
        </w:rPr>
        <w:t xml:space="preserve">1  </w:t>
      </w:r>
      <w:r>
        <w:t xml:space="preserve">Project Overview</w:t>
      </w:r>
    </w:p>
    <w:p>
      <w:pPr>
        <w:keepNext/>
        <w:spacing w:after="120"/>
      </w:pPr>
      <w:r>
        <w:rPr>
          <w:rFonts w:ascii="Calibri" w:cs="Calibri" w:eastAsia="Calibri" w:hAnsi="Calibri"/>
          <w:i/>
          <w:iCs/>
          <w:color w:val="5F7380"/>
          <w:sz w:val="19"/>
          <w:szCs w:val="19"/>
        </w:rPr>
        <w:t xml:space="preserve">Elevator pitch, team name, short title, contact</w:t>
      </w:r>
    </w:p>
    <w:p>
      <w:pPr>
        <w:spacing w:after="100" w:line="276"/>
      </w:pPr>
      <w:r>
        <w:rPr>
          <w:rFonts w:ascii="Calibri" w:cs="Calibri" w:eastAsia="Calibri" w:hAnsi="Calibri"/>
          <w:color w:val="14232B"/>
          <w:sz w:val="22"/>
          <w:szCs w:val="22"/>
        </w:rPr>
        <w:t xml:space="preserve">Token Gate sits between agents and the model provider. Agents keep their code and point at the gateway, LiteLLM routes and meters every call, and Headroom compresses the bulky JSON that tools return (logs, issue lists, search results) before the model sees it. A benchmark harness runs the same tasks twice, compression off and on, and a Streamlit dashboard shows tokens, dollars and side-by-side answers, with sliders to extrapolate to your org.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7236"/>
      </w:tblGrid>
      <w:tr>
        <w:tc>
          <w:tcPr>
            <w:tcW w:type="dxa" w:w="2700"/>
            <w:tcBorders>
              <w:top w:val="single" w:color="C9D6DA" w:sz="4"/>
              <w:left w:val="single" w:color="C9D6DA" w:sz="4"/>
              <w:bottom w:val="single" w:color="C9D6DA" w:sz="4"/>
              <w:right w:val="single" w:color="C9D6DA" w:sz="4"/>
            </w:tcBorders>
            <w:shd w:fill="EAF2F3" w:color="auto" w:val="clear"/>
            <w:tcMar>
              <w:top w:type="dxa" w:w="90"/>
              <w:left w:type="dxa" w:w="140"/>
              <w:bottom w:type="dxa" w:w="90"/>
              <w:right w:type="dxa" w:w="140"/>
            </w:tcMar>
            <w:vAlign w:val="center"/>
          </w:tcPr>
          <w:p>
            <w:pPr>
              <w:spacing w:after="0"/>
            </w:pPr>
            <w:r>
              <w:rPr>
                <w:rFonts w:ascii="Calibri" w:cs="Calibri" w:eastAsia="Calibri" w:hAnsi="Calibri"/>
                <w:b/>
                <w:bCs/>
                <w:color w:val="0B3C49"/>
                <w:sz w:val="22"/>
                <w:szCs w:val="22"/>
              </w:rPr>
              <w:t xml:space="preserve">Team Name</w:t>
            </w:r>
          </w:p>
        </w:tc>
        <w:tc>
          <w:tcPr>
            <w:tcW w:type="dxa" w:w="7236"/>
            <w:tcBorders>
              <w:top w:val="single" w:color="C9D6DA" w:sz="4"/>
              <w:left w:val="single" w:color="C9D6DA" w:sz="4"/>
              <w:bottom w:val="single" w:color="C9D6DA" w:sz="4"/>
              <w:right w:val="single" w:color="C9D6DA" w:sz="4"/>
            </w:tcBorders>
            <w:tcMar>
              <w:top w:type="dxa" w:w="90"/>
              <w:left w:type="dxa" w:w="140"/>
              <w:bottom w:type="dxa" w:w="90"/>
              <w:right w:type="dxa" w:w="140"/>
            </w:tcMar>
            <w:vAlign w:val="center"/>
          </w:tcPr>
          <w:p>
            <w:pPr>
              <w:spacing w:after="0"/>
            </w:pPr>
            <w:r>
              <w:rPr>
                <w:rFonts w:ascii="Calibri" w:cs="Calibri" w:eastAsia="Calibri" w:hAnsi="Calibri"/>
                <w:b/>
                <w:bCs/>
                <w:color w:val="14232B"/>
                <w:sz w:val="22"/>
                <w:szCs w:val="22"/>
                <w:highlight w:val="yellow"/>
              </w:rPr>
              <w:t xml:space="preserve">[Add team name]</w:t>
            </w:r>
          </w:p>
        </w:tc>
      </w:tr>
      <w:tr>
        <w:tc>
          <w:tcPr>
            <w:tcW w:type="dxa" w:w="2700"/>
            <w:tcBorders>
              <w:top w:val="single" w:color="C9D6DA" w:sz="4"/>
              <w:left w:val="single" w:color="C9D6DA" w:sz="4"/>
              <w:bottom w:val="single" w:color="C9D6DA" w:sz="4"/>
              <w:right w:val="single" w:color="C9D6DA" w:sz="4"/>
            </w:tcBorders>
            <w:shd w:fill="EAF2F3" w:color="auto" w:val="clear"/>
            <w:tcMar>
              <w:top w:type="dxa" w:w="90"/>
              <w:left w:type="dxa" w:w="140"/>
              <w:bottom w:type="dxa" w:w="90"/>
              <w:right w:type="dxa" w:w="140"/>
            </w:tcMar>
            <w:vAlign w:val="center"/>
          </w:tcPr>
          <w:p>
            <w:pPr>
              <w:spacing w:after="0"/>
            </w:pPr>
            <w:r>
              <w:rPr>
                <w:rFonts w:ascii="Calibri" w:cs="Calibri" w:eastAsia="Calibri" w:hAnsi="Calibri"/>
                <w:b/>
                <w:bCs/>
                <w:color w:val="0B3C49"/>
                <w:sz w:val="22"/>
                <w:szCs w:val="22"/>
              </w:rPr>
              <w:t xml:space="preserve">Project Short Title</w:t>
            </w:r>
          </w:p>
        </w:tc>
        <w:tc>
          <w:tcPr>
            <w:tcW w:type="dxa" w:w="7236"/>
            <w:tcBorders>
              <w:top w:val="single" w:color="C9D6DA" w:sz="4"/>
              <w:left w:val="single" w:color="C9D6DA" w:sz="4"/>
              <w:bottom w:val="single" w:color="C9D6DA" w:sz="4"/>
              <w:right w:val="single" w:color="C9D6DA" w:sz="4"/>
            </w:tcBorders>
            <w:tcMar>
              <w:top w:type="dxa" w:w="90"/>
              <w:left w:type="dxa" w:w="140"/>
              <w:bottom w:type="dxa" w:w="90"/>
              <w:right w:type="dxa" w:w="140"/>
            </w:tcMar>
            <w:vAlign w:val="center"/>
          </w:tcPr>
          <w:p>
            <w:pPr>
              <w:spacing w:after="0"/>
            </w:pPr>
            <w:r>
              <w:rPr>
                <w:rFonts w:ascii="Calibri" w:cs="Calibri" w:eastAsia="Calibri" w:hAnsi="Calibri"/>
                <w:color w:val="14232B"/>
                <w:sz w:val="22"/>
                <w:szCs w:val="22"/>
              </w:rPr>
              <w:t xml:space="preserve">Token Gate</w:t>
            </w:r>
          </w:p>
        </w:tc>
      </w:tr>
      <w:tr>
        <w:tc>
          <w:tcPr>
            <w:tcW w:type="dxa" w:w="2700"/>
            <w:tcBorders>
              <w:top w:val="single" w:color="C9D6DA" w:sz="4"/>
              <w:left w:val="single" w:color="C9D6DA" w:sz="4"/>
              <w:bottom w:val="single" w:color="C9D6DA" w:sz="4"/>
              <w:right w:val="single" w:color="C9D6DA" w:sz="4"/>
            </w:tcBorders>
            <w:shd w:fill="EAF2F3" w:color="auto" w:val="clear"/>
            <w:tcMar>
              <w:top w:type="dxa" w:w="90"/>
              <w:left w:type="dxa" w:w="140"/>
              <w:bottom w:type="dxa" w:w="90"/>
              <w:right w:type="dxa" w:w="140"/>
            </w:tcMar>
            <w:vAlign w:val="center"/>
          </w:tcPr>
          <w:p>
            <w:pPr>
              <w:spacing w:after="0"/>
            </w:pPr>
            <w:r>
              <w:rPr>
                <w:rFonts w:ascii="Calibri" w:cs="Calibri" w:eastAsia="Calibri" w:hAnsi="Calibri"/>
                <w:b/>
                <w:bCs/>
                <w:color w:val="0B3C49"/>
                <w:sz w:val="22"/>
                <w:szCs w:val="22"/>
              </w:rPr>
              <w:t xml:space="preserve">Contact for questions</w:t>
            </w:r>
          </w:p>
        </w:tc>
        <w:tc>
          <w:tcPr>
            <w:tcW w:type="dxa" w:w="7236"/>
            <w:tcBorders>
              <w:top w:val="single" w:color="C9D6DA" w:sz="4"/>
              <w:left w:val="single" w:color="C9D6DA" w:sz="4"/>
              <w:bottom w:val="single" w:color="C9D6DA" w:sz="4"/>
              <w:right w:val="single" w:color="C9D6DA" w:sz="4"/>
            </w:tcBorders>
            <w:tcMar>
              <w:top w:type="dxa" w:w="90"/>
              <w:left w:type="dxa" w:w="140"/>
              <w:bottom w:type="dxa" w:w="90"/>
              <w:right w:type="dxa" w:w="140"/>
            </w:tcMar>
            <w:vAlign w:val="center"/>
          </w:tcPr>
          <w:p>
            <w:pPr>
              <w:spacing w:after="0"/>
            </w:pPr>
            <w:r>
              <w:rPr>
                <w:rFonts w:ascii="Calibri" w:cs="Calibri" w:eastAsia="Calibri" w:hAnsi="Calibri"/>
                <w:b/>
                <w:bCs/>
                <w:color w:val="14232B"/>
                <w:sz w:val="22"/>
                <w:szCs w:val="22"/>
                <w:highlight w:val="yellow"/>
              </w:rPr>
              <w:t xml:space="preserve">[Add name, email]</w:t>
            </w:r>
          </w:p>
        </w:tc>
      </w:tr>
      <w:tr>
        <w:tc>
          <w:tcPr>
            <w:tcW w:type="dxa" w:w="2700"/>
            <w:tcBorders>
              <w:top w:val="single" w:color="C9D6DA" w:sz="4"/>
              <w:left w:val="single" w:color="C9D6DA" w:sz="4"/>
              <w:bottom w:val="single" w:color="C9D6DA" w:sz="4"/>
              <w:right w:val="single" w:color="C9D6DA" w:sz="4"/>
            </w:tcBorders>
            <w:shd w:fill="EAF2F3" w:color="auto" w:val="clear"/>
            <w:tcMar>
              <w:top w:type="dxa" w:w="90"/>
              <w:left w:type="dxa" w:w="140"/>
              <w:bottom w:type="dxa" w:w="90"/>
              <w:right w:type="dxa" w:w="140"/>
            </w:tcMar>
            <w:vAlign w:val="center"/>
          </w:tcPr>
          <w:p>
            <w:pPr>
              <w:spacing w:after="0"/>
            </w:pPr>
            <w:r>
              <w:rPr>
                <w:rFonts w:ascii="Calibri" w:cs="Calibri" w:eastAsia="Calibri" w:hAnsi="Calibri"/>
                <w:b/>
                <w:bCs/>
                <w:color w:val="0B3C49"/>
                <w:sz w:val="22"/>
                <w:szCs w:val="22"/>
              </w:rPr>
              <w:t xml:space="preserve">GitHub</w:t>
            </w:r>
          </w:p>
        </w:tc>
        <w:tc>
          <w:tcPr>
            <w:tcW w:type="dxa" w:w="7236"/>
            <w:tcBorders>
              <w:top w:val="single" w:color="C9D6DA" w:sz="4"/>
              <w:left w:val="single" w:color="C9D6DA" w:sz="4"/>
              <w:bottom w:val="single" w:color="C9D6DA" w:sz="4"/>
              <w:right w:val="single" w:color="C9D6DA" w:sz="4"/>
            </w:tcBorders>
            <w:tcMar>
              <w:top w:type="dxa" w:w="90"/>
              <w:left w:type="dxa" w:w="140"/>
              <w:bottom w:type="dxa" w:w="90"/>
              <w:right w:type="dxa" w:w="140"/>
            </w:tcMar>
            <w:vAlign w:val="center"/>
          </w:tcPr>
          <w:p>
            <w:pPr>
              <w:spacing w:after="0"/>
            </w:pPr>
            <w:r>
              <w:rPr>
                <w:rFonts w:ascii="Calibri" w:cs="Calibri" w:eastAsia="Calibri" w:hAnsi="Calibri"/>
                <w:color w:val="1C7C8C"/>
                <w:sz w:val="22"/>
                <w:szCs w:val="22"/>
                <w:u w:val="single"/>
              </w:rPr>
              <w:t xml:space="preserve">https://github.com/shyleshus7/tokengate</w:t>
            </w:r>
          </w:p>
        </w:tc>
      </w:tr>
    </w:tbl>
    <w:p>
      <w:pPr>
        <w:spacing w:after="120"/>
      </w:pPr>
    </w:p>
    <w:p>
      <w:pPr>
        <w:spacing w:after="60" w:before="120"/>
        <w:jc w:val="center"/>
      </w:pPr>
      <w:r>
        <w:drawing>
          <wp:inline distT="0" distB="0" distL="0" distR="0">
            <wp:extent cx="6309360" cy="4510207"/>
            <wp:effectExtent t="0" r="0" b="0" l="0"/>
            <wp:docPr id="1" name="architecture" descr="Diagram comparing agent traffic without a gateway and with the Token Gate LiteLLM gateway using Headroom compression" title="Token Ga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09360" cy="4510207"/>
                    </a:xfrm>
                    <a:prstGeom prst="rect">
                      <a:avLst/>
                    </a:prstGeom>
                  </pic:spPr>
                </pic:pic>
              </a:graphicData>
            </a:graphic>
          </wp:inline>
        </w:drawing>
      </w:r>
    </w:p>
    <w:p>
      <w:pPr>
        <w:spacing w:after="160"/>
        <w:jc w:val="center"/>
      </w:pPr>
      <w:r>
        <w:rPr>
          <w:rFonts w:ascii="Calibri" w:cs="Calibri" w:eastAsia="Calibri" w:hAnsi="Calibri"/>
          <w:i/>
          <w:iCs/>
          <w:color w:val="5F7380"/>
          <w:sz w:val="17"/>
          <w:szCs w:val="17"/>
        </w:rPr>
        <w:t xml:space="preserve">Figure 1. Agent traffic without a gateway (left) and through Token Gate (right).</w:t>
      </w:r>
    </w:p>
    <w:p>
      <w:pPr>
        <w:pStyle w:val="Heading1"/>
        <w:keepNext/>
      </w:pPr>
      <w:r>
        <w:rPr>
          <w:color w:val="1E9A5A"/>
        </w:rPr>
        <w:t xml:space="preserve">2  </w:t>
      </w:r>
      <w:r>
        <w:t xml:space="preserve">Target User</w:t>
      </w:r>
    </w:p>
    <w:p>
      <w:pPr>
        <w:keepNext/>
        <w:spacing w:after="120"/>
      </w:pPr>
      <w:r>
        <w:rPr>
          <w:rFonts w:ascii="Calibri" w:cs="Calibri" w:eastAsia="Calibri" w:hAnsi="Calibri"/>
          <w:i/>
          <w:iCs/>
          <w:color w:val="5F7380"/>
          <w:sz w:val="19"/>
          <w:szCs w:val="19"/>
        </w:rPr>
        <w:t xml:space="preserve">Which product line or department benefits?</w:t>
      </w:r>
    </w:p>
    <w:p>
      <w:pPr>
        <w:pStyle w:val="ListParagraph"/>
        <w:numPr>
          <w:ilvl w:val="0"/>
          <w:numId w:val="2"/>
        </w:numPr>
        <w:spacing w:after="70" w:line="276"/>
      </w:pPr>
      <w:r>
        <w:rPr>
          <w:rFonts w:ascii="Calibri" w:cs="Calibri" w:eastAsia="Calibri" w:hAnsi="Calibri"/>
          <w:b/>
          <w:bCs/>
          <w:color w:val="0B3C49"/>
          <w:sz w:val="22"/>
          <w:szCs w:val="22"/>
        </w:rPr>
        <w:t xml:space="preserve">Primary: </w:t>
      </w:r>
      <w:r>
        <w:rPr>
          <w:rFonts w:ascii="Calibri" w:cs="Calibri" w:eastAsia="Calibri" w:hAnsi="Calibri"/>
          <w:color w:val="14232B"/>
          <w:sz w:val="22"/>
          <w:szCs w:val="22"/>
        </w:rPr>
        <w:t xml:space="preserve">Platform and AI engineering teams that run LLM agents for the whole company, and the FinOps owners who pay the bill.</w:t>
      </w:r>
    </w:p>
    <w:p>
      <w:pPr>
        <w:pStyle w:val="ListParagraph"/>
        <w:numPr>
          <w:ilvl w:val="0"/>
          <w:numId w:val="2"/>
        </w:numPr>
        <w:spacing w:after="70" w:line="276"/>
      </w:pPr>
      <w:r>
        <w:rPr>
          <w:rFonts w:ascii="Calibri" w:cs="Calibri" w:eastAsia="Calibri" w:hAnsi="Calibri"/>
          <w:b/>
          <w:bCs/>
          <w:color w:val="0B3C49"/>
          <w:sz w:val="22"/>
          <w:szCs w:val="22"/>
        </w:rPr>
        <w:t xml:space="preserve">First adopters: </w:t>
      </w:r>
      <w:r>
        <w:rPr>
          <w:rFonts w:ascii="Calibri" w:cs="Calibri" w:eastAsia="Calibri" w:hAnsi="Calibri"/>
          <w:color w:val="14232B"/>
          <w:sz w:val="22"/>
          <w:szCs w:val="22"/>
        </w:rPr>
        <w:t xml:space="preserve">DevOps and SRE (incident triage agents), engineering productivity (coding agents) and CI pipelines. Their agents read logs, files and tickets, so most of their tokens are bulky tool output.</w:t>
      </w:r>
    </w:p>
    <w:p>
      <w:pPr>
        <w:pStyle w:val="ListParagraph"/>
        <w:numPr>
          <w:ilvl w:val="0"/>
          <w:numId w:val="2"/>
        </w:numPr>
        <w:spacing w:after="70" w:line="276"/>
      </w:pPr>
      <w:r>
        <w:rPr>
          <w:rFonts w:ascii="Calibri" w:cs="Calibri" w:eastAsia="Calibri" w:hAnsi="Calibri"/>
          <w:b/>
          <w:bCs/>
          <w:color w:val="0B3C49"/>
          <w:sz w:val="22"/>
          <w:szCs w:val="22"/>
        </w:rPr>
        <w:t xml:space="preserve">Why it spreads: </w:t>
      </w:r>
      <w:r>
        <w:rPr>
          <w:rFonts w:ascii="Calibri" w:cs="Calibri" w:eastAsia="Calibri" w:hAnsi="Calibri"/>
          <w:color w:val="14232B"/>
          <w:sz w:val="22"/>
          <w:szCs w:val="22"/>
        </w:rPr>
        <w:t xml:space="preserve">it is a shared gateway. One rollout covers every team that points at it.</w:t>
      </w:r>
    </w:p>
    <w:p>
      <w:pPr>
        <w:pStyle w:val="Heading1"/>
        <w:keepNext/>
      </w:pPr>
      <w:r>
        <w:rPr>
          <w:color w:val="1E9A5A"/>
        </w:rPr>
        <w:t xml:space="preserve">3  </w:t>
      </w:r>
      <w:r>
        <w:t xml:space="preserve">Value</w:t>
      </w:r>
    </w:p>
    <w:p>
      <w:pPr>
        <w:keepNext/>
        <w:spacing w:after="120"/>
      </w:pPr>
      <w:r>
        <w:rPr>
          <w:rFonts w:ascii="Calibri" w:cs="Calibri" w:eastAsia="Calibri" w:hAnsi="Calibri"/>
          <w:i/>
          <w:iCs/>
          <w:color w:val="5F7380"/>
          <w:sz w:val="19"/>
          <w:szCs w:val="19"/>
        </w:rPr>
        <w:t xml:space="preserve">Why is this problem worth solving, and what is new or differentiated?</w:t>
      </w:r>
    </w:p>
    <w:p>
      <w:pPr>
        <w:spacing w:after="60"/>
      </w:pPr>
      <w:r>
        <w:rPr>
          <w:rFonts w:ascii="Calibri" w:cs="Calibri" w:eastAsia="Calibri" w:hAnsi="Calibri"/>
          <w:b/>
          <w:bCs/>
          <w:color w:val="0B3C49"/>
          <w:sz w:val="24"/>
          <w:szCs w:val="24"/>
        </w:rPr>
        <w:t xml:space="preserve">Why it matters</w:t>
      </w:r>
    </w:p>
    <w:p>
      <w:pPr>
        <w:pStyle w:val="ListParagraph"/>
        <w:numPr>
          <w:ilvl w:val="0"/>
          <w:numId w:val="2"/>
        </w:numPr>
        <w:spacing w:after="70" w:line="276"/>
      </w:pPr>
      <w:r>
        <w:rPr>
          <w:rFonts w:ascii="Calibri" w:cs="Calibri" w:eastAsia="Calibri" w:hAnsi="Calibri"/>
          <w:b/>
          <w:bCs/>
          <w:color w:val="0B3C49"/>
          <w:sz w:val="22"/>
          <w:szCs w:val="22"/>
        </w:rPr>
        <w:t xml:space="preserve">Cost savings: </w:t>
      </w:r>
      <w:r>
        <w:rPr>
          <w:rFonts w:ascii="Calibri" w:cs="Calibri" w:eastAsia="Calibri" w:hAnsi="Calibri"/>
          <w:color w:val="14232B"/>
          <w:sz w:val="22"/>
          <w:szCs w:val="22"/>
        </w:rPr>
        <w:t xml:space="preserve">49.4% fewer tokens and 45% lower cost on the benchmark. At 50 developers and 40 requests a day, that is about $478 a month ($5,736 a year), growing in a straight line to about $114,724 a year at 1,000 developers.</w:t>
      </w:r>
    </w:p>
    <w:p>
      <w:pPr>
        <w:pStyle w:val="ListParagraph"/>
        <w:numPr>
          <w:ilvl w:val="0"/>
          <w:numId w:val="2"/>
        </w:numPr>
        <w:spacing w:after="70" w:line="276"/>
      </w:pPr>
      <w:r>
        <w:rPr>
          <w:rFonts w:ascii="Calibri" w:cs="Calibri" w:eastAsia="Calibri" w:hAnsi="Calibri"/>
          <w:b/>
          <w:bCs/>
          <w:color w:val="0B3C49"/>
          <w:sz w:val="22"/>
          <w:szCs w:val="22"/>
        </w:rPr>
        <w:t xml:space="preserve">Efficiency: </w:t>
      </w:r>
      <w:r>
        <w:rPr>
          <w:rFonts w:ascii="Calibri" w:cs="Calibri" w:eastAsia="Calibri" w:hAnsi="Calibri"/>
          <w:color w:val="14232B"/>
          <w:sz w:val="22"/>
          <w:szCs w:val="22"/>
        </w:rPr>
        <w:t xml:space="preserve">smaller prompts leave more room in the model's context window, so agents can read more evidence per task.</w:t>
      </w:r>
    </w:p>
    <w:p>
      <w:pPr>
        <w:pStyle w:val="ListParagraph"/>
        <w:numPr>
          <w:ilvl w:val="0"/>
          <w:numId w:val="2"/>
        </w:numPr>
        <w:spacing w:after="70" w:line="276"/>
      </w:pPr>
      <w:r>
        <w:rPr>
          <w:rFonts w:ascii="Calibri" w:cs="Calibri" w:eastAsia="Calibri" w:hAnsi="Calibri"/>
          <w:b/>
          <w:bCs/>
          <w:color w:val="0B3C49"/>
          <w:sz w:val="22"/>
          <w:szCs w:val="22"/>
        </w:rPr>
        <w:t xml:space="preserve">Visibility: </w:t>
      </w:r>
      <w:r>
        <w:rPr>
          <w:rFonts w:ascii="Calibri" w:cs="Calibri" w:eastAsia="Calibri" w:hAnsi="Calibri"/>
          <w:color w:val="14232B"/>
          <w:sz w:val="22"/>
          <w:szCs w:val="22"/>
        </w:rPr>
        <w:t xml:space="preserve">token spend is rarely visible across an org. The gateway meters every request, so spend can be tracked per task and per team.</w:t>
      </w:r>
    </w:p>
    <w:p>
      <w:pPr>
        <w:spacing w:after="60" w:before="120"/>
      </w:pPr>
      <w:r>
        <w:rPr>
          <w:rFonts w:ascii="Calibri" w:cs="Calibri" w:eastAsia="Calibri" w:hAnsi="Calibri"/>
          <w:b/>
          <w:bCs/>
          <w:color w:val="0B3C49"/>
          <w:sz w:val="24"/>
          <w:szCs w:val="24"/>
        </w:rPr>
        <w:t xml:space="preserve">What is differentiated</w:t>
      </w:r>
    </w:p>
    <w:p>
      <w:pPr>
        <w:pStyle w:val="ListParagraph"/>
        <w:numPr>
          <w:ilvl w:val="0"/>
          <w:numId w:val="2"/>
        </w:numPr>
        <w:spacing w:after="70" w:line="276"/>
      </w:pPr>
      <w:r>
        <w:rPr>
          <w:rFonts w:ascii="Calibri" w:cs="Calibri" w:eastAsia="Calibri" w:hAnsi="Calibri"/>
          <w:b/>
          <w:bCs/>
          <w:color w:val="0B3C49"/>
          <w:sz w:val="22"/>
          <w:szCs w:val="22"/>
        </w:rPr>
        <w:t xml:space="preserve">Zero-rewrite adoption: </w:t>
      </w:r>
      <w:r>
        <w:rPr>
          <w:rFonts w:ascii="Calibri" w:cs="Calibri" w:eastAsia="Calibri" w:hAnsi="Calibri"/>
          <w:color w:val="14232B"/>
          <w:sz w:val="22"/>
          <w:szCs w:val="22"/>
        </w:rPr>
        <w:t xml:space="preserve">compression is a gateway setting, not an agent change. A single config switch (compression_enabled) flips it on or off.</w:t>
      </w:r>
    </w:p>
    <w:p>
      <w:pPr>
        <w:pStyle w:val="ListParagraph"/>
        <w:numPr>
          <w:ilvl w:val="0"/>
          <w:numId w:val="2"/>
        </w:numPr>
        <w:spacing w:after="70" w:line="276"/>
      </w:pPr>
      <w:r>
        <w:rPr>
          <w:rFonts w:ascii="Calibri" w:cs="Calibri" w:eastAsia="Calibri" w:hAnsi="Calibri"/>
          <w:b/>
          <w:bCs/>
          <w:color w:val="0B3C49"/>
          <w:sz w:val="22"/>
          <w:szCs w:val="22"/>
        </w:rPr>
        <w:t xml:space="preserve">Proof, not a promise: </w:t>
      </w:r>
      <w:r>
        <w:rPr>
          <w:rFonts w:ascii="Calibri" w:cs="Calibri" w:eastAsia="Calibri" w:hAnsi="Calibri"/>
          <w:color w:val="14232B"/>
          <w:sz w:val="22"/>
          <w:szCs w:val="22"/>
        </w:rPr>
        <w:t xml:space="preserve">a built-in A/B harness runs identical tasks with compression off and on and records real tokens and cost from LiteLLM's usage and pricing data.</w:t>
      </w:r>
    </w:p>
    <w:p>
      <w:pPr>
        <w:pStyle w:val="ListParagraph"/>
        <w:numPr>
          <w:ilvl w:val="0"/>
          <w:numId w:val="2"/>
        </w:numPr>
        <w:spacing w:after="70" w:line="276"/>
      </w:pPr>
      <w:r>
        <w:rPr>
          <w:rFonts w:ascii="Calibri" w:cs="Calibri" w:eastAsia="Calibri" w:hAnsi="Calibri"/>
          <w:b/>
          <w:bCs/>
          <w:color w:val="0B3C49"/>
          <w:sz w:val="22"/>
          <w:szCs w:val="22"/>
        </w:rPr>
        <w:t xml:space="preserve">From tokens to a business number: </w:t>
      </w:r>
      <w:r>
        <w:rPr>
          <w:rFonts w:ascii="Calibri" w:cs="Calibri" w:eastAsia="Calibri" w:hAnsi="Calibri"/>
          <w:color w:val="14232B"/>
          <w:sz w:val="22"/>
          <w:szCs w:val="22"/>
        </w:rPr>
        <w:t xml:space="preserve">the dashboard extrapolates to monthly org savings from your own headcount and usage with live sliders.</w:t>
      </w:r>
    </w:p>
    <w:p>
      <w:pPr>
        <w:spacing w:after="60"/>
      </w:pPr>
    </w:p>
    <w:p>
      <w:pPr>
        <w:keepNext/>
        <w:spacing w:after="100"/>
      </w:pPr>
      <w:r>
        <w:rPr>
          <w:rFonts w:ascii="Calibri" w:cs="Calibri" w:eastAsia="Calibri" w:hAnsi="Calibri"/>
          <w:b/>
          <w:bCs/>
          <w:color w:val="0B3C49"/>
          <w:sz w:val="24"/>
          <w:szCs w:val="24"/>
        </w:rPr>
        <w:t xml:space="preserve">Results at a glance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136"/>
      </w:tblGrid>
      <w:tr>
        <w:trPr>
          <w:tblHeader/>
        </w:trPr>
        <w:tc>
          <w:tcPr>
            <w:tcW w:type="dxa" w:w="3400"/>
            <w:tcBorders>
              <w:top w:val="single" w:color="C9D6DA" w:sz="4"/>
              <w:left w:val="single" w:color="C9D6DA" w:sz="4"/>
              <w:bottom w:val="single" w:color="C9D6DA" w:sz="4"/>
              <w:right w:val="single" w:color="C9D6DA" w:sz="4"/>
            </w:tcBorders>
            <w:shd w:fill="0B3C49" w:color="auto" w:val="clear"/>
            <w:tcMar>
              <w:top w:type="dxa" w:w="90"/>
              <w:left w:type="dxa" w:w="140"/>
              <w:bottom w:type="dxa" w:w="90"/>
              <w:right w:type="dxa" w:w="140"/>
            </w:tcMar>
            <w:vAlign w:val="center"/>
          </w:tcPr>
          <w:p>
            <w:pPr>
              <w:spacing w:after="0"/>
              <w:jc w:val="left"/>
            </w:pPr>
            <w:r>
              <w:rPr>
                <w:rFonts w:ascii="Calibri" w:cs="Calibri" w:eastAsia="Calibri" w:hAnsi="Calibri"/>
                <w:b/>
                <w:bCs/>
                <w:color w:val="FFFFFF"/>
                <w:sz w:val="20"/>
                <w:szCs w:val="20"/>
              </w:rPr>
              <w:t xml:space="preserve">Benchmark task</w:t>
            </w:r>
          </w:p>
        </w:tc>
        <w:tc>
          <w:tcPr>
            <w:tcW w:type="dxa" w:w="2200"/>
            <w:tcBorders>
              <w:top w:val="single" w:color="C9D6DA" w:sz="4"/>
              <w:left w:val="single" w:color="C9D6DA" w:sz="4"/>
              <w:bottom w:val="single" w:color="C9D6DA" w:sz="4"/>
              <w:right w:val="single" w:color="C9D6DA" w:sz="4"/>
            </w:tcBorders>
            <w:shd w:fill="0B3C49" w:color="auto" w:val="clear"/>
            <w:tcMar>
              <w:top w:type="dxa" w:w="90"/>
              <w:left w:type="dxa" w:w="140"/>
              <w:bottom w:type="dxa" w:w="90"/>
              <w:right w:type="dxa" w:w="140"/>
            </w:tcMar>
            <w:vAlign w:val="center"/>
          </w:tcPr>
          <w:p>
            <w:pPr>
              <w:spacing w:after="0"/>
              <w:jc w:val="right"/>
            </w:pPr>
            <w:r>
              <w:rPr>
                <w:rFonts w:ascii="Calibri" w:cs="Calibri" w:eastAsia="Calibri" w:hAnsi="Calibri"/>
                <w:b/>
                <w:bCs/>
                <w:color w:val="FFFFFF"/>
                <w:sz w:val="20"/>
                <w:szCs w:val="20"/>
              </w:rPr>
              <w:t xml:space="preserve">Tokens without</w:t>
            </w:r>
          </w:p>
        </w:tc>
        <w:tc>
          <w:tcPr>
            <w:tcW w:type="dxa" w:w="2200"/>
            <w:tcBorders>
              <w:top w:val="single" w:color="C9D6DA" w:sz="4"/>
              <w:left w:val="single" w:color="C9D6DA" w:sz="4"/>
              <w:bottom w:val="single" w:color="C9D6DA" w:sz="4"/>
              <w:right w:val="single" w:color="C9D6DA" w:sz="4"/>
            </w:tcBorders>
            <w:shd w:fill="0B3C49" w:color="auto" w:val="clear"/>
            <w:tcMar>
              <w:top w:type="dxa" w:w="90"/>
              <w:left w:type="dxa" w:w="140"/>
              <w:bottom w:type="dxa" w:w="90"/>
              <w:right w:type="dxa" w:w="140"/>
            </w:tcMar>
            <w:vAlign w:val="center"/>
          </w:tcPr>
          <w:p>
            <w:pPr>
              <w:spacing w:after="0"/>
              <w:jc w:val="right"/>
            </w:pPr>
            <w:r>
              <w:rPr>
                <w:rFonts w:ascii="Calibri" w:cs="Calibri" w:eastAsia="Calibri" w:hAnsi="Calibri"/>
                <w:b/>
                <w:bCs/>
                <w:color w:val="FFFFFF"/>
                <w:sz w:val="20"/>
                <w:szCs w:val="20"/>
              </w:rPr>
              <w:t xml:space="preserve">Tokens with Token Gate</w:t>
            </w:r>
          </w:p>
        </w:tc>
        <w:tc>
          <w:tcPr>
            <w:tcW w:type="dxa" w:w="2136"/>
            <w:tcBorders>
              <w:top w:val="single" w:color="C9D6DA" w:sz="4"/>
              <w:left w:val="single" w:color="C9D6DA" w:sz="4"/>
              <w:bottom w:val="single" w:color="C9D6DA" w:sz="4"/>
              <w:right w:val="single" w:color="C9D6DA" w:sz="4"/>
            </w:tcBorders>
            <w:shd w:fill="0B3C49" w:color="auto" w:val="clear"/>
            <w:tcMar>
              <w:top w:type="dxa" w:w="90"/>
              <w:left w:type="dxa" w:w="140"/>
              <w:bottom w:type="dxa" w:w="90"/>
              <w:right w:type="dxa" w:w="140"/>
            </w:tcMar>
            <w:vAlign w:val="center"/>
          </w:tcPr>
          <w:p>
            <w:pPr>
              <w:spacing w:after="0"/>
              <w:jc w:val="right"/>
            </w:pPr>
            <w:r>
              <w:rPr>
                <w:rFonts w:ascii="Calibri" w:cs="Calibri" w:eastAsia="Calibri" w:hAnsi="Calibri"/>
                <w:b/>
                <w:bCs/>
                <w:color w:val="FFFFFF"/>
                <w:sz w:val="20"/>
                <w:szCs w:val="20"/>
              </w:rPr>
              <w:t xml:space="preserve">Fewer tokens</w:t>
            </w:r>
          </w:p>
        </w:tc>
      </w:tr>
      <w:tr>
        <w:trPr>
          <w:cantSplit/>
        </w:trPr>
        <w:tc>
          <w:tcPr>
            <w:tcW w:type="dxa" w:w="3400"/>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left"/>
            </w:pPr>
            <w:r>
              <w:rPr>
                <w:rFonts w:ascii="Calibri" w:cs="Calibri" w:eastAsia="Calibri" w:hAnsi="Calibri"/>
                <w:color w:val="14232B"/>
                <w:sz w:val="20"/>
                <w:szCs w:val="20"/>
              </w:rPr>
              <w:t xml:space="preserve">checkout failures</w:t>
            </w:r>
          </w:p>
        </w:tc>
        <w:tc>
          <w:tcPr>
            <w:tcW w:type="dxa" w:w="2200"/>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26,958</w:t>
            </w:r>
          </w:p>
        </w:tc>
        <w:tc>
          <w:tcPr>
            <w:tcW w:type="dxa" w:w="2200"/>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15,249</w:t>
            </w:r>
          </w:p>
        </w:tc>
        <w:tc>
          <w:tcPr>
            <w:tcW w:type="dxa" w:w="2136"/>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right"/>
            </w:pPr>
            <w:r>
              <w:rPr>
                <w:rFonts w:ascii="Calibri" w:cs="Calibri" w:eastAsia="Calibri" w:hAnsi="Calibri"/>
                <w:b/>
                <w:bCs/>
                <w:color w:val="1E9A5A"/>
                <w:sz w:val="20"/>
                <w:szCs w:val="20"/>
              </w:rPr>
              <w:t xml:space="preserve">43.4%</w:t>
            </w:r>
          </w:p>
        </w:tc>
      </w:tr>
      <w:tr>
        <w:trPr>
          <w:cantSplit/>
        </w:trPr>
        <w:tc>
          <w:tcPr>
            <w:tcW w:type="dxa" w:w="3400"/>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left"/>
            </w:pPr>
            <w:r>
              <w:rPr>
                <w:rFonts w:ascii="Calibri" w:cs="Calibri" w:eastAsia="Calibri" w:hAnsi="Calibri"/>
                <w:color w:val="14232B"/>
                <w:sz w:val="20"/>
                <w:szCs w:val="20"/>
              </w:rPr>
              <w:t xml:space="preserve">error summary</w:t>
            </w:r>
          </w:p>
        </w:tc>
        <w:tc>
          <w:tcPr>
            <w:tcW w:type="dxa" w:w="2200"/>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11,221</w:t>
            </w:r>
          </w:p>
        </w:tc>
        <w:tc>
          <w:tcPr>
            <w:tcW w:type="dxa" w:w="2200"/>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7,634</w:t>
            </w:r>
          </w:p>
        </w:tc>
        <w:tc>
          <w:tcPr>
            <w:tcW w:type="dxa" w:w="2136"/>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right"/>
            </w:pPr>
            <w:r>
              <w:rPr>
                <w:rFonts w:ascii="Calibri" w:cs="Calibri" w:eastAsia="Calibri" w:hAnsi="Calibri"/>
                <w:b/>
                <w:bCs/>
                <w:color w:val="1E9A5A"/>
                <w:sz w:val="20"/>
                <w:szCs w:val="20"/>
              </w:rPr>
              <w:t xml:space="preserve">32%</w:t>
            </w:r>
          </w:p>
        </w:tc>
      </w:tr>
      <w:tr>
        <w:trPr>
          <w:cantSplit/>
        </w:trPr>
        <w:tc>
          <w:tcPr>
            <w:tcW w:type="dxa" w:w="3400"/>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left"/>
            </w:pPr>
            <w:r>
              <w:rPr>
                <w:rFonts w:ascii="Calibri" w:cs="Calibri" w:eastAsia="Calibri" w:hAnsi="Calibri"/>
                <w:color w:val="14232B"/>
                <w:sz w:val="20"/>
                <w:szCs w:val="20"/>
              </w:rPr>
              <w:t xml:space="preserve">open p1 issues</w:t>
            </w:r>
          </w:p>
        </w:tc>
        <w:tc>
          <w:tcPr>
            <w:tcW w:type="dxa" w:w="2200"/>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8,825</w:t>
            </w:r>
          </w:p>
        </w:tc>
        <w:tc>
          <w:tcPr>
            <w:tcW w:type="dxa" w:w="2200"/>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5,678</w:t>
            </w:r>
          </w:p>
        </w:tc>
        <w:tc>
          <w:tcPr>
            <w:tcW w:type="dxa" w:w="2136"/>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right"/>
            </w:pPr>
            <w:r>
              <w:rPr>
                <w:rFonts w:ascii="Calibri" w:cs="Calibri" w:eastAsia="Calibri" w:hAnsi="Calibri"/>
                <w:b/>
                <w:bCs/>
                <w:color w:val="1E9A5A"/>
                <w:sz w:val="20"/>
                <w:szCs w:val="20"/>
              </w:rPr>
              <w:t xml:space="preserve">35.7%</w:t>
            </w:r>
          </w:p>
        </w:tc>
      </w:tr>
      <w:tr>
        <w:trPr>
          <w:cantSplit/>
        </w:trPr>
        <w:tc>
          <w:tcPr>
            <w:tcW w:type="dxa" w:w="3400"/>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left"/>
            </w:pPr>
            <w:r>
              <w:rPr>
                <w:rFonts w:ascii="Calibri" w:cs="Calibri" w:eastAsia="Calibri" w:hAnsi="Calibri"/>
                <w:color w:val="14232B"/>
                <w:sz w:val="20"/>
                <w:szCs w:val="20"/>
              </w:rPr>
              <w:t xml:space="preserve">slow queries</w:t>
            </w:r>
          </w:p>
        </w:tc>
        <w:tc>
          <w:tcPr>
            <w:tcW w:type="dxa" w:w="2200"/>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28,780</w:t>
            </w:r>
          </w:p>
        </w:tc>
        <w:tc>
          <w:tcPr>
            <w:tcW w:type="dxa" w:w="2200"/>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11,846</w:t>
            </w:r>
          </w:p>
        </w:tc>
        <w:tc>
          <w:tcPr>
            <w:tcW w:type="dxa" w:w="2136"/>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right"/>
            </w:pPr>
            <w:r>
              <w:rPr>
                <w:rFonts w:ascii="Calibri" w:cs="Calibri" w:eastAsia="Calibri" w:hAnsi="Calibri"/>
                <w:b/>
                <w:bCs/>
                <w:color w:val="1E9A5A"/>
                <w:sz w:val="20"/>
                <w:szCs w:val="20"/>
              </w:rPr>
              <w:t xml:space="preserve">58.8%</w:t>
            </w:r>
          </w:p>
        </w:tc>
      </w:tr>
      <w:tr>
        <w:trPr>
          <w:cantSplit/>
        </w:trPr>
        <w:tc>
          <w:tcPr>
            <w:tcW w:type="dxa" w:w="3400"/>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left"/>
            </w:pPr>
            <w:r>
              <w:rPr>
                <w:rFonts w:ascii="Calibri" w:cs="Calibri" w:eastAsia="Calibri" w:hAnsi="Calibri"/>
                <w:color w:val="14232B"/>
                <w:sz w:val="20"/>
                <w:szCs w:val="20"/>
              </w:rPr>
              <w:t xml:space="preserve">rollback guidance</w:t>
            </w:r>
          </w:p>
        </w:tc>
        <w:tc>
          <w:tcPr>
            <w:tcW w:type="dxa" w:w="2200"/>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27,125</w:t>
            </w:r>
          </w:p>
        </w:tc>
        <w:tc>
          <w:tcPr>
            <w:tcW w:type="dxa" w:w="2200"/>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10,076</w:t>
            </w:r>
          </w:p>
        </w:tc>
        <w:tc>
          <w:tcPr>
            <w:tcW w:type="dxa" w:w="2136"/>
            <w:tcBorders>
              <w:top w:val="single" w:color="C9D6DA" w:sz="4"/>
              <w:left w:val="single" w:color="C9D6DA" w:sz="4"/>
              <w:bottom w:val="single" w:color="C9D6DA" w:sz="4"/>
              <w:right w:val="single" w:color="C9D6DA" w:sz="4"/>
            </w:tcBorders>
            <w:shd w:fill="F6FAFA" w:color="auto" w:val="clear"/>
            <w:tcMar>
              <w:top w:type="dxa" w:w="60"/>
              <w:left w:type="dxa" w:w="140"/>
              <w:bottom w:type="dxa" w:w="60"/>
              <w:right w:type="dxa" w:w="140"/>
            </w:tcMar>
            <w:vAlign w:val="center"/>
          </w:tcPr>
          <w:p>
            <w:pPr>
              <w:spacing w:after="0"/>
              <w:jc w:val="right"/>
            </w:pPr>
            <w:r>
              <w:rPr>
                <w:rFonts w:ascii="Calibri" w:cs="Calibri" w:eastAsia="Calibri" w:hAnsi="Calibri"/>
                <w:b/>
                <w:bCs/>
                <w:color w:val="1E9A5A"/>
                <w:sz w:val="20"/>
                <w:szCs w:val="20"/>
              </w:rPr>
              <w:t xml:space="preserve">62.9%</w:t>
            </w:r>
          </w:p>
        </w:tc>
      </w:tr>
      <w:tr>
        <w:trPr>
          <w:cantSplit/>
        </w:trPr>
        <w:tc>
          <w:tcPr>
            <w:tcW w:type="dxa" w:w="3400"/>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left"/>
            </w:pPr>
            <w:r>
              <w:rPr>
                <w:rFonts w:ascii="Calibri" w:cs="Calibri" w:eastAsia="Calibri" w:hAnsi="Calibri"/>
                <w:color w:val="14232B"/>
                <w:sz w:val="20"/>
                <w:szCs w:val="20"/>
              </w:rPr>
              <w:t xml:space="preserve">on call brief</w:t>
            </w:r>
          </w:p>
        </w:tc>
        <w:tc>
          <w:tcPr>
            <w:tcW w:type="dxa" w:w="2200"/>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26,876</w:t>
            </w:r>
          </w:p>
        </w:tc>
        <w:tc>
          <w:tcPr>
            <w:tcW w:type="dxa" w:w="2200"/>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right"/>
            </w:pPr>
            <w:r>
              <w:rPr>
                <w:rFonts w:ascii="Calibri" w:cs="Calibri" w:eastAsia="Calibri" w:hAnsi="Calibri"/>
                <w:color w:val="14232B"/>
                <w:sz w:val="20"/>
                <w:szCs w:val="20"/>
              </w:rPr>
              <w:t xml:space="preserve">15,146</w:t>
            </w:r>
          </w:p>
        </w:tc>
        <w:tc>
          <w:tcPr>
            <w:tcW w:type="dxa" w:w="2136"/>
            <w:tcBorders>
              <w:top w:val="single" w:color="C9D6DA" w:sz="4"/>
              <w:left w:val="single" w:color="C9D6DA" w:sz="4"/>
              <w:bottom w:val="single" w:color="C9D6DA" w:sz="4"/>
              <w:right w:val="single" w:color="C9D6DA" w:sz="4"/>
            </w:tcBorders>
            <w:tcMar>
              <w:top w:type="dxa" w:w="60"/>
              <w:left w:type="dxa" w:w="140"/>
              <w:bottom w:type="dxa" w:w="60"/>
              <w:right w:type="dxa" w:w="140"/>
            </w:tcMar>
            <w:vAlign w:val="center"/>
          </w:tcPr>
          <w:p>
            <w:pPr>
              <w:spacing w:after="0"/>
              <w:jc w:val="right"/>
            </w:pPr>
            <w:r>
              <w:rPr>
                <w:rFonts w:ascii="Calibri" w:cs="Calibri" w:eastAsia="Calibri" w:hAnsi="Calibri"/>
                <w:b/>
                <w:bCs/>
                <w:color w:val="1E9A5A"/>
                <w:sz w:val="20"/>
                <w:szCs w:val="20"/>
              </w:rPr>
              <w:t xml:space="preserve">43.6%</w:t>
            </w:r>
          </w:p>
        </w:tc>
      </w:tr>
      <w:tr>
        <w:trPr>
          <w:cantSplit/>
        </w:trPr>
        <w:tc>
          <w:tcPr>
            <w:tcW w:type="dxa" w:w="3400"/>
            <w:tcBorders>
              <w:top w:val="single" w:color="C9D6DA" w:sz="4"/>
              <w:left w:val="single" w:color="C9D6DA" w:sz="4"/>
              <w:bottom w:val="single" w:color="C9D6DA" w:sz="4"/>
              <w:right w:val="single" w:color="C9D6DA" w:sz="4"/>
            </w:tcBorders>
            <w:shd w:fill="EAF2F3" w:color="auto" w:val="clear"/>
            <w:tcMar>
              <w:top w:type="dxa" w:w="60"/>
              <w:left w:type="dxa" w:w="140"/>
              <w:bottom w:type="dxa" w:w="60"/>
              <w:right w:type="dxa" w:w="140"/>
            </w:tcMar>
            <w:vAlign w:val="center"/>
          </w:tcPr>
          <w:p>
            <w:pPr>
              <w:spacing w:after="0"/>
              <w:jc w:val="left"/>
            </w:pPr>
            <w:r>
              <w:rPr>
                <w:rFonts w:ascii="Calibri" w:cs="Calibri" w:eastAsia="Calibri" w:hAnsi="Calibri"/>
                <w:b/>
                <w:bCs/>
                <w:color w:val="14232B"/>
                <w:sz w:val="20"/>
                <w:szCs w:val="20"/>
              </w:rPr>
              <w:t xml:space="preserve">Total</w:t>
            </w:r>
          </w:p>
        </w:tc>
        <w:tc>
          <w:tcPr>
            <w:tcW w:type="dxa" w:w="2200"/>
            <w:tcBorders>
              <w:top w:val="single" w:color="C9D6DA" w:sz="4"/>
              <w:left w:val="single" w:color="C9D6DA" w:sz="4"/>
              <w:bottom w:val="single" w:color="C9D6DA" w:sz="4"/>
              <w:right w:val="single" w:color="C9D6DA" w:sz="4"/>
            </w:tcBorders>
            <w:shd w:fill="EAF2F3" w:color="auto" w:val="clear"/>
            <w:tcMar>
              <w:top w:type="dxa" w:w="60"/>
              <w:left w:type="dxa" w:w="140"/>
              <w:bottom w:type="dxa" w:w="60"/>
              <w:right w:type="dxa" w:w="140"/>
            </w:tcMar>
            <w:vAlign w:val="center"/>
          </w:tcPr>
          <w:p>
            <w:pPr>
              <w:spacing w:after="0"/>
              <w:jc w:val="right"/>
            </w:pPr>
            <w:r>
              <w:rPr>
                <w:rFonts w:ascii="Calibri" w:cs="Calibri" w:eastAsia="Calibri" w:hAnsi="Calibri"/>
                <w:b/>
                <w:bCs/>
                <w:color w:val="14232B"/>
                <w:sz w:val="20"/>
                <w:szCs w:val="20"/>
              </w:rPr>
              <w:t xml:space="preserve">129,785</w:t>
            </w:r>
          </w:p>
        </w:tc>
        <w:tc>
          <w:tcPr>
            <w:tcW w:type="dxa" w:w="2200"/>
            <w:tcBorders>
              <w:top w:val="single" w:color="C9D6DA" w:sz="4"/>
              <w:left w:val="single" w:color="C9D6DA" w:sz="4"/>
              <w:bottom w:val="single" w:color="C9D6DA" w:sz="4"/>
              <w:right w:val="single" w:color="C9D6DA" w:sz="4"/>
            </w:tcBorders>
            <w:shd w:fill="EAF2F3" w:color="auto" w:val="clear"/>
            <w:tcMar>
              <w:top w:type="dxa" w:w="60"/>
              <w:left w:type="dxa" w:w="140"/>
              <w:bottom w:type="dxa" w:w="60"/>
              <w:right w:type="dxa" w:w="140"/>
            </w:tcMar>
            <w:vAlign w:val="center"/>
          </w:tcPr>
          <w:p>
            <w:pPr>
              <w:spacing w:after="0"/>
              <w:jc w:val="right"/>
            </w:pPr>
            <w:r>
              <w:rPr>
                <w:rFonts w:ascii="Calibri" w:cs="Calibri" w:eastAsia="Calibri" w:hAnsi="Calibri"/>
                <w:b/>
                <w:bCs/>
                <w:color w:val="14232B"/>
                <w:sz w:val="20"/>
                <w:szCs w:val="20"/>
              </w:rPr>
              <w:t xml:space="preserve">65,629</w:t>
            </w:r>
          </w:p>
        </w:tc>
        <w:tc>
          <w:tcPr>
            <w:tcW w:type="dxa" w:w="2136"/>
            <w:tcBorders>
              <w:top w:val="single" w:color="C9D6DA" w:sz="4"/>
              <w:left w:val="single" w:color="C9D6DA" w:sz="4"/>
              <w:bottom w:val="single" w:color="C9D6DA" w:sz="4"/>
              <w:right w:val="single" w:color="C9D6DA" w:sz="4"/>
            </w:tcBorders>
            <w:shd w:fill="EAF2F3" w:color="auto" w:val="clear"/>
            <w:tcMar>
              <w:top w:type="dxa" w:w="60"/>
              <w:left w:type="dxa" w:w="140"/>
              <w:bottom w:type="dxa" w:w="60"/>
              <w:right w:type="dxa" w:w="140"/>
            </w:tcMar>
            <w:vAlign w:val="center"/>
          </w:tcPr>
          <w:p>
            <w:pPr>
              <w:spacing w:after="0"/>
              <w:jc w:val="right"/>
            </w:pPr>
            <w:r>
              <w:rPr>
                <w:rFonts w:ascii="Calibri" w:cs="Calibri" w:eastAsia="Calibri" w:hAnsi="Calibri"/>
                <w:b/>
                <w:bCs/>
                <w:color w:val="1E9A5A"/>
                <w:sz w:val="20"/>
                <w:szCs w:val="20"/>
              </w:rPr>
              <w:t xml:space="preserve">49.4%</w:t>
            </w:r>
          </w:p>
        </w:tc>
      </w:tr>
    </w:tbl>
    <w:p>
      <w:pPr>
        <w:spacing w:after="160" w:before="80"/>
      </w:pPr>
      <w:r>
        <w:rPr>
          <w:rFonts w:ascii="Calibri" w:cs="Calibri" w:eastAsia="Calibri" w:hAnsi="Calibri"/>
          <w:i/>
          <w:iCs/>
          <w:color w:val="5F7380"/>
          <w:sz w:val="17"/>
          <w:szCs w:val="17"/>
        </w:rPr>
        <w:t xml:space="preserve">Totals: $0.144 without vs. $0.079 with compression for the same 6 tasks.</w:t>
      </w:r>
    </w:p>
    <w:p>
      <w:pPr>
        <w:pStyle w:val="Heading1"/>
        <w:keepNext/>
      </w:pPr>
      <w:r>
        <w:rPr>
          <w:color w:val="1E9A5A"/>
        </w:rPr>
        <w:t xml:space="preserve">4  </w:t>
      </w:r>
      <w:r>
        <w:t xml:space="preserve">Environment</w:t>
      </w:r>
    </w:p>
    <w:p>
      <w:pPr>
        <w:keepNext/>
        <w:spacing w:after="120"/>
      </w:pPr>
      <w:r>
        <w:rPr>
          <w:rFonts w:ascii="Calibri" w:cs="Calibri" w:eastAsia="Calibri" w:hAnsi="Calibri"/>
          <w:i/>
          <w:iCs/>
          <w:color w:val="5F7380"/>
          <w:sz w:val="19"/>
          <w:szCs w:val="19"/>
        </w:rPr>
        <w:t xml:space="preserve">What AI tools were used, what data, and what do judges need?</w:t>
      </w:r>
    </w:p>
    <w:p>
      <w:pPr>
        <w:spacing w:after="60"/>
      </w:pPr>
      <w:r>
        <w:rPr>
          <w:rFonts w:ascii="Calibri" w:cs="Calibri" w:eastAsia="Calibri" w:hAnsi="Calibri"/>
          <w:b/>
          <w:bCs/>
          <w:color w:val="0B3C49"/>
          <w:sz w:val="24"/>
          <w:szCs w:val="24"/>
        </w:rPr>
        <w:t xml:space="preserve">AI tools</w:t>
      </w:r>
    </w:p>
    <w:p>
      <w:pPr>
        <w:pStyle w:val="ListParagraph"/>
        <w:numPr>
          <w:ilvl w:val="0"/>
          <w:numId w:val="2"/>
        </w:numPr>
        <w:spacing w:after="70" w:line="276"/>
      </w:pPr>
      <w:r>
        <w:rPr>
          <w:rFonts w:ascii="Calibri" w:cs="Calibri" w:eastAsia="Calibri" w:hAnsi="Calibri"/>
          <w:b/>
          <w:bCs/>
          <w:color w:val="0B3C49"/>
          <w:sz w:val="22"/>
          <w:szCs w:val="22"/>
        </w:rPr>
        <w:t xml:space="preserve">Headroom: </w:t>
      </w:r>
      <w:r>
        <w:rPr>
          <w:rFonts w:ascii="Calibri" w:cs="Calibri" w:eastAsia="Calibri" w:hAnsi="Calibri"/>
          <w:color w:val="14232B"/>
          <w:sz w:val="22"/>
          <w:szCs w:val="22"/>
        </w:rPr>
        <w:t xml:space="preserve">context compression for LLM traffic (the engine inside the gateway).</w:t>
      </w:r>
    </w:p>
    <w:p>
      <w:pPr>
        <w:pStyle w:val="ListParagraph"/>
        <w:numPr>
          <w:ilvl w:val="0"/>
          <w:numId w:val="2"/>
        </w:numPr>
        <w:spacing w:after="70" w:line="276"/>
      </w:pPr>
      <w:r>
        <w:rPr>
          <w:rFonts w:ascii="Calibri" w:cs="Calibri" w:eastAsia="Calibri" w:hAnsi="Calibri"/>
          <w:b/>
          <w:bCs/>
          <w:color w:val="0B3C49"/>
          <w:sz w:val="22"/>
          <w:szCs w:val="22"/>
        </w:rPr>
        <w:t xml:space="preserve">LiteLLM: </w:t>
      </w:r>
      <w:r>
        <w:rPr>
          <w:rFonts w:ascii="Calibri" w:cs="Calibri" w:eastAsia="Calibri" w:hAnsi="Calibri"/>
          <w:color w:val="14232B"/>
          <w:sz w:val="22"/>
          <w:szCs w:val="22"/>
        </w:rPr>
        <w:t xml:space="preserve">model gateway, request routing, token usage and dollar cost metering.</w:t>
      </w:r>
    </w:p>
    <w:p>
      <w:pPr>
        <w:pStyle w:val="ListParagraph"/>
        <w:numPr>
          <w:ilvl w:val="0"/>
          <w:numId w:val="2"/>
        </w:numPr>
        <w:spacing w:after="70" w:line="276"/>
      </w:pPr>
      <w:r>
        <w:rPr>
          <w:rFonts w:ascii="Calibri" w:cs="Calibri" w:eastAsia="Calibri" w:hAnsi="Calibri"/>
          <w:b/>
          <w:bCs/>
          <w:color w:val="0B3C49"/>
          <w:sz w:val="22"/>
          <w:szCs w:val="22"/>
        </w:rPr>
        <w:t xml:space="preserve">Google ADK: </w:t>
      </w:r>
      <w:r>
        <w:rPr>
          <w:rFonts w:ascii="Calibri" w:cs="Calibri" w:eastAsia="Calibri" w:hAnsi="Calibri"/>
          <w:color w:val="14232B"/>
          <w:sz w:val="22"/>
          <w:szCs w:val="22"/>
        </w:rPr>
        <w:t xml:space="preserve">framework for the demo DevOps Triage Agent and its tools.</w:t>
      </w:r>
    </w:p>
    <w:p>
      <w:pPr>
        <w:pStyle w:val="ListParagraph"/>
        <w:numPr>
          <w:ilvl w:val="0"/>
          <w:numId w:val="2"/>
        </w:numPr>
        <w:spacing w:after="70" w:line="276"/>
      </w:pPr>
      <w:r>
        <w:rPr>
          <w:rFonts w:ascii="Calibri" w:cs="Calibri" w:eastAsia="Calibri" w:hAnsi="Calibri"/>
          <w:b/>
          <w:bCs/>
          <w:color w:val="0B3C49"/>
          <w:sz w:val="22"/>
          <w:szCs w:val="22"/>
        </w:rPr>
        <w:t xml:space="preserve">Claude Haiku 4.5: </w:t>
      </w:r>
      <w:r>
        <w:rPr>
          <w:rFonts w:ascii="Calibri" w:cs="Calibri" w:eastAsia="Calibri" w:hAnsi="Calibri"/>
          <w:color w:val="14232B"/>
          <w:sz w:val="22"/>
          <w:szCs w:val="22"/>
        </w:rPr>
        <w:t xml:space="preserve">the model used for the benchmark. Any model name LiteLLM understands can be set in config.yaml.</w:t>
      </w:r>
    </w:p>
    <w:p>
      <w:pPr>
        <w:pStyle w:val="ListParagraph"/>
        <w:numPr>
          <w:ilvl w:val="0"/>
          <w:numId w:val="2"/>
        </w:numPr>
        <w:spacing w:after="70" w:line="276"/>
      </w:pPr>
      <w:r>
        <w:rPr>
          <w:rFonts w:ascii="Calibri" w:cs="Calibri" w:eastAsia="Calibri" w:hAnsi="Calibri"/>
          <w:b/>
          <w:bCs/>
          <w:color w:val="0B3C49"/>
          <w:sz w:val="22"/>
          <w:szCs w:val="22"/>
        </w:rPr>
        <w:t xml:space="preserve">Streamlit: </w:t>
      </w:r>
      <w:r>
        <w:rPr>
          <w:rFonts w:ascii="Calibri" w:cs="Calibri" w:eastAsia="Calibri" w:hAnsi="Calibri"/>
          <w:color w:val="14232B"/>
          <w:sz w:val="22"/>
          <w:szCs w:val="22"/>
        </w:rPr>
        <w:t xml:space="preserve">the savings dashboard. The project was built with Claude Code.</w:t>
      </w:r>
    </w:p>
    <w:p>
      <w:pPr>
        <w:spacing w:after="60" w:before="120"/>
      </w:pPr>
      <w:r>
        <w:rPr>
          <w:rFonts w:ascii="Calibri" w:cs="Calibri" w:eastAsia="Calibri" w:hAnsi="Calibri"/>
          <w:b/>
          <w:bCs/>
          <w:color w:val="0B3C49"/>
          <w:sz w:val="24"/>
          <w:szCs w:val="24"/>
        </w:rPr>
        <w:t xml:space="preserve">Data</w:t>
      </w:r>
    </w:p>
    <w:p>
      <w:pPr>
        <w:spacing w:after="100" w:line="276"/>
      </w:pPr>
      <w:r>
        <w:rPr>
          <w:rFonts w:ascii="Calibri" w:cs="Calibri" w:eastAsia="Calibri" w:hAnsi="Calibri"/>
          <w:color w:val="14232B"/>
          <w:sz w:val="22"/>
          <w:szCs w:val="22"/>
        </w:rPr>
        <w:t xml:space="preserve">No model was trained or fine-tuned. The demo agent uses mock JSON payloads that the repo generates itself (100 log entries, 50 GitHub-style issues, 60 runbook search results, about 88 KB). No customer or proprietary data is used, and no external services are needed besides the model API.</w:t>
      </w:r>
    </w:p>
    <w:p>
      <w:pPr>
        <w:spacing w:after="60" w:before="120"/>
      </w:pPr>
      <w:r>
        <w:rPr>
          <w:rFonts w:ascii="Calibri" w:cs="Calibri" w:eastAsia="Calibri" w:hAnsi="Calibri"/>
          <w:b/>
          <w:bCs/>
          <w:color w:val="0B3C49"/>
          <w:sz w:val="24"/>
          <w:szCs w:val="24"/>
        </w:rPr>
        <w:t xml:space="preserve">For judges who want to run it</w:t>
      </w:r>
    </w:p>
    <w:p>
      <w:pPr>
        <w:pStyle w:val="ListParagraph"/>
        <w:numPr>
          <w:ilvl w:val="0"/>
          <w:numId w:val="2"/>
        </w:numPr>
        <w:spacing w:after="70" w:line="276"/>
      </w:pPr>
      <w:r>
        <w:rPr>
          <w:rFonts w:ascii="Calibri" w:cs="Calibri" w:eastAsia="Calibri" w:hAnsi="Calibri"/>
          <w:color w:val="14232B"/>
          <w:sz w:val="22"/>
          <w:szCs w:val="22"/>
        </w:rPr>
        <w:t xml:space="preserve">Python 3.13 and a model API key, supplied as an environment variable whose name is set in config.yaml. The README covers setup.</w:t>
      </w:r>
    </w:p>
    <w:p>
      <w:pPr>
        <w:pStyle w:val="ListParagraph"/>
        <w:numPr>
          <w:ilvl w:val="0"/>
          <w:numId w:val="2"/>
        </w:numPr>
        <w:spacing w:after="70" w:line="276"/>
      </w:pPr>
      <w:r>
        <w:rPr>
          <w:rFonts w:ascii="Calibri" w:cs="Calibri" w:eastAsia="Calibri" w:hAnsi="Calibri"/>
          <w:color w:val="14232B"/>
          <w:sz w:val="22"/>
          <w:szCs w:val="22"/>
        </w:rPr>
        <w:t xml:space="preserve">Run </w:t>
      </w:r>
      <w:r>
        <w:rPr>
          <w:rFonts w:ascii="Courier New" w:cs="Courier New" w:eastAsia="Courier New" w:hAnsi="Courier New"/>
          <w:color w:val="14232B"/>
          <w:sz w:val="20"/>
          <w:szCs w:val="20"/>
        </w:rPr>
        <w:t xml:space="preserve">./demo.sh benchmark</w:t>
      </w:r>
      <w:r>
        <w:rPr>
          <w:rFonts w:ascii="Calibri" w:cs="Calibri" w:eastAsia="Calibri" w:hAnsi="Calibri"/>
          <w:color w:val="14232B"/>
          <w:sz w:val="22"/>
          <w:szCs w:val="22"/>
        </w:rPr>
        <w:t xml:space="preserve"> (about 12 agent runs), then </w:t>
      </w:r>
      <w:r>
        <w:rPr>
          <w:rFonts w:ascii="Courier New" w:cs="Courier New" w:eastAsia="Courier New" w:hAnsi="Courier New"/>
          <w:color w:val="14232B"/>
          <w:sz w:val="20"/>
          <w:szCs w:val="20"/>
        </w:rPr>
        <w:t xml:space="preserve">./demo.sh dashboard</w:t>
      </w:r>
      <w:r>
        <w:rPr>
          <w:rFonts w:ascii="Calibri" w:cs="Calibri" w:eastAsia="Calibri" w:hAnsi="Calibri"/>
          <w:color w:val="14232B"/>
          <w:sz w:val="22"/>
          <w:szCs w:val="22"/>
        </w:rPr>
        <w:t xml:space="preserve"> to explore the results.</w:t>
      </w:r>
    </w:p>
    <w:p>
      <w:pPr>
        <w:pStyle w:val="ListParagraph"/>
        <w:numPr>
          <w:ilvl w:val="0"/>
          <w:numId w:val="2"/>
        </w:numPr>
        <w:spacing w:after="70" w:line="276"/>
      </w:pPr>
      <w:r>
        <w:rPr>
          <w:rFonts w:ascii="Calibri" w:cs="Calibri" w:eastAsia="Calibri" w:hAnsi="Calibri"/>
          <w:color w:val="14232B"/>
          <w:sz w:val="22"/>
          <w:szCs w:val="22"/>
        </w:rPr>
        <w:t xml:space="preserve">The repo also has the architecture diagram (docs/) and a presentation deck (docs/tokengate-savings.pptx).</w:t>
      </w:r>
    </w:p>
    <w:p>
      <w:pPr>
        <w:pStyle w:val="Heading1"/>
        <w:keepNext/>
      </w:pPr>
      <w:r>
        <w:rPr>
          <w:color w:val="1E9A5A"/>
        </w:rPr>
        <w:t xml:space="preserve">5  </w:t>
      </w:r>
      <w:r>
        <w:t xml:space="preserve">Innovation</w:t>
      </w:r>
    </w:p>
    <w:p>
      <w:pPr>
        <w:keepNext/>
        <w:spacing w:after="120"/>
      </w:pPr>
      <w:r>
        <w:rPr>
          <w:rFonts w:ascii="Calibri" w:cs="Calibri" w:eastAsia="Calibri" w:hAnsi="Calibri"/>
          <w:i/>
          <w:iCs/>
          <w:color w:val="5F7380"/>
          <w:sz w:val="19"/>
          <w:szCs w:val="19"/>
        </w:rPr>
        <w:t xml:space="preserve">Why is this unique, and what did the team learn?</w:t>
      </w:r>
    </w:p>
    <w:p>
      <w:pPr>
        <w:spacing w:after="60"/>
      </w:pPr>
      <w:r>
        <w:rPr>
          <w:rFonts w:ascii="Calibri" w:cs="Calibri" w:eastAsia="Calibri" w:hAnsi="Calibri"/>
          <w:b/>
          <w:bCs/>
          <w:color w:val="0B3C49"/>
          <w:sz w:val="24"/>
          <w:szCs w:val="24"/>
        </w:rPr>
        <w:t xml:space="preserve">Why it is innovative</w:t>
      </w:r>
    </w:p>
    <w:p>
      <w:pPr>
        <w:pStyle w:val="ListParagraph"/>
        <w:numPr>
          <w:ilvl w:val="0"/>
          <w:numId w:val="2"/>
        </w:numPr>
        <w:spacing w:after="70" w:line="276"/>
      </w:pPr>
      <w:r>
        <w:rPr>
          <w:rFonts w:ascii="Calibri" w:cs="Calibri" w:eastAsia="Calibri" w:hAnsi="Calibri"/>
          <w:color w:val="14232B"/>
          <w:sz w:val="22"/>
          <w:szCs w:val="22"/>
        </w:rPr>
        <w:t xml:space="preserve">Compression is treated as shared infrastructure, like a CDN for tokens, instead of a library each team wires into its own agent.</w:t>
      </w:r>
    </w:p>
    <w:p>
      <w:pPr>
        <w:pStyle w:val="ListParagraph"/>
        <w:numPr>
          <w:ilvl w:val="0"/>
          <w:numId w:val="2"/>
        </w:numPr>
        <w:spacing w:after="70" w:line="276"/>
      </w:pPr>
      <w:r>
        <w:rPr>
          <w:rFonts w:ascii="Calibri" w:cs="Calibri" w:eastAsia="Calibri" w:hAnsi="Calibri"/>
          <w:color w:val="14232B"/>
          <w:sz w:val="22"/>
          <w:szCs w:val="22"/>
        </w:rPr>
        <w:t xml:space="preserve">It closes the loop from technique to money: the same harness that runs the A/B test produces the dollars-saved and org-extrapolation numbers a budget owner needs.</w:t>
      </w:r>
    </w:p>
    <w:p>
      <w:pPr>
        <w:pStyle w:val="ListParagraph"/>
        <w:numPr>
          <w:ilvl w:val="0"/>
          <w:numId w:val="2"/>
        </w:numPr>
        <w:spacing w:after="70" w:line="276"/>
      </w:pPr>
      <w:r>
        <w:rPr>
          <w:rFonts w:ascii="Calibri" w:cs="Calibri" w:eastAsia="Calibri" w:hAnsi="Calibri"/>
          <w:color w:val="14232B"/>
          <w:sz w:val="22"/>
          <w:szCs w:val="22"/>
        </w:rPr>
        <w:t xml:space="preserve">Two integration modes (in-process callback and local proxy) are selected from config alone.</w:t>
      </w:r>
    </w:p>
    <w:p>
      <w:pPr>
        <w:spacing w:after="60" w:before="120"/>
      </w:pPr>
      <w:r>
        <w:rPr>
          <w:rFonts w:ascii="Calibri" w:cs="Calibri" w:eastAsia="Calibri" w:hAnsi="Calibri"/>
          <w:b/>
          <w:bCs/>
          <w:color w:val="0B3C49"/>
          <w:sz w:val="24"/>
          <w:szCs w:val="24"/>
        </w:rPr>
        <w:t xml:space="preserve">What we learned</w:t>
      </w:r>
    </w:p>
    <w:p>
      <w:pPr>
        <w:pStyle w:val="ListParagraph"/>
        <w:numPr>
          <w:ilvl w:val="0"/>
          <w:numId w:val="2"/>
        </w:numPr>
        <w:spacing w:after="70" w:line="276"/>
      </w:pPr>
      <w:r>
        <w:rPr>
          <w:rFonts w:ascii="Calibri" w:cs="Calibri" w:eastAsia="Calibri" w:hAnsi="Calibri"/>
          <w:b/>
          <w:bCs/>
          <w:color w:val="0B3C49"/>
          <w:sz w:val="22"/>
          <w:szCs w:val="22"/>
        </w:rPr>
        <w:t xml:space="preserve">Agent cost is mostly input. </w:t>
      </w:r>
      <w:r>
        <w:rPr>
          <w:rFonts w:ascii="Calibri" w:cs="Calibri" w:eastAsia="Calibri" w:hAnsi="Calibri"/>
          <w:color w:val="14232B"/>
          <w:sz w:val="22"/>
          <w:szCs w:val="22"/>
        </w:rPr>
        <w:t xml:space="preserve">About 97% of the tokens in our benchmark were input, because tool results are re-sent on every agent step.</w:t>
      </w:r>
    </w:p>
    <w:p>
      <w:pPr>
        <w:pStyle w:val="ListParagraph"/>
        <w:numPr>
          <w:ilvl w:val="0"/>
          <w:numId w:val="2"/>
        </w:numPr>
        <w:spacing w:after="70" w:line="276"/>
      </w:pPr>
      <w:r>
        <w:rPr>
          <w:rFonts w:ascii="Calibri" w:cs="Calibri" w:eastAsia="Calibri" w:hAnsi="Calibri"/>
          <w:b/>
          <w:bCs/>
          <w:color w:val="0B3C49"/>
          <w:sz w:val="22"/>
          <w:szCs w:val="22"/>
        </w:rPr>
        <w:t xml:space="preserve">Gateway hooks have limits. </w:t>
      </w:r>
      <w:r>
        <w:rPr>
          <w:rFonts w:ascii="Calibri" w:cs="Calibri" w:eastAsia="Calibri" w:hAnsi="Calibri"/>
          <w:color w:val="14232B"/>
          <w:sz w:val="22"/>
          <w:szCs w:val="22"/>
        </w:rPr>
        <w:t xml:space="preserve">LiteLLM only runs callback hooks inside its own proxy server, so for plain SDK calls we wrote a small client wrapper to apply Headroom's compression.</w:t>
      </w:r>
    </w:p>
    <w:p>
      <w:pPr>
        <w:pStyle w:val="ListParagraph"/>
        <w:numPr>
          <w:ilvl w:val="0"/>
          <w:numId w:val="2"/>
        </w:numPr>
        <w:spacing w:after="70" w:line="276"/>
      </w:pPr>
      <w:r>
        <w:rPr>
          <w:rFonts w:ascii="Calibri" w:cs="Calibri" w:eastAsia="Calibri" w:hAnsi="Calibri"/>
          <w:b/>
          <w:bCs/>
          <w:color w:val="0B3C49"/>
          <w:sz w:val="22"/>
          <w:szCs w:val="22"/>
        </w:rPr>
        <w:t xml:space="preserve">Savings depend on the payload. </w:t>
      </w:r>
      <w:r>
        <w:rPr>
          <w:rFonts w:ascii="Calibri" w:cs="Calibri" w:eastAsia="Calibri" w:hAnsi="Calibri"/>
          <w:color w:val="14232B"/>
          <w:sz w:val="22"/>
          <w:szCs w:val="22"/>
        </w:rPr>
        <w:t xml:space="preserve">Compression ranged from 32% to 63% across tasks. Large, repetitive JSON compresses best.</w:t>
      </w:r>
    </w:p>
    <w:p>
      <w:pPr>
        <w:spacing w:after="6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6DA" w:sz="4"/>
              <w:left w:val="single" w:color="C9D6DA" w:sz="4"/>
              <w:bottom w:val="single" w:color="C9D6DA" w:sz="4"/>
              <w:right w:val="single" w:color="C9D6DA" w:sz="4"/>
            </w:tcBorders>
            <w:shd w:fill="FBEDE8" w:color="auto" w:val="clear"/>
            <w:tcMar>
              <w:top w:type="dxa" w:w="160"/>
              <w:left w:type="dxa" w:w="240"/>
              <w:bottom w:type="dxa" w:w="100"/>
              <w:right w:type="dxa" w:w="240"/>
            </w:tcMar>
            <w:vAlign w:val="center"/>
          </w:tcPr>
          <w:p>
            <w:pPr>
              <w:spacing w:after="80"/>
            </w:pPr>
            <w:r>
              <w:rPr>
                <w:rFonts w:ascii="Calibri" w:cs="Calibri" w:eastAsia="Calibri" w:hAnsi="Calibri"/>
                <w:b/>
                <w:bCs/>
                <w:color w:val="D9532B"/>
                <w:spacing w:val="30"/>
                <w:sz w:val="18"/>
                <w:szCs w:val="18"/>
              </w:rPr>
              <w:t xml:space="preserve">HONEST CAVEATS</w:t>
            </w:r>
          </w:p>
          <w:p>
            <w:pPr>
              <w:pStyle w:val="ListParagraph"/>
              <w:numPr>
                <w:ilvl w:val="0"/>
                <w:numId w:val="2"/>
              </w:numPr>
              <w:spacing w:after="70" w:line="276"/>
            </w:pPr>
            <w:r>
              <w:rPr>
                <w:rFonts w:ascii="Calibri" w:cs="Calibri" w:eastAsia="Calibri" w:hAnsi="Calibri"/>
                <w:b/>
                <w:bCs/>
                <w:color w:val="0B3C49"/>
                <w:sz w:val="22"/>
                <w:szCs w:val="22"/>
              </w:rPr>
              <w:t xml:space="preserve">Output tokens are not compressed. </w:t>
            </w:r>
            <w:r>
              <w:rPr>
                <w:rFonts w:ascii="Calibri" w:cs="Calibri" w:eastAsia="Calibri" w:hAnsi="Calibri"/>
                <w:color w:val="14232B"/>
                <w:sz w:val="22"/>
                <w:szCs w:val="22"/>
              </w:rPr>
              <w:t xml:space="preserve">They cost more than input, about 5x on Haiku 4.5 and around 8x on some Gemini models, so output-heavy workloads save a smaller share of their bill.</w:t>
            </w:r>
          </w:p>
          <w:p>
            <w:pPr>
              <w:pStyle w:val="ListParagraph"/>
              <w:numPr>
                <w:ilvl w:val="0"/>
                <w:numId w:val="2"/>
              </w:numPr>
              <w:spacing w:after="70" w:line="276"/>
            </w:pPr>
            <w:r>
              <w:rPr>
                <w:rFonts w:ascii="Calibri" w:cs="Calibri" w:eastAsia="Calibri" w:hAnsi="Calibri"/>
                <w:b/>
                <w:bCs/>
                <w:color w:val="0B3C49"/>
                <w:sz w:val="22"/>
                <w:szCs w:val="22"/>
              </w:rPr>
              <w:t xml:space="preserve">Small, synthetic benchmark. </w:t>
            </w:r>
            <w:r>
              <w:rPr>
                <w:rFonts w:ascii="Calibri" w:cs="Calibri" w:eastAsia="Calibri" w:hAnsi="Calibri"/>
                <w:color w:val="14232B"/>
                <w:sz w:val="22"/>
                <w:szCs w:val="22"/>
              </w:rPr>
              <w:t xml:space="preserve">6 tasks, one run each, on mock data. Savings on real traffic will differ, so a pilot should confirm them.</w:t>
            </w:r>
          </w:p>
          <w:p>
            <w:pPr>
              <w:pStyle w:val="ListParagraph"/>
              <w:numPr>
                <w:ilvl w:val="0"/>
                <w:numId w:val="2"/>
              </w:numPr>
              <w:spacing w:after="70" w:line="276"/>
            </w:pPr>
            <w:r>
              <w:rPr>
                <w:rFonts w:ascii="Calibri" w:cs="Calibri" w:eastAsia="Calibri" w:hAnsi="Calibri"/>
                <w:b/>
                <w:bCs/>
                <w:color w:val="0B3C49"/>
                <w:sz w:val="22"/>
                <w:szCs w:val="22"/>
              </w:rPr>
              <w:t xml:space="preserve">Answer quality needs checking. </w:t>
            </w:r>
            <w:r>
              <w:rPr>
                <w:rFonts w:ascii="Calibri" w:cs="Calibri" w:eastAsia="Calibri" w:hAnsi="Calibri"/>
                <w:color w:val="14232B"/>
                <w:sz w:val="22"/>
                <w:szCs w:val="22"/>
              </w:rPr>
              <w:t xml:space="preserve">Conclusions were consistent, but one task reported slightly different error counts with compression on. We recommend validating accuracy on real tasks.</w:t>
            </w:r>
          </w:p>
        </w:tc>
      </w:tr>
    </w:tbl>
    <w:p>
      <w:pPr>
        <w:spacing w:after="100"/>
      </w:pPr>
    </w:p>
    <w:p>
      <w:pPr>
        <w:pStyle w:val="Heading1"/>
        <w:keepNext/>
      </w:pPr>
      <w:r>
        <w:rPr>
          <w:color w:val="1E9A5A"/>
        </w:rPr>
        <w:t xml:space="preserve">6  </w:t>
      </w:r>
      <w:r>
        <w:t xml:space="preserve">GitHub Repository</w:t>
      </w:r>
    </w:p>
    <w:p>
      <w:pPr>
        <w:keepNext/>
        <w:spacing w:after="120"/>
      </w:pPr>
      <w:r>
        <w:rPr>
          <w:rFonts w:ascii="Calibri" w:cs="Calibri" w:eastAsia="Calibri" w:hAnsi="Calibri"/>
          <w:i/>
          <w:iCs/>
          <w:color w:val="5F7380"/>
          <w:sz w:val="19"/>
          <w:szCs w:val="19"/>
        </w:rPr>
        <w:t xml:space="preserve">Link to the repository</w:t>
      </w:r>
    </w:p>
    <w:p>
      <w:pPr>
        <w:spacing w:after="100" w:line="276"/>
      </w:pPr>
      <w:r>
        <w:rPr>
          <w:rFonts w:ascii="Calibri" w:cs="Calibri" w:eastAsia="Calibri" w:hAnsi="Calibri"/>
          <w:b/>
          <w:bCs/>
          <w:color w:val="1C7C8C"/>
          <w:sz w:val="22"/>
          <w:szCs w:val="22"/>
          <w:u w:val="single"/>
        </w:rPr>
        <w:t xml:space="preserve">https://github.com/shyleshus7/tokengate</w:t>
      </w:r>
    </w:p>
    <w:sectPr>
      <w:footerReference w:type="default" r:id="rId6"/>
      <w:pgSz w:w="12240" w:h="15840" w:orient="portrait"/>
      <w:pgMar w:top="1000" w:right="1152" w:bottom="1000"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36"/>
      </w:tabs>
    </w:pPr>
    <w:r>
      <w:rPr>
        <w:rFonts w:ascii="Calibri" w:cs="Calibri" w:eastAsia="Calibri" w:hAnsi="Calibri"/>
        <w:color w:val="5F7380"/>
        <w:sz w:val="17"/>
        <w:szCs w:val="17"/>
      </w:rPr>
      <w:t xml:space="preserve">Token Gate  |  2026 Best Technology Breakthrough (AI)</w:t>
    </w:r>
    <w:r>
      <w:rPr>
        <w:rFonts w:ascii="Calibri" w:cs="Calibri" w:eastAsia="Calibri" w:hAnsi="Calibri"/>
        <w:color w:val="5F7380"/>
        <w:sz w:val="17"/>
        <w:szCs w:val="17"/>
      </w:rPr>
      <w:t xml:space="preserve">	</w:t>
    </w:r>
    <w:r>
      <w:rPr>
        <w:rFonts w:ascii="Calibri" w:cs="Calibri" w:eastAsia="Calibri" w:hAnsi="Calibri"/>
        <w:color w:val="5F7380"/>
        <w:sz w:val="17"/>
        <w:szCs w:val="17"/>
      </w:rPr>
      <w:fldChar w:fldCharType="begin"/>
    </w:r>
    <w:r>
      <w:rPr>
        <w:rFonts w:ascii="Calibri" w:cs="Calibri" w:eastAsia="Calibri" w:hAnsi="Calibri"/>
        <w:color w:val="5F7380"/>
        <w:sz w:val="17"/>
        <w:szCs w:val="17"/>
      </w:rPr>
      <w:instrText xml:space="preserve">PAGE</w:instrText>
    </w:r>
    <w:r>
      <w:rPr>
        <w:rFonts w:ascii="Calibri" w:cs="Calibri" w:eastAsia="Calibri" w:hAnsi="Calibri"/>
        <w:color w:val="5F7380"/>
        <w:sz w:val="17"/>
        <w:szCs w:val="17"/>
      </w:rPr>
      <w:fldChar w:fldCharType="separate"/>
    </w:r>
    <w:r>
      <w:rPr>
        <w:rFonts w:ascii="Calibri" w:cs="Calibri" w:eastAsia="Calibri" w:hAnsi="Calibri"/>
        <w:color w:val="5F73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1E9A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32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320"/>
      <w:outlineLvl w:val="0"/>
    </w:pPr>
    <w:rPr>
      <w:rFonts w:ascii="Cambria" w:cs="Cambria" w:eastAsia="Cambria" w:hAnsi="Cambria"/>
      <w:b/>
      <w:bCs/>
      <w:color w:val="0B3C49"/>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c398a93f3b802c69fe2001b432926288278791e.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 Gate - Hackathon Judges Submission</dc:title>
  <dc:creator>Token Gate team</dc:creator>
  <dc:description>2026 Best Technology Breakthrough (AI) questionnaire</dc:description>
  <cp:lastModifiedBy>Un-named</cp:lastModifiedBy>
  <cp:revision>1</cp:revision>
  <dcterms:created xsi:type="dcterms:W3CDTF">2026-10-22T21:08:16.292Z</dcterms:created>
  <dcterms:modified xsi:type="dcterms:W3CDTF">2026-10-22T21:08:16.293Z</dcterms:modified>
</cp:coreProperties>
</file>

<file path=docProps/custom.xml><?xml version="1.0" encoding="utf-8"?>
<Properties xmlns="http://schemas.openxmlformats.org/officeDocument/2006/custom-properties" xmlns:vt="http://schemas.openxmlformats.org/officeDocument/2006/docPropsVTypes"/>
</file>