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t xml:space="preserve">AnalystLab Africa — Experience Lab Internship Programme</w:t>
      </w:r>
    </w:p>
    <w:p>
      <w:pPr>
        <w:pStyle w:val="Title"/>
        <w:spacing w:after="40"/>
        <w:jc w:val="center"/>
      </w:pPr>
      <w:r>
        <w:t xml:space="preserve">Week 4 Project Summary</w:t>
      </w:r>
    </w:p>
    <w:p>
      <w:pPr>
        <w:spacing w:after="300"/>
        <w:jc w:val="center"/>
      </w:pPr>
      <w:r>
        <w:t xml:space="preserve">HealthConnect Clinic — Data Science Track</w:t>
      </w:r>
    </w:p>
    <w:p>
      <w:pPr>
        <w:pStyle w:val="Heading2"/>
        <w:spacing w:after="100" w:before="220"/>
      </w:pPr>
      <w:r>
        <w:t xml:space="preserve">1. Problem Addressed</w:t>
      </w:r>
    </w:p>
    <w:p>
      <w:pPr>
        <w:spacing w:after="140"/>
      </w:pPr>
      <w:r>
        <w:t xml:space="preserve">This week focused on defining the machine learning problem for predicting patient appointment no-shows at HealthConnect Clinic, and assessing whether the available data can realistically support that goal.</w:t>
      </w:r>
    </w:p>
    <w:p>
      <w:pPr>
        <w:pStyle w:val="Heading2"/>
        <w:spacing w:after="100" w:before="220"/>
      </w:pPr>
      <w:r>
        <w:t xml:space="preserve">2. Resources Used</w:t>
      </w:r>
    </w:p>
    <w:p>
      <w:pPr>
        <w:spacing w:after="140"/>
      </w:pPr>
      <w:r>
        <w:t xml:space="preserve">HealthConnect_Appointment_Data.csv, HealthConnect_Data_Dictionary.xlsx, and the official Week 4 Experience Lab assignment document.</w:t>
      </w:r>
    </w:p>
    <w:p>
      <w:pPr>
        <w:pStyle w:val="Heading2"/>
        <w:spacing w:after="100" w:before="220"/>
      </w:pPr>
      <w:r>
        <w:t xml:space="preserve">3. Key Observations</w:t>
      </w:r>
    </w:p>
    <w:p>
      <w:pPr>
        <w:spacing w:after="140"/>
      </w:pPr>
      <w:r>
        <w:t xml:space="preserve">The dataset contains 5,000 appointment records across 18 variables with no duplicate rows. The outcome variable splits into No-Show (48.5%), Attended (46.3%), and Cancelled (5.3%). Missing values are limited to three columns, and the largest of these — reminder_channel (27.3% missing) — is not randomly missing: it corresponds exactly to appointments where no reminder was sent at all, meaning it reflects a real absence of engagement rather than a data gap. Basic consistency checks (no negative booking lead times, no impossible no-show counts) suggest the data is reliable.</w:t>
      </w:r>
    </w:p>
    <w:p>
      <w:pPr>
        <w:pStyle w:val="Heading2"/>
        <w:spacing w:after="100" w:before="220"/>
      </w:pPr>
      <w:r>
        <w:t xml:space="preserve">4. Proposed Approach</w:t>
      </w:r>
    </w:p>
    <w:p>
      <w:pPr>
        <w:spacing w:after="140"/>
      </w:pPr>
      <w:r>
        <w:t xml:space="preserve">Frame the problem as binary classification: no_show_target, where No-Show = 1 and Attended = 0, with Cancelled appointments excluded from this first model. Candidate features span demographics, appointment characteristics, booking behaviour, historical attendance, and reminder engagement. The modelling plan starts with a simple baseline, followed by Logistic Regression and tree-based models, evaluated with recall, precision, F1, ROC-AUC, and PR-AUC rather than accuracy alone.</w:t>
      </w:r>
    </w:p>
    <w:p>
      <w:pPr>
        <w:pStyle w:val="Heading2"/>
        <w:spacing w:after="100" w:before="220"/>
      </w:pPr>
      <w:r>
        <w:t xml:space="preserve">5. Key Considerations</w:t>
      </w:r>
    </w:p>
    <w:p>
      <w:pPr>
        <w:spacing w:after="140"/>
      </w:pPr>
      <w:r>
        <w:t xml:space="preserve">The most significant risks identified are potential data leakage (waiting_time_minutes may not be known before an appointment occurs) and repeated-patient leakage across train/test splits (the same patient appears in multiple appointment records). Structural missingness in reminder_channel, redundant derived features (age_group vs age), the synthetic nature of the dataset, and the need for a clear operational trigger point for any future prediction were also identified as important considerations for later stages of the project.</w:t>
      </w:r>
    </w:p>
    <w:p>
      <w:pPr>
        <w:pStyle w:val="Heading2"/>
        <w:spacing w:after="100" w:before="220"/>
      </w:pPr>
      <w:r>
        <w:t xml:space="preserve">6. Proposed Focus for Week 5</w:t>
      </w:r>
    </w:p>
    <w:p>
      <w:pPr>
        <w:spacing w:after="140"/>
      </w:pPr>
      <w:r>
        <w:t xml:space="preserve">Perform reproducible data preparation: confirm which features are genuinely available before the prediction point, engineer a historical no-show rate feature, address the identified leakage risks, and build and evaluate baseline classification models.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2026-08-30T08:42:40.931Z</dcterms:created>
  <dcterms:modified xsi:type="dcterms:W3CDTF">2026-08-30T08:42:40.932Z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