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AnalystLab Africa — Experience Lab Internship Programme</w:t>
      </w:r>
    </w:p>
    <w:p>
      <w:pPr>
        <w:pStyle w:val="Title"/>
        <w:spacing w:after="40"/>
        <w:jc w:val="center"/>
      </w:pPr>
      <w:r>
        <w:t xml:space="preserve">Data Science Baseline Modelling Report</w:t>
      </w:r>
    </w:p>
    <w:p>
      <w:pPr>
        <w:spacing w:after="300"/>
        <w:jc w:val="center"/>
      </w:pPr>
      <w:r>
        <w:t xml:space="preserve">Week 5: HealthConnect Clinic — Data Science Track</w:t>
      </w:r>
    </w:p>
    <w:p>
      <w:pPr>
        <w:pStyle w:val="Heading2"/>
        <w:spacing w:after="120" w:before="240"/>
      </w:pPr>
      <w:r>
        <w:t xml:space="preserve">1. Week 4 Problem Review</w:t>
      </w:r>
    </w:p>
    <w:p>
      <w:pPr>
        <w:spacing w:after="160"/>
      </w:pPr>
      <w:r>
        <w:t xml:space="preserve">Week 4 defined the machine learning problem as binary classification: predicting whether a patient will miss (no-show) a scheduled appointment, using information available before the appointment occurs. The proposed target was no_show_target (No-Show = 1, Attended = 0), with Cancelled appointments excluded from the model. Candidate features spanned demographics, appointment characteristics, booking behaviour, historical attendance, and reminder engagement. A key open risk from Week 4 was whether waiting_time_minutes represented data leakage.</w:t>
      </w:r>
    </w:p>
    <w:p>
      <w:pPr>
        <w:pStyle w:val="Heading2"/>
        <w:spacing w:after="120" w:before="240"/>
      </w:pPr>
      <w:r>
        <w:t xml:space="preserve">2. Data Preparation</w:t>
      </w:r>
    </w:p>
    <w:p>
      <w:pPr>
        <w:spacing w:after="160"/>
      </w:pPr>
      <w:r>
        <w:t xml:space="preserve">The dataset was filtered to Attended and No-Show appointments only (4,737 of 5,000 records), consistent with the Week 4 target definition. Missing values were handled deliberately rather than uniformly: reminder_channel's missing values (structural, matching reminder_sent = 'No') were filled with an explicit 'No Reminder' category, while distance_to_clinic_km and waiting_time_minutes (incidental missingness) were filled with their column medians. No duplicate rows were found. appointment_id, patient_id, and age_group were excluded as raw model features — the first two as non-predictive identifiers, and age_group as redundant with age.</w:t>
      </w:r>
    </w:p>
    <w:p>
      <w:pPr>
        <w:pStyle w:val="Heading3"/>
        <w:spacing w:after="80" w:before="160"/>
      </w:pPr>
      <w:r>
        <w:t xml:space="preserve">Resolving the Week 4 Leakage Question</w:t>
      </w:r>
    </w:p>
    <w:p>
      <w:pPr>
        <w:spacing w:after="160"/>
      </w:pPr>
      <w:r>
        <w:t xml:space="preserve">Week 4 flagged waiting_time_minutes as a possible leakage risk. This was investigated directly: the variable is populated for the large majority of No-Show (2,386 of 2,423) and Cancelled (261 of 263) appointments, not only Attended ones. A true post-visit measurement would be entirely absent for patients who never attended. Since it is populated regardless of outcome, it is evidently a pre-appointment estimate and not leakage. This is a documented, evidence-based change from the Week 4 assumption: waiting_time_minutes is included as a feature.</w:t>
      </w:r>
    </w:p>
    <w:p>
      <w:pPr>
        <w:pStyle w:val="Heading2"/>
        <w:spacing w:after="120" w:before="240"/>
      </w:pPr>
      <w:r>
        <w:t xml:space="preserve">3. Exploratory Data Analysis — Visual Evidence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00"/>
      </w:tblGrid>
      <w:tr>
        <w:tc>
          <w:tcPr>
            <w:tcW w:type="dxa" w:w="2500"/>
            <w:shd w:fill="1F4E79" w:val="clear"/>
          </w:tcPr>
          <w:p>
            <w:r>
              <w:rPr>
                <w:b/>
                <w:bCs/>
                <w:color w:val="FFFFFF"/>
              </w:rPr>
              <w:t xml:space="preserve">Visualization</w:t>
            </w:r>
          </w:p>
        </w:tc>
        <w:tc>
          <w:tcPr>
            <w:tcW w:type="dxa" w:w="3800"/>
            <w:shd w:fill="1F4E79" w:val="clear"/>
          </w:tcPr>
          <w:p>
            <w:r>
              <w:rPr>
                <w:b/>
                <w:bCs/>
                <w:color w:val="FFFFFF"/>
              </w:rPr>
              <w:t xml:space="preserve">Key Observation</w:t>
            </w:r>
          </w:p>
        </w:tc>
        <w:tc>
          <w:tcPr>
            <w:tcW w:type="dxa" w:w="2700"/>
            <w:shd w:fill="1F4E79" w:val="clear"/>
          </w:tcPr>
          <w:p>
            <w:r>
              <w:rPr>
                <w:b/>
                <w:bCs/>
                <w:color w:val="FFFFFF"/>
              </w:rPr>
              <w:t xml:space="preserve">Decision Informed</w:t>
            </w:r>
          </w:p>
        </w:tc>
      </w:tr>
      <w:tr>
        <w:tc>
          <w:tcPr>
            <w:tcW w:type="dxa" w:w="2500"/>
          </w:tcPr>
          <w:p>
            <w:r>
              <w:rPr>
                <w:b w:val="false"/>
                <w:bCs w:val="false"/>
                <w:color w:val="000000"/>
              </w:rPr>
              <w:t xml:space="preserve">Booking lead time by outcome (histogram)</w:t>
            </w:r>
          </w:p>
        </w:tc>
        <w:tc>
          <w:tcPr>
            <w:tcW w:type="dxa" w:w="3800"/>
          </w:tcPr>
          <w:p>
            <w:r>
              <w:rPr>
                <w:b w:val="false"/>
                <w:bCs w:val="false"/>
                <w:color w:val="000000"/>
              </w:rPr>
              <w:t xml:space="preserve">No-shows become proportionally more common as booking lead time increases.</w:t>
            </w:r>
          </w:p>
        </w:tc>
        <w:tc>
          <w:tcPr>
            <w:tcW w:type="dxa" w:w="2700"/>
          </w:tcPr>
          <w:p>
            <w:r>
              <w:rPr>
                <w:b w:val="false"/>
                <w:bCs w:val="false"/>
                <w:color w:val="000000"/>
              </w:rPr>
              <w:t xml:space="preserve">Retained booking_lead_days as a raw feature; engineered a binned high_lead_time feature.</w:t>
            </w:r>
          </w:p>
        </w:tc>
      </w:tr>
      <w:tr>
        <w:tc>
          <w:tcPr>
            <w:tcW w:type="dxa" w:w="2500"/>
          </w:tcPr>
          <w:p>
            <w:r>
              <w:rPr>
                <w:b w:val="false"/>
                <w:bCs w:val="false"/>
                <w:color w:val="000000"/>
              </w:rPr>
              <w:t xml:space="preserve">Outcome by reminder sent (count plot)</w:t>
            </w:r>
          </w:p>
        </w:tc>
        <w:tc>
          <w:tcPr>
            <w:tcW w:type="dxa" w:w="3800"/>
          </w:tcPr>
          <w:p>
            <w:r>
              <w:rPr>
                <w:b w:val="false"/>
                <w:bCs w:val="false"/>
                <w:color w:val="000000"/>
              </w:rPr>
              <w:t xml:space="preserve">No-show rate only modestly lower with a reminder (47.4%) vs without (51.4%).</w:t>
            </w:r>
          </w:p>
        </w:tc>
        <w:tc>
          <w:tcPr>
            <w:tcW w:type="dxa" w:w="2700"/>
          </w:tcPr>
          <w:p>
            <w:r>
              <w:rPr>
                <w:b w:val="false"/>
                <w:bCs w:val="false"/>
                <w:color w:val="000000"/>
              </w:rPr>
              <w:t xml:space="preserve">Retained reminder features, but tempered expectations of their importance relative to historical behaviour.</w:t>
            </w:r>
          </w:p>
        </w:tc>
      </w:tr>
      <w:tr>
        <w:tc>
          <w:tcPr>
            <w:tcW w:type="dxa" w:w="2500"/>
          </w:tcPr>
          <w:p>
            <w:r>
              <w:rPr>
                <w:b w:val="false"/>
                <w:bCs w:val="false"/>
                <w:color w:val="000000"/>
              </w:rPr>
              <w:t xml:space="preserve">Previous no-shows by outcome (box plot)</w:t>
            </w:r>
          </w:p>
        </w:tc>
        <w:tc>
          <w:tcPr>
            <w:tcW w:type="dxa" w:w="3800"/>
          </w:tcPr>
          <w:p>
            <w:r>
              <w:rPr>
                <w:b w:val="false"/>
                <w:bCs w:val="false"/>
                <w:color w:val="000000"/>
              </w:rPr>
              <w:t xml:space="preserve">Patients who go on to no-show have a visibly higher median count of previous no-shows.</w:t>
            </w:r>
          </w:p>
        </w:tc>
        <w:tc>
          <w:tcPr>
            <w:tcW w:type="dxa" w:w="2700"/>
          </w:tcPr>
          <w:p>
            <w:r>
              <w:rPr>
                <w:b w:val="false"/>
                <w:bCs w:val="false"/>
                <w:color w:val="000000"/>
              </w:rPr>
              <w:t xml:space="preserve">Directly justified engineering historical_no_show_rate to normalise this raw count.</w:t>
            </w:r>
          </w:p>
        </w:tc>
      </w:tr>
      <w:tr>
        <w:tc>
          <w:tcPr>
            <w:tcW w:type="dxa" w:w="2500"/>
          </w:tcPr>
          <w:p>
            <w:r>
              <w:rPr>
                <w:b w:val="false"/>
                <w:bCs w:val="false"/>
                <w:color w:val="000000"/>
              </w:rPr>
              <w:t xml:space="preserve">Correlation heatmap (numeric features vs target)</w:t>
            </w:r>
          </w:p>
        </w:tc>
        <w:tc>
          <w:tcPr>
            <w:tcW w:type="dxa" w:w="3800"/>
          </w:tcPr>
          <w:p>
            <w:r>
              <w:rPr>
                <w:b w:val="false"/>
                <w:bCs w:val="false"/>
                <w:color w:val="000000"/>
              </w:rPr>
              <w:t xml:space="preserve">booking_lead_days and previous_no_shows show the strongest linear relationships with the target among raw numeric variables.</w:t>
            </w:r>
          </w:p>
        </w:tc>
        <w:tc>
          <w:tcPr>
            <w:tcW w:type="dxa" w:w="2700"/>
          </w:tcPr>
          <w:p>
            <w:r>
              <w:rPr>
                <w:b w:val="false"/>
                <w:bCs w:val="false"/>
                <w:color w:val="000000"/>
              </w:rPr>
              <w:t xml:space="preserve">Prioritised these two variables and their derived features in the baseline model.</w:t>
            </w:r>
          </w:p>
        </w:tc>
      </w:tr>
    </w:tbl>
    <w:p>
      <w:pPr>
        <w:pStyle w:val="Heading2"/>
        <w:spacing w:after="120" w:before="240"/>
      </w:pPr>
      <w:r>
        <w:t xml:space="preserve">4. Feature Engineering</w:t>
      </w:r>
    </w:p>
    <w:p>
      <w:pPr>
        <w:pStyle w:val="ListParagraph"/>
        <w:numPr>
          <w:ilvl w:val="0"/>
          <w:numId w:val="1"/>
        </w:numPr>
        <w:spacing w:after="80"/>
      </w:pPr>
      <w:r>
        <w:t xml:space="preserve">historical_no_show_rate — previous_no_shows ÷ previous_appointments (0 for patients with no history). Created because the box plot showed raw previous_no_shows matters, but a rate normalises for how many appointments a patient has actually had, giving a more precise risk signal.</w:t>
      </w:r>
    </w:p>
    <w:p>
      <w:pPr>
        <w:pStyle w:val="ListParagraph"/>
        <w:numPr>
          <w:ilvl w:val="0"/>
          <w:numId w:val="1"/>
        </w:numPr>
        <w:spacing w:after="80"/>
      </w:pPr>
      <w:r>
        <w:t xml:space="preserve">is_new_patient — binary flag for patients with zero appointment history. Created so the model can distinguish 'genuinely low risk' from 'unknown, no history yet,' since new patients default to a historical_no_show_rate of 0, which could otherwise look misleadingly low-risk.</w:t>
      </w:r>
    </w:p>
    <w:p>
      <w:pPr>
        <w:pStyle w:val="ListParagraph"/>
        <w:numPr>
          <w:ilvl w:val="0"/>
          <w:numId w:val="1"/>
        </w:numPr>
        <w:spacing w:after="80"/>
      </w:pPr>
      <w:r>
        <w:t xml:space="preserve">high_lead_time — binary flag for bookings made more than 14 days in advance. Created directly from the clear pattern observed in the booking lead time visualization, giving the model an interpretable threshold version of that signal.</w:t>
      </w:r>
    </w:p>
    <w:p>
      <w:pPr>
        <w:pStyle w:val="Heading2"/>
        <w:spacing w:after="120" w:before="240"/>
      </w:pPr>
      <w:r>
        <w:t xml:space="preserve">5. Train/Test Strategy</w:t>
      </w:r>
    </w:p>
    <w:p>
      <w:pPr>
        <w:spacing w:after="160"/>
      </w:pPr>
      <w:r>
        <w:t xml:space="preserve">A patient-grouped split (GroupShuffleSplit, 80/20, grouped by patient_id) was used instead of a simple random split. Since patient_id repeats across multiple appointments in this dataset, a random split risked placing the same patient's appointments into both training and test sets, letting the model partially learn patient-specific patterns rather than generalisable ones. The grouped split was confirmed to produce zero patient overlap between the training (3,771 rows) and test (966 rows) sets, with a similar no-show rate in both (~51%), indicating a representative split.</w:t>
      </w:r>
    </w:p>
    <w:p>
      <w:pPr>
        <w:pStyle w:val="Heading2"/>
        <w:spacing w:after="120" w:before="240"/>
      </w:pPr>
      <w:r>
        <w:t xml:space="preserve">6. Baseline Model</w:t>
      </w:r>
    </w:p>
    <w:p>
      <w:pPr>
        <w:spacing w:after="160"/>
      </w:pPr>
      <w:r>
        <w:t xml:space="preserve">Model selected: Logistic Regression, compared against a DummyClassifier (majority-class) baseline. Logistic Regression was chosen as a first baseline for its interpretability — its coefficients can be directly read and explained to non-technical stakeholders, which matters for a shared, multidisciplinary project like HealthConnect. Categorical variables were One-Hot Encoded and numeric features were standardised before training.</w:t>
      </w:r>
    </w:p>
    <w:p>
      <w:pPr>
        <w:pStyle w:val="Heading2"/>
        <w:spacing w:after="120" w:before="240"/>
      </w:pPr>
      <w:r>
        <w:t xml:space="preserve">7. Initial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val="clear"/>
          </w:tcPr>
          <w:p>
            <w:r>
              <w:rPr>
                <w:b/>
                <w:bCs/>
                <w:color w:val="FFFFFF"/>
              </w:rPr>
              <w:t xml:space="preserve">Metric</w:t>
            </w:r>
          </w:p>
        </w:tc>
        <w:tc>
          <w:tcPr>
            <w:tcW w:type="dxa" w:w="3000"/>
            <w:shd w:fill="1F4E79" w:val="clear"/>
          </w:tcPr>
          <w:p>
            <w:r>
              <w:rPr>
                <w:b/>
                <w:bCs/>
                <w:color w:val="FFFFFF"/>
              </w:rPr>
              <w:t xml:space="preserve">Dummy Baseline</w:t>
            </w:r>
          </w:p>
        </w:tc>
        <w:tc>
          <w:tcPr>
            <w:tcW w:type="dxa" w:w="3000"/>
            <w:shd w:fill="1F4E79" w:val="clear"/>
          </w:tcPr>
          <w:p>
            <w:r>
              <w:rPr>
                <w:b/>
                <w:bCs/>
                <w:color w:val="FFFFFF"/>
              </w:rPr>
              <w:t xml:space="preserve">Logistic Regression</w:t>
            </w:r>
          </w:p>
        </w:tc>
      </w:tr>
      <w:tr>
        <w:tc>
          <w:tcPr>
            <w:tcW w:type="dxa" w:w="3000"/>
          </w:tcPr>
          <w:p>
            <w:r>
              <w:rPr>
                <w:b w:val="false"/>
                <w:bCs w:val="false"/>
                <w:color w:val="000000"/>
              </w:rPr>
              <w:t xml:space="preserve">Accuracy</w:t>
            </w:r>
          </w:p>
        </w:tc>
        <w:tc>
          <w:tcPr>
            <w:tcW w:type="dxa" w:w="3000"/>
          </w:tcPr>
          <w:p>
            <w:r>
              <w:rPr>
                <w:b w:val="false"/>
                <w:bCs w:val="false"/>
                <w:color w:val="000000"/>
              </w:rPr>
              <w:t xml:space="preserve">50.0%</w:t>
            </w:r>
          </w:p>
        </w:tc>
        <w:tc>
          <w:tcPr>
            <w:tcW w:type="dxa" w:w="3000"/>
          </w:tcPr>
          <w:p>
            <w:r>
              <w:rPr>
                <w:b w:val="false"/>
                <w:bCs w:val="false"/>
                <w:color w:val="000000"/>
              </w:rPr>
              <w:t xml:space="preserve">62.4%</w:t>
            </w:r>
          </w:p>
        </w:tc>
      </w:tr>
      <w:tr>
        <w:tc>
          <w:tcPr>
            <w:tcW w:type="dxa" w:w="3000"/>
          </w:tcPr>
          <w:p>
            <w:r>
              <w:rPr>
                <w:b w:val="false"/>
                <w:bCs w:val="false"/>
                <w:color w:val="000000"/>
              </w:rPr>
              <w:t xml:space="preserve">Precision</w:t>
            </w:r>
          </w:p>
        </w:tc>
        <w:tc>
          <w:tcPr>
            <w:tcW w:type="dxa" w:w="3000"/>
          </w:tcPr>
          <w:p>
            <w:r>
              <w:rPr>
                <w:b w:val="false"/>
                <w:bCs w:val="false"/>
                <w:color w:val="000000"/>
              </w:rPr>
              <w:t xml:space="preserve">—</w:t>
            </w:r>
          </w:p>
        </w:tc>
        <w:tc>
          <w:tcPr>
            <w:tcW w:type="dxa" w:w="3000"/>
          </w:tcPr>
          <w:p>
            <w:r>
              <w:rPr>
                <w:b w:val="false"/>
                <w:bCs w:val="false"/>
                <w:color w:val="000000"/>
              </w:rPr>
              <w:t xml:space="preserve">61.7%</w:t>
            </w:r>
          </w:p>
        </w:tc>
      </w:tr>
      <w:tr>
        <w:tc>
          <w:tcPr>
            <w:tcW w:type="dxa" w:w="3000"/>
          </w:tcPr>
          <w:p>
            <w:r>
              <w:rPr>
                <w:b w:val="false"/>
                <w:bCs w:val="false"/>
                <w:color w:val="000000"/>
              </w:rPr>
              <w:t xml:space="preserve">Recall</w:t>
            </w:r>
          </w:p>
        </w:tc>
        <w:tc>
          <w:tcPr>
            <w:tcW w:type="dxa" w:w="3000"/>
          </w:tcPr>
          <w:p>
            <w:r>
              <w:rPr>
                <w:b w:val="false"/>
                <w:bCs w:val="false"/>
                <w:color w:val="000000"/>
              </w:rPr>
              <w:t xml:space="preserve">—</w:t>
            </w:r>
          </w:p>
        </w:tc>
        <w:tc>
          <w:tcPr>
            <w:tcW w:type="dxa" w:w="3000"/>
          </w:tcPr>
          <w:p>
            <w:r>
              <w:rPr>
                <w:b w:val="false"/>
                <w:bCs w:val="false"/>
                <w:color w:val="000000"/>
              </w:rPr>
              <w:t xml:space="preserve">65.4%</w:t>
            </w:r>
          </w:p>
        </w:tc>
      </w:tr>
      <w:tr>
        <w:tc>
          <w:tcPr>
            <w:tcW w:type="dxa" w:w="3000"/>
          </w:tcPr>
          <w:p>
            <w:r>
              <w:rPr>
                <w:b w:val="false"/>
                <w:bCs w:val="false"/>
                <w:color w:val="000000"/>
              </w:rPr>
              <w:t xml:space="preserve">F1-score</w:t>
            </w:r>
          </w:p>
        </w:tc>
        <w:tc>
          <w:tcPr>
            <w:tcW w:type="dxa" w:w="3000"/>
          </w:tcPr>
          <w:p>
            <w:r>
              <w:rPr>
                <w:b w:val="false"/>
                <w:bCs w:val="false"/>
                <w:color w:val="000000"/>
              </w:rPr>
              <w:t xml:space="preserve">—</w:t>
            </w:r>
          </w:p>
        </w:tc>
        <w:tc>
          <w:tcPr>
            <w:tcW w:type="dxa" w:w="3000"/>
          </w:tcPr>
          <w:p>
            <w:r>
              <w:rPr>
                <w:b w:val="false"/>
                <w:bCs w:val="false"/>
                <w:color w:val="000000"/>
              </w:rPr>
              <w:t xml:space="preserve">63.5%</w:t>
            </w:r>
          </w:p>
        </w:tc>
      </w:tr>
      <w:tr>
        <w:tc>
          <w:tcPr>
            <w:tcW w:type="dxa" w:w="3000"/>
          </w:tcPr>
          <w:p>
            <w:r>
              <w:rPr>
                <w:b w:val="false"/>
                <w:bCs w:val="false"/>
                <w:color w:val="000000"/>
              </w:rPr>
              <w:t xml:space="preserve">ROC-AUC</w:t>
            </w:r>
          </w:p>
        </w:tc>
        <w:tc>
          <w:tcPr>
            <w:tcW w:type="dxa" w:w="3000"/>
          </w:tcPr>
          <w:p>
            <w:r>
              <w:rPr>
                <w:b w:val="false"/>
                <w:bCs w:val="false"/>
                <w:color w:val="000000"/>
              </w:rPr>
              <w:t xml:space="preserve">—</w:t>
            </w:r>
          </w:p>
        </w:tc>
        <w:tc>
          <w:tcPr>
            <w:tcW w:type="dxa" w:w="3000"/>
          </w:tcPr>
          <w:p>
            <w:r>
              <w:rPr>
                <w:b w:val="false"/>
                <w:bCs w:val="false"/>
                <w:color w:val="000000"/>
              </w:rPr>
              <w:t xml:space="preserve">0.677</w:t>
            </w:r>
          </w:p>
        </w:tc>
      </w:tr>
    </w:tbl>
    <w:p>
      <w:pPr>
        <w:spacing w:after="160"/>
      </w:pPr>
      <w:r>
        <w:t xml:space="preserve">The baseline model performs meaningfully ahead of the dummy baseline (62.4% vs 50.0% accuracy) with a ROC-AUC of 0.677, indicating genuine, moderate discriminative ability. Precision and recall are fairly balanced, meaning the model is not strongly biased toward over- or under-predicting no-shows.</w:t>
      </w:r>
    </w:p>
    <w:p>
      <w:pPr>
        <w:pStyle w:val="Heading2"/>
        <w:spacing w:after="120" w:before="240"/>
      </w:pPr>
      <w:r>
        <w:t xml:space="preserve">8. Interpretation</w:t>
      </w:r>
    </w:p>
    <w:p>
      <w:pPr>
        <w:spacing w:after="160"/>
      </w:pPr>
      <w:r>
        <w:t xml:space="preserve">The strongest predictors by coefficient magnitude were booking_lead_days (positive) and previous_no_shows (positive), both consistent with the exploratory visualizations in Section 3. Notably, historical_no_show_rate carried a negative coefficient once combined with other features — flagged here as a modelling consideration rather than dismissed: it likely indicates overlap with previous_no_shows once both are included together, rather than the rate itself being a genuinely protective factor.</w:t>
      </w:r>
    </w:p>
    <w:p>
      <w:pPr>
        <w:pStyle w:val="Heading2"/>
        <w:spacing w:after="120" w:before="240"/>
      </w:pPr>
      <w:r>
        <w:t xml:space="preserve">9. Modelling Limitations</w:t>
      </w:r>
    </w:p>
    <w:p>
      <w:pPr>
        <w:pStyle w:val="ListParagraph"/>
        <w:numPr>
          <w:ilvl w:val="0"/>
          <w:numId w:val="1"/>
        </w:numPr>
        <w:spacing w:after="80"/>
      </w:pPr>
      <w:r>
        <w:t xml:space="preserve">This is a first baseline, not a tuned or final model — no hyperparameter search and no comparison against non-linear (tree-based) models has yet been performed.</w:t>
      </w:r>
    </w:p>
    <w:p>
      <w:pPr>
        <w:pStyle w:val="ListParagraph"/>
        <w:numPr>
          <w:ilvl w:val="0"/>
          <w:numId w:val="1"/>
        </w:numPr>
        <w:spacing w:after="80"/>
      </w:pPr>
      <w:r>
        <w:t xml:space="preserve">A moderate (not strong) ROC-AUC of 0.677 suggests meaningful room for improvement.</w:t>
      </w:r>
    </w:p>
    <w:p>
      <w:pPr>
        <w:pStyle w:val="ListParagraph"/>
        <w:numPr>
          <w:ilvl w:val="0"/>
          <w:numId w:val="1"/>
        </w:numPr>
        <w:spacing w:after="80"/>
      </w:pPr>
      <w:r>
        <w:t xml:space="preserve">The historical_no_show_rate / previous_no_shows overlap identified above needs resolution before the feature set is finalised.</w:t>
      </w:r>
    </w:p>
    <w:p>
      <w:pPr>
        <w:pStyle w:val="ListParagraph"/>
        <w:numPr>
          <w:ilvl w:val="0"/>
          <w:numId w:val="1"/>
        </w:numPr>
        <w:spacing w:after="80"/>
      </w:pPr>
      <w:r>
        <w:t xml:space="preserve">Model calibration and explainability (e.g. SHAP values) have not yet been formally assessed.</w:t>
      </w:r>
    </w:p>
    <w:p>
      <w:pPr>
        <w:pStyle w:val="Heading2"/>
        <w:spacing w:after="120" w:before="240"/>
      </w:pPr>
      <w:r>
        <w:t xml:space="preserve">10. Recommendations for Week 6</w:t>
      </w:r>
    </w:p>
    <w:p>
      <w:pPr>
        <w:pStyle w:val="ListParagraph"/>
        <w:numPr>
          <w:ilvl w:val="0"/>
          <w:numId w:val="1"/>
        </w:numPr>
        <w:spacing w:after="80"/>
      </w:pPr>
      <w:r>
        <w:t xml:space="preserve">Resolve the historical_no_show_rate / previous_no_shows redundancy — test the model with each in isolation to determine which contributes more genuine signal.</w:t>
      </w:r>
    </w:p>
    <w:p>
      <w:pPr>
        <w:pStyle w:val="ListParagraph"/>
        <w:numPr>
          <w:ilvl w:val="0"/>
          <w:numId w:val="1"/>
        </w:numPr>
        <w:spacing w:after="80"/>
      </w:pPr>
      <w:r>
        <w:t xml:space="preserve">Compare the Logistic Regression baseline against tree-based models (Random Forest, Gradient Boosting), which may better capture non-linear relationships in the data.</w:t>
      </w:r>
    </w:p>
    <w:p>
      <w:pPr>
        <w:pStyle w:val="ListParagraph"/>
        <w:numPr>
          <w:ilvl w:val="0"/>
          <w:numId w:val="1"/>
        </w:numPr>
        <w:spacing w:after="80"/>
      </w:pPr>
      <w:r>
        <w:t xml:space="preserve">Perform basic hyperparameter tuning on the strongest-performing model family.</w:t>
      </w:r>
    </w:p>
    <w:p>
      <w:pPr>
        <w:pStyle w:val="ListParagraph"/>
        <w:numPr>
          <w:ilvl w:val="0"/>
          <w:numId w:val="1"/>
        </w:numPr>
        <w:spacing w:after="80"/>
      </w:pPr>
      <w:r>
        <w:t xml:space="preserve">Assess model calibration and consider explainability tooling before any discussion of operational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2026-09-03T18:56:21.248Z</dcterms:created>
  <dcterms:modified xsi:type="dcterms:W3CDTF">2026-09-03T18:56:21.258Z</dcterms:modified>
</cp:coreProperties>
</file>

<file path=docProps/custom.xml><?xml version="1.0" encoding="utf-8"?>
<Properties xmlns="http://schemas.openxmlformats.org/officeDocument/2006/custom-properties" xmlns:vt="http://schemas.openxmlformats.org/officeDocument/2006/docPropsVTypes"/>
</file>