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t xml:space="preserve">AnalystLab Africa — Data Science Internship Programme</w:t>
      </w:r>
    </w:p>
    <w:p>
      <w:pPr>
        <w:pStyle w:val="Title"/>
        <w:spacing w:after="40"/>
        <w:jc w:val="center"/>
      </w:pPr>
      <w:r>
        <w:t xml:space="preserve">Business Understanding Report</w:t>
      </w:r>
    </w:p>
    <w:p>
      <w:pPr>
        <w:spacing w:after="300"/>
        <w:jc w:val="center"/>
      </w:pPr>
      <w:r>
        <w:t xml:space="preserve">Week 2: Feature Engineering &amp; Data Preprocessing for Machine Learning</w:t>
      </w:r>
    </w:p>
    <w:p>
      <w:pPr>
        <w:pStyle w:val="Heading2"/>
        <w:spacing w:after="120" w:before="240"/>
      </w:pPr>
      <w:r>
        <w:t xml:space="preserve">1. Business Problem</w:t>
      </w:r>
    </w:p>
    <w:p>
      <w:pPr>
        <w:spacing w:after="160"/>
      </w:pPr>
      <w:r>
        <w:t xml:space="preserve">Heart disease remains one of the leading causes of death worldwide, and early identification of at-risk patients is critical for timely medical intervention. AnalystLab Africa Consulting has been engaged in a simulated capacity to help a healthcare provider move toward a data-driven approach to identifying patients who are likely to develop heart disease, using routinely collected clinical measurements rather than relying solely on manual clinical judgement.</w:t>
      </w:r>
    </w:p>
    <w:p>
      <w:pPr>
        <w:spacing w:after="160"/>
      </w:pPr>
      <w:r>
        <w:t xml:space="preserve">The dataset used for this engagement is the Heart Disease Prediction dataset, which combines clinical and diagnostic attributes — such as age, sex, chest pain type, resting blood pressure, cholesterol, fasting blood sugar, resting ECG results, maximum heart rate, exercise-induced angina, and ST slope — for 918 patients, alongside a recorded outcome of whether each patient was diagnosed with heart disease.</w:t>
      </w:r>
    </w:p>
    <w:p>
      <w:pPr>
        <w:pStyle w:val="Heading2"/>
        <w:spacing w:after="120" w:before="240"/>
      </w:pPr>
      <w:r>
        <w:t xml:space="preserve">2. Project Objective</w:t>
      </w:r>
    </w:p>
    <w:p>
      <w:pPr>
        <w:spacing w:after="160"/>
      </w:pPr>
      <w:r>
        <w:t xml:space="preserve">The objective of this phase of the project is to prepare the raw clinical dataset for machine learning by cleaning, transforming, encoding, and scaling it appropriately, and to document every preprocessing decision made along the way. This preprocessing groundwork is what enables an accurate and trustworthy predictive model to be built in a later phase of the project.</w:t>
      </w:r>
    </w:p>
    <w:p>
      <w:pPr>
        <w:pStyle w:val="Heading2"/>
        <w:spacing w:after="120" w:before="240"/>
      </w:pPr>
      <w:r>
        <w:t xml:space="preserve">3. Target Variable</w:t>
      </w:r>
    </w:p>
    <w:p>
      <w:pPr>
        <w:spacing w:after="160"/>
      </w:pPr>
      <w:r>
        <w:t xml:space="preserve">The target variable is HeartDisease, a binary indicator where 1 represents a patient diagnosed with heart disease and 0 represents a patient without a diagnosis. This makes the underlying machine learning task a binary classification problem: given a patient's clinical measurements, predict whether they are likely to have heart disease.</w:t>
      </w:r>
    </w:p>
    <w:p>
      <w:pPr>
        <w:pStyle w:val="Heading2"/>
        <w:spacing w:after="120" w:before="240"/>
      </w:pPr>
      <w:r>
        <w:t xml:space="preserve">4. Importance of Predictive Modelling</w:t>
      </w:r>
    </w:p>
    <w:p>
      <w:pPr>
        <w:spacing w:after="160"/>
      </w:pPr>
      <w:r>
        <w:t xml:space="preserve">A predictive model built on this data could support clinicians by flagging high-risk patients for further testing or preventive care earlier than symptoms alone might prompt. Machine learning is well suited to this problem because heart disease risk is influenced by the interaction of many variables simultaneously (age, cholesterol, blood pressure, ECG results, and more), which can be difficult for a human to weigh consistently across every patient, but which a trained model can learn from historical patterns in the data.</w:t>
      </w:r>
    </w:p>
    <w:p>
      <w:pPr>
        <w:spacing w:after="160"/>
      </w:pPr>
      <w:r>
        <w:t xml:space="preserve">This also illustrates a broader principle in healthcare data science: predictive models are not intended to replace clinical judgement, but to act as a decision-support tool that helps prioritise attention and resources toward the patients most likely to benefit from early intervention.</w:t>
      </w:r>
    </w:p>
    <w:p>
      <w:pPr>
        <w:pStyle w:val="Heading2"/>
        <w:spacing w:after="120" w:before="240"/>
      </w:pPr>
      <w:r>
        <w:t xml:space="preserve">5. Expected Business Impact</w:t>
      </w:r>
    </w:p>
    <w:p>
      <w:pPr>
        <w:pStyle w:val="ListParagraph"/>
        <w:numPr>
          <w:ilvl w:val="0"/>
          <w:numId w:val="1"/>
        </w:numPr>
        <w:spacing w:after="80"/>
      </w:pPr>
      <w:r>
        <w:t xml:space="preserve">Earlier identification of high-risk patients, potentially enabling earlier treatment and better health outcomes.</w:t>
      </w:r>
    </w:p>
    <w:p>
      <w:pPr>
        <w:pStyle w:val="ListParagraph"/>
        <w:numPr>
          <w:ilvl w:val="0"/>
          <w:numId w:val="1"/>
        </w:numPr>
        <w:spacing w:after="80"/>
      </w:pPr>
      <w:r>
        <w:t xml:space="preserve">More efficient allocation of diagnostic resources (e.g. prioritising further cardiac testing for patients flagged as higher-risk).</w:t>
      </w:r>
    </w:p>
    <w:p>
      <w:pPr>
        <w:pStyle w:val="ListParagraph"/>
        <w:numPr>
          <w:ilvl w:val="0"/>
          <w:numId w:val="1"/>
        </w:numPr>
        <w:spacing w:after="80"/>
      </w:pPr>
      <w:r>
        <w:t xml:space="preserve">A reusable, data-driven screening tool that could be integrated into a clinical workflow to support (not replace) physician decision-making.</w:t>
      </w:r>
    </w:p>
    <w:p>
      <w:pPr>
        <w:pStyle w:val="ListParagraph"/>
        <w:numPr>
          <w:ilvl w:val="0"/>
          <w:numId w:val="1"/>
        </w:numPr>
        <w:spacing w:after="80"/>
      </w:pPr>
      <w:r>
        <w:t xml:space="preserve">A foundation for future analytics work, such as monitoring how risk factors shift across a patient population over time.</w:t>
      </w:r>
    </w:p>
    <w:p>
      <w:pPr>
        <w:pStyle w:val="Heading2"/>
        <w:spacing w:after="120" w:before="240"/>
      </w:pPr>
      <w:r>
        <w:t xml:space="preserve">6. Conclusion</w:t>
      </w:r>
    </w:p>
    <w:p>
      <w:pPr>
        <w:spacing w:after="160"/>
      </w:pPr>
      <w:r>
        <w:t xml:space="preserve">Before any predictive model can be responsibly built, the underlying data must be clean, consistent, and correctly structured. This report frames the business problem and objective that the Week 2 preprocessing work — detailed in the accompanying Data Preprocessing Report and Jupyter Notebook — is designed to support.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2026-08-14T07:50:04.186Z</dcterms:created>
  <dcterms:modified xsi:type="dcterms:W3CDTF">2026-08-14T07:50:04.200Z</dcterms:modified>
</cp:coreProperties>
</file>

<file path=docProps/custom.xml><?xml version="1.0" encoding="utf-8"?>
<Properties xmlns="http://schemas.openxmlformats.org/officeDocument/2006/custom-properties" xmlns:vt="http://schemas.openxmlformats.org/officeDocument/2006/docPropsVTypes"/>
</file>