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AnalystLab Africa — Data Science Internship Programme</w:t>
      </w:r>
    </w:p>
    <w:p>
      <w:pPr>
        <w:pStyle w:val="Title"/>
        <w:spacing w:after="40"/>
        <w:jc w:val="center"/>
      </w:pPr>
      <w:r>
        <w:t xml:space="preserve">Business Insights and Recommendations Report</w:t>
      </w:r>
    </w:p>
    <w:p>
      <w:pPr>
        <w:spacing w:after="300"/>
        <w:jc w:val="center"/>
      </w:pPr>
      <w:r>
        <w:t xml:space="preserve">Week 3: Heart Disease Prediction — Advanced Analysis</w:t>
      </w:r>
    </w:p>
    <w:p>
      <w:pPr>
        <w:pStyle w:val="Heading2"/>
        <w:spacing w:after="120" w:before="260"/>
      </w:pPr>
      <w:r>
        <w:t xml:space="preserve">Executive Summary</w:t>
      </w:r>
    </w:p>
    <w:p>
      <w:pPr>
        <w:spacing w:after="160"/>
      </w:pPr>
      <w:r>
        <w:t xml:space="preserve">This report summarizes the advanced analytical work performed on the Heart Disease Prediction dataset following Week 2's data cleaning and preprocessing. The objective of this phase was to move beyond visual exploration into statistically validated conclusions, engineer meaningful new features grounded in evidence, and rigorously evaluate which variables are most useful for the predictive model to be developed in Week 4.</w:t>
      </w:r>
    </w:p>
    <w:p>
      <w:pPr>
        <w:spacing w:after="160"/>
      </w:pPr>
      <w:r>
        <w:t xml:space="preserve">The underlying business problem is one faced by healthcare providers broadly: identifying patients at elevated risk of heart disease early enough to act on that risk, using only the kind of routine clinical measurements already collected during a standard check-up. A model that can reliably flag high-risk patients from this kind of data could support earlier referral for specialist testing, more efficient use of limited diagnostic resources, and ultimately better patient outcomes through earlier intervention.</w:t>
      </w:r>
    </w:p>
    <w:p>
      <w:pPr>
        <w:spacing w:after="160"/>
      </w:pPr>
      <w:r>
        <w:t xml:space="preserve">Five statistical tests confirmed that maximum heart rate, sex, chest pain type, ST depression (Oldpeak), and exercise-induced angina are all significantly associated with heart disease in this population, each with p-values far below the conventional 0.05 threshold. A newly engineered composite feature, HighRiskSymptomCount, emerged as the single strongest predictor identified in the analysis, validated independently by both correlation analysis and a preliminary machine learning model. These findings provide a strong, evidence-based foundation for the predictive modelling work ahead in Week 4.</w:t>
      </w:r>
    </w:p>
    <w:p>
      <w:pPr>
        <w:pStyle w:val="Heading2"/>
        <w:spacing w:after="120" w:before="260"/>
      </w:pPr>
      <w:r>
        <w:t xml:space="preserve">Analytical Approach</w:t>
      </w:r>
    </w:p>
    <w:p>
      <w:pPr>
        <w:spacing w:after="160"/>
      </w:pPr>
      <w:r>
        <w:t xml:space="preserve">This phase of the project deliberately built on, rather than repeated, the Week 2 cleaning work. Thirteen visualizations were produced spanning distribution analysis, categorical frequency analysis, bivariate relationships, and multivariate views, each selected to surface a genuinely new angle on the data rather than duplicating Week 1 or Week 2 charts. Five formal hypothesis tests were then conducted, each matched to the type and distribution of the variables involved — parametric tests (t-test) where assumptions were met, and non-parametric alternatives (Mann-Whitney U) where skewness made a parametric test inappropriate. Three new features were engineered directly from patterns surfaced in this analysis, and every feature — original and engineered — was evaluated using two independent methods (correlation analysis and Random Forest feature importance) rather than relying on a single source of evidence for any retention or removal decision.</w:t>
      </w:r>
    </w:p>
    <w:p>
      <w:pPr>
        <w:pStyle w:val="Heading2"/>
        <w:spacing w:after="120" w:before="260"/>
      </w:pPr>
      <w:r>
        <w:t xml:space="preserve">Key Analytical Findings</w:t>
      </w:r>
    </w:p>
    <w:p>
      <w:pPr>
        <w:pStyle w:val="ListParagraph"/>
        <w:numPr>
          <w:ilvl w:val="0"/>
          <w:numId w:val="1"/>
        </w:numPr>
        <w:spacing w:after="80"/>
      </w:pPr>
      <w:r>
        <w:t xml:space="preserve">Exercise-related measurements form the strongest signal cluster: MaxHR, Oldpeak, and ExerciseAngina were all independently significant (p &lt; 0.0001 in every case), and together they capture how well a patient's heart tolerates physical exertion — a core clinical indicator of cardiovascular health. Patients without heart disease averaged a MaxHR of 148.2, compared to 127.7 for patients with heart disease — a gap of over 20 beats per minute that a t-test confirmed is highly unlikely to be due to chance.</w:t>
      </w:r>
    </w:p>
    <w:p>
      <w:pPr>
        <w:pStyle w:val="ListParagraph"/>
        <w:numPr>
          <w:ilvl w:val="0"/>
          <w:numId w:val="1"/>
        </w:numPr>
        <w:spacing w:after="80"/>
      </w:pPr>
      <w:r>
        <w:t xml:space="preserve">Chest pain type carries a counterintuitive but clinically important pattern: patients with NO chest pain symptoms (ASY / asymptomatic) showed the highest heart disease rate (79%) of any chest pain category, higher than patients who do report pain (14–43% depending on type). This was one of the strongest associations found in the entire analysis (χ² = 268.07).</w:t>
      </w:r>
    </w:p>
    <w:p>
      <w:pPr>
        <w:pStyle w:val="ListParagraph"/>
        <w:numPr>
          <w:ilvl w:val="0"/>
          <w:numId w:val="1"/>
        </w:numPr>
        <w:spacing w:after="80"/>
      </w:pPr>
      <w:r>
        <w:t xml:space="preserve">Sex shows a strong association with heart disease diagnosis (63% of male patients vs 26% of female patients in this dataset), though this should be interpreted alongside the dataset's gender imbalance (725 male vs 193 female patients) — a limitation discussed further below.</w:t>
      </w:r>
    </w:p>
    <w:p>
      <w:pPr>
        <w:pStyle w:val="ListParagraph"/>
        <w:numPr>
          <w:ilvl w:val="0"/>
          <w:numId w:val="1"/>
        </w:numPr>
        <w:spacing w:after="80"/>
      </w:pPr>
      <w:r>
        <w:t xml:space="preserve">The engineered feature HighRiskSymptomCount — combining asymptomatic chest pain, exercise angina, and elevated Oldpeak into a single 0–3 score — proved to be the most predictive individual feature in the dataset, outperforming any of its three source variables alone, and was independently confirmed by a preliminary Random Forest model, where it ranked as the second most important feature overall.</w:t>
      </w:r>
    </w:p>
    <w:p>
      <w:pPr>
        <w:pStyle w:val="ListParagraph"/>
        <w:numPr>
          <w:ilvl w:val="0"/>
          <w:numId w:val="1"/>
        </w:numPr>
        <w:spacing w:after="80"/>
      </w:pPr>
      <w:r>
        <w:t xml:space="preserve">Some variables that are statistically significant on their own (Sex, ExerciseAngina) contribute comparatively little additional information once stronger combined features are already accounted for in a Random Forest model — a reminder that statistical significance and predictive importance are related but distinct questions, and both are valuable to check rather than relying on either alone.</w:t>
      </w:r>
    </w:p>
    <w:p>
      <w:pPr>
        <w:pStyle w:val="ListParagraph"/>
        <w:numPr>
          <w:ilvl w:val="0"/>
          <w:numId w:val="1"/>
        </w:numPr>
        <w:spacing w:after="80"/>
      </w:pPr>
      <w:r>
        <w:t xml:space="preserve">The ST_Slope feature emerged as the single most important variable in the preliminary model (importance score ≈0.195, well ahead of any other feature), even though the 'Down' category it includes represents only 6.9% of the dataset — suggesting this small subgroup carries a disproportionately strong signal worth further investigation with more data in future work.</w:t>
      </w:r>
    </w:p>
    <w:p>
      <w:pPr>
        <w:pStyle w:val="Heading2"/>
        <w:spacing w:after="120" w:before="260"/>
      </w:pPr>
      <w:r>
        <w:t xml:space="preserve">Business Implications</w:t>
      </w:r>
    </w:p>
    <w:p>
      <w:pPr>
        <w:spacing w:after="160"/>
      </w:pPr>
      <w:r>
        <w:t xml:space="preserve">These findings suggest that a future predictive model should prioritize exercise-tolerance-related measurements and the composite risk indicator identified here, rather than treating every clinical variable as equally informative. For a healthcare provider, this points toward a practical screening implication: asymptomatic patients should not be treated as lower-risk by default — the data suggests the opposite may be true in some cases. A risk-scoring approach similar to HighRiskSymptomCount could offer clinicians a simple, interpretable tool even before a full predictive model is deployed, since it requires only three pieces of information already collected during a standard cardiac work-up.</w:t>
      </w:r>
    </w:p>
    <w:p>
      <w:pPr>
        <w:spacing w:after="160"/>
      </w:pPr>
      <w:r>
        <w:t xml:space="preserve">The gender imbalance identified in the statistical testing also has a business implication beyond the immediate analysis: any model built on this dataset should be evaluated carefully for how well it generalizes to female patients specifically, given they make up a smaller portion of the available data. A model that performs well on average but poorly for an underrepresented group would not be an appropriate tool to deploy in a real clinical setting without further validation or additional data collection.</w:t>
      </w:r>
    </w:p>
    <w:p>
      <w:pPr>
        <w:spacing w:after="160"/>
      </w:pPr>
      <w:r>
        <w:t xml:space="preserve">More broadly, this analysis illustrates the value of combining statistical rigor with business judgment: several individually significant findings (such as Sex) turned out to be less important once evaluated in a combined model, while an engineered feature built from domain reasoning (HighRiskSymptomCount) outperformed the raw variables it was built from. This suggests that the Week 4 modelling phase will benefit from testing feature combinations deliberately, rather than assuming that more statistically significant inputs automatically produce a better model.</w:t>
      </w:r>
    </w:p>
    <w:p>
      <w:pPr>
        <w:pStyle w:val="Heading2"/>
        <w:spacing w:after="120" w:before="260"/>
      </w:pPr>
      <w:r>
        <w:t xml:space="preserve">Recommendations</w:t>
      </w:r>
    </w:p>
    <w:p>
      <w:pPr>
        <w:pStyle w:val="ListParagraph"/>
        <w:numPr>
          <w:ilvl w:val="0"/>
          <w:numId w:val="1"/>
        </w:numPr>
        <w:spacing w:after="80"/>
      </w:pPr>
      <w:r>
        <w:t xml:space="preserve">Prioritize MaxHR, Oldpeak, ExerciseAngina, ChestPainType, and the engineered HighRiskSymptomCount as core features for the Week 4 predictive model, based on converging statistical and model-based evidence.</w:t>
      </w:r>
    </w:p>
    <w:p>
      <w:pPr>
        <w:pStyle w:val="ListParagraph"/>
        <w:numPr>
          <w:ilvl w:val="0"/>
          <w:numId w:val="1"/>
        </w:numPr>
        <w:spacing w:after="80"/>
      </w:pPr>
      <w:r>
        <w:t xml:space="preserve">Do not use both Cholesterol and Cholesterol_Log simultaneously in the Week 4 model, since they are redundant by construction — select whichever produces better model performance during Week 4 experimentation.</w:t>
      </w:r>
    </w:p>
    <w:p>
      <w:pPr>
        <w:pStyle w:val="ListParagraph"/>
        <w:numPr>
          <w:ilvl w:val="0"/>
          <w:numId w:val="1"/>
        </w:numPr>
        <w:spacing w:after="80"/>
      </w:pPr>
      <w:r>
        <w:t xml:space="preserve">Evaluate whether Age or AgeGroup (or both) should be retained in Week 4 using actual model performance comparisons, since they are highly correlated (0.79) but this correlation alone is not sufficient grounds for removal.</w:t>
      </w:r>
    </w:p>
    <w:p>
      <w:pPr>
        <w:pStyle w:val="ListParagraph"/>
        <w:numPr>
          <w:ilvl w:val="0"/>
          <w:numId w:val="1"/>
        </w:numPr>
        <w:spacing w:after="80"/>
      </w:pPr>
      <w:r>
        <w:t xml:space="preserve">When evaluating the Week 4 model's performance, examine results separately by Sex to check whether prediction accuracy holds up similarly for female patients, given their smaller representation in this dataset.</w:t>
      </w:r>
    </w:p>
    <w:p>
      <w:pPr>
        <w:pStyle w:val="ListParagraph"/>
        <w:numPr>
          <w:ilvl w:val="0"/>
          <w:numId w:val="1"/>
        </w:numPr>
        <w:spacing w:after="80"/>
      </w:pPr>
      <w:r>
        <w:t xml:space="preserve">Consider clinical validation of the HighRiskSymptomCount concept with a domain expert before relying on it heavily, since it was derived analytically rather than from an established clinical scoring system.</w:t>
      </w:r>
    </w:p>
    <w:p>
      <w:pPr>
        <w:pStyle w:val="Heading2"/>
        <w:spacing w:after="120" w:before="260"/>
      </w:pPr>
      <w:r>
        <w:t xml:space="preserve">Dataset Limitations</w:t>
      </w:r>
    </w:p>
    <w:p>
      <w:pPr>
        <w:pStyle w:val="ListParagraph"/>
        <w:numPr>
          <w:ilvl w:val="0"/>
          <w:numId w:val="1"/>
        </w:numPr>
        <w:spacing w:after="80"/>
      </w:pPr>
      <w:r>
        <w:t xml:space="preserve">Gender imbalance: the dataset contains substantially more male (725) than female (193) patients, which may limit how well any model generalizes to female patients.</w:t>
      </w:r>
    </w:p>
    <w:p>
      <w:pPr>
        <w:pStyle w:val="ListParagraph"/>
        <w:numPr>
          <w:ilvl w:val="0"/>
          <w:numId w:val="1"/>
        </w:numPr>
        <w:spacing w:after="80"/>
      </w:pPr>
      <w:r>
        <w:t xml:space="preserve">Hidden missing data: 172 Cholesterol values and 1 RestingBP value were originally recorded as 0 and required median imputation in Week 2 — while a reasonable approach, imputed values are estimates, not true measurements, and introduce some uncertainty into any conclusions drawn from those specific rows.</w:t>
      </w:r>
    </w:p>
    <w:p>
      <w:pPr>
        <w:pStyle w:val="ListParagraph"/>
        <w:numPr>
          <w:ilvl w:val="0"/>
          <w:numId w:val="1"/>
        </w:numPr>
        <w:spacing w:after="80"/>
      </w:pPr>
      <w:r>
        <w:t xml:space="preserve">Single-source dataset: all data comes from one dataset source; without knowing the specific hospital(s) or population(s) it was drawn from, caution is warranted before generalizing these findings to other patient populations.</w:t>
      </w:r>
    </w:p>
    <w:p>
      <w:pPr>
        <w:pStyle w:val="ListParagraph"/>
        <w:numPr>
          <w:ilvl w:val="0"/>
          <w:numId w:val="1"/>
        </w:numPr>
        <w:spacing w:after="80"/>
      </w:pPr>
      <w:r>
        <w:t xml:space="preserve">Cross-sectional design: this data captures a snapshot of measurements and diagnosis, not how a patient's readings evolve over time, limiting insight into progression or causality.</w:t>
      </w:r>
    </w:p>
    <w:p>
      <w:pPr>
        <w:pStyle w:val="ListParagraph"/>
        <w:numPr>
          <w:ilvl w:val="0"/>
          <w:numId w:val="1"/>
        </w:numPr>
        <w:spacing w:after="80"/>
      </w:pPr>
      <w:r>
        <w:t xml:space="preserve">Sample size for some categories: the ST_Slope 'Down' category contains only 6.9% of patients, meaning any conclusions specific to that group are based on a comparatively small sample.</w:t>
      </w:r>
    </w:p>
    <w:p>
      <w:pPr>
        <w:pStyle w:val="Heading2"/>
        <w:spacing w:after="120" w:before="260"/>
      </w:pPr>
      <w:r>
        <w:t xml:space="preserve">Next Steps — Preparing for Week 4</w:t>
      </w:r>
    </w:p>
    <w:p>
      <w:pPr>
        <w:spacing w:after="160"/>
      </w:pPr>
      <w:r>
        <w:t xml:space="preserve">The refined dataset produced this week (building on Week 2's cleaned data plus three new engineered features) is ready to serve as the foundation for Week 4 Machine Learning Model Development. Before model training begins, the redundant feature pairs identified in Part 5 (ST_Slope_Flat/Up, Age/AgeGroup, Cholesterol/Cholesterol_Log) should be resolved — either by selecting one from each pair or by testing model performance both ways. The five statistically validated predictors, plus HighRiskSymptomCount, should form the core feature set for initial model experimentation, with additional features added only if they demonstrably improve performance beyond this core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2026-08-23T08:03:11.137Z</dcterms:created>
  <dcterms:modified xsi:type="dcterms:W3CDTF">2026-08-23T08:03:11.137Z</dcterms:modified>
</cp:coreProperties>
</file>

<file path=docProps/custom.xml><?xml version="1.0" encoding="utf-8"?>
<Properties xmlns="http://schemas.openxmlformats.org/officeDocument/2006/custom-properties" xmlns:vt="http://schemas.openxmlformats.org/officeDocument/2006/docPropsVTypes"/>
</file>