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AnalystLab Africa — Data Science Internship Programme</w:t>
      </w:r>
    </w:p>
    <w:p>
      <w:pPr>
        <w:pStyle w:val="Title"/>
        <w:spacing w:after="40"/>
        <w:jc w:val="center"/>
      </w:pPr>
      <w:r>
        <w:t xml:space="preserve">Project Continuity Summary</w:t>
      </w:r>
    </w:p>
    <w:p>
      <w:pPr>
        <w:spacing w:after="300"/>
        <w:jc w:val="center"/>
      </w:pPr>
      <w:r>
        <w:t xml:space="preserve">Week 3: Heart Disease Prediction — Advanced Analysis</w:t>
      </w:r>
    </w:p>
    <w:p>
      <w:pPr>
        <w:pStyle w:val="Heading2"/>
        <w:spacing w:after="120" w:before="240"/>
      </w:pPr>
      <w:r>
        <w:t xml:space="preserve">1. Business Problem</w:t>
      </w:r>
    </w:p>
    <w:p>
      <w:pPr>
        <w:spacing w:after="160"/>
      </w:pPr>
      <w:r>
        <w:t xml:space="preserve">ABC healthcare provider (simulated) wants to identify patients likely to develop heart disease using routinely collected clinical data, to support earlier screening and intervention.</w:t>
      </w:r>
    </w:p>
    <w:p>
      <w:pPr>
        <w:pStyle w:val="Heading2"/>
        <w:spacing w:after="120" w:before="240"/>
      </w:pPr>
      <w:r>
        <w:t xml:space="preserve">2. Project Objective</w:t>
      </w:r>
    </w:p>
    <w:p>
      <w:pPr>
        <w:spacing w:after="160"/>
      </w:pPr>
      <w:r>
        <w:t xml:space="preserve">Prepare and analyze the Heart Disease Prediction dataset to build toward a predictive model that can support clinical decision-making around heart disease risk.</w:t>
      </w:r>
    </w:p>
    <w:p>
      <w:pPr>
        <w:pStyle w:val="Heading2"/>
        <w:spacing w:after="120" w:before="240"/>
      </w:pPr>
      <w:r>
        <w:t xml:space="preserve">3. Target Variable</w:t>
      </w:r>
    </w:p>
    <w:p>
      <w:pPr>
        <w:spacing w:after="160"/>
      </w:pPr>
      <w:r>
        <w:t xml:space="preserve">HeartDisease — a binary indicator (1 = disease, 0 = no disease), making this a binary classification problem.</w:t>
      </w:r>
    </w:p>
    <w:p>
      <w:pPr>
        <w:pStyle w:val="Heading2"/>
        <w:spacing w:after="120" w:before="240"/>
      </w:pPr>
      <w:r>
        <w:t xml:space="preserve">4. Key Findings from Week 2 (Data Inspection &amp; Initial Cleaning)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contains 918 patient records and 12 clinical features, with no missing values or duplicates detected by standard checks.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Closer inspection revealed hidden missing data: Cholesterol and RestingBP contained biologically impossible zero values (172 and 1 rows respectively), undetectable via isnull() alone.</w:t>
      </w:r>
    </w:p>
    <w:p>
      <w:pPr>
        <w:pStyle w:val="Heading2"/>
        <w:spacing w:after="120" w:before="240"/>
      </w:pPr>
      <w:r>
        <w:t xml:space="preserve">5. Major Cleaning and Preprocessing Actions Completed in Week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 values in Cholesterol and RestingBP were treated as missing and filled with the column median.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variables were encoded (Label Encoding for binary fields, One-Hot Encoding for multi-category fields).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Continuous numeric fields were scaled using StandardScaler.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Outliers were identified via the IQR method (41 in RestingBP, 41 in Cholesterol, 16 in Oldpeak) and deliberately retained due to their clinical relevance.</w:t>
      </w:r>
    </w:p>
    <w:p>
      <w:pPr>
        <w:pStyle w:val="Heading2"/>
        <w:spacing w:after="120" w:before="240"/>
      </w:pPr>
      <w:r>
        <w:t xml:space="preserve">6. Remaining Questions Addressed in Week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clinical variables are statistically significantly associated with heart disease, not just visually correlated?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there meaningful interaction effects or ratios between variables that could improve a future predictive model?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any features redundant enough to justify removal before modelling, and does model-based evidence agree with correlation-based evidence?</w:t>
      </w:r>
    </w:p>
    <w:p>
      <w:pPr>
        <w:pStyle w:val="Heading2"/>
        <w:spacing w:after="120" w:before="240"/>
      </w:pPr>
      <w:r>
        <w:t xml:space="preserve">7. How Week 3 Builds on Previous Work</w:t>
      </w:r>
    </w:p>
    <w:p>
      <w:pPr>
        <w:spacing w:after="160"/>
      </w:pPr>
      <w:r>
        <w:t xml:space="preserve">Week 3 does not repeat Week 2's cleaning process. Instead, it starts from the verified pre-encoding, pre-scaling cleaned dataset and moves deeper: advanced exploratory analysis (13 visualizations across distribution, categorical, bivariate, multivariate, and feature-evaluation views), five formal statistical hypothesis tests, three new engineered features grounded in the statistical findings, and a two-method feature evaluation (correlation analysis plus a preliminary Random Forest importance check). The output is a refined dataset that will serve as the direct foundation for Week 4 machine learning model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2026-08-23T08:02:09.513Z</dcterms:created>
  <dcterms:modified xsi:type="dcterms:W3CDTF">2026-08-23T08:02:09.524Z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