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AnalystLab Africa — Data Science Internship Programme</w:t>
      </w:r>
    </w:p>
    <w:p>
      <w:pPr>
        <w:pStyle w:val="Title"/>
        <w:spacing w:after="40"/>
        <w:jc w:val="center"/>
      </w:pPr>
      <w:r>
        <w:t xml:space="preserve">Data Preprocessing Report</w:t>
      </w:r>
    </w:p>
    <w:p>
      <w:pPr>
        <w:spacing w:after="300"/>
        <w:jc w:val="center"/>
      </w:pPr>
      <w:r>
        <w:t xml:space="preserve">Week 2: Heart Disease Prediction Dataset</w:t>
      </w:r>
    </w:p>
    <w:p>
      <w:pPr>
        <w:pStyle w:val="Heading2"/>
        <w:spacing w:after="120" w:before="240"/>
      </w:pPr>
      <w:r>
        <w:t xml:space="preserve">1. Business Problem</w:t>
      </w:r>
    </w:p>
    <w:p>
      <w:pPr>
        <w:spacing w:after="160"/>
      </w:pPr>
      <w:r>
        <w:t xml:space="preserve">This project supports a healthcare provider's goal of identifying patients likely to develop heart disease using routinely collected clinical measurements, so that a predictive model can eventually support earlier, more consistent risk screening. Before that model can be built, the underlying data must be cleaned, transformed, and structured correctly — that preparation work is the focus of this report. Full business context is provided in the accompanying Business Understanding Report.</w:t>
      </w:r>
    </w:p>
    <w:p>
      <w:pPr>
        <w:pStyle w:val="Heading2"/>
        <w:spacing w:after="120" w:before="240"/>
      </w:pPr>
      <w:r>
        <w:t xml:space="preserve">2. Dataset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Pr>
          <w:p>
            <w:r>
              <w:rPr>
                <w:b/>
                <w:bCs/>
                <w:color w:val="FFFFFF"/>
              </w:rPr>
              <w:t xml:space="preserve">Property</w:t>
            </w:r>
          </w:p>
        </w:tc>
        <w:tc>
          <w:tcPr>
            <w:tcW w:type="dxa" w:w="4500"/>
            <w:shd w:fill="1F4E79" w:val="clear"/>
          </w:tcPr>
          <w:p>
            <w:r>
              <w:rPr>
                <w:b/>
                <w:bCs/>
                <w:color w:val="FFFFFF"/>
              </w:rPr>
              <w:t xml:space="preserve">Value</w:t>
            </w:r>
          </w:p>
        </w:tc>
      </w:tr>
      <w:tr>
        <w:tc>
          <w:tcPr>
            <w:tcW w:type="dxa" w:w="4500"/>
          </w:tcPr>
          <w:p>
            <w:r>
              <w:rPr>
                <w:b w:val="false"/>
                <w:bCs w:val="false"/>
                <w:color w:val="000000"/>
              </w:rPr>
              <w:t xml:space="preserve">Rows (patients)</w:t>
            </w:r>
          </w:p>
        </w:tc>
        <w:tc>
          <w:tcPr>
            <w:tcW w:type="dxa" w:w="4500"/>
          </w:tcPr>
          <w:p>
            <w:r>
              <w:rPr>
                <w:b w:val="false"/>
                <w:bCs w:val="false"/>
                <w:color w:val="000000"/>
              </w:rPr>
              <w:t xml:space="preserve">918</w:t>
            </w:r>
          </w:p>
        </w:tc>
      </w:tr>
      <w:tr>
        <w:tc>
          <w:tcPr>
            <w:tcW w:type="dxa" w:w="4500"/>
          </w:tcPr>
          <w:p>
            <w:r>
              <w:rPr>
                <w:b w:val="false"/>
                <w:bCs w:val="false"/>
                <w:color w:val="000000"/>
              </w:rPr>
              <w:t xml:space="preserve">Columns</w:t>
            </w:r>
          </w:p>
        </w:tc>
        <w:tc>
          <w:tcPr>
            <w:tcW w:type="dxa" w:w="4500"/>
          </w:tcPr>
          <w:p>
            <w:r>
              <w:rPr>
                <w:b w:val="false"/>
                <w:bCs w:val="false"/>
                <w:color w:val="000000"/>
              </w:rPr>
              <w:t xml:space="preserve">12</w:t>
            </w:r>
          </w:p>
        </w:tc>
      </w:tr>
      <w:tr>
        <w:tc>
          <w:tcPr>
            <w:tcW w:type="dxa" w:w="4500"/>
          </w:tcPr>
          <w:p>
            <w:r>
              <w:rPr>
                <w:b w:val="false"/>
                <w:bCs w:val="false"/>
                <w:color w:val="000000"/>
              </w:rPr>
              <w:t xml:space="preserve">Missing values (via isnull())</w:t>
            </w:r>
          </w:p>
        </w:tc>
        <w:tc>
          <w:tcPr>
            <w:tcW w:type="dxa" w:w="4500"/>
          </w:tcPr>
          <w:p>
            <w:r>
              <w:rPr>
                <w:b w:val="false"/>
                <w:bCs w:val="false"/>
                <w:color w:val="000000"/>
              </w:rPr>
              <w:t xml:space="preserve">0</w:t>
            </w:r>
          </w:p>
        </w:tc>
      </w:tr>
      <w:tr>
        <w:tc>
          <w:tcPr>
            <w:tcW w:type="dxa" w:w="4500"/>
          </w:tcPr>
          <w:p>
            <w:r>
              <w:rPr>
                <w:b w:val="false"/>
                <w:bCs w:val="false"/>
                <w:color w:val="000000"/>
              </w:rPr>
              <w:t xml:space="preserve">Duplicate rows</w:t>
            </w:r>
          </w:p>
        </w:tc>
        <w:tc>
          <w:tcPr>
            <w:tcW w:type="dxa" w:w="4500"/>
          </w:tcPr>
          <w:p>
            <w:r>
              <w:rPr>
                <w:b w:val="false"/>
                <w:bCs w:val="false"/>
                <w:color w:val="000000"/>
              </w:rPr>
              <w:t xml:space="preserve">0</w:t>
            </w:r>
          </w:p>
        </w:tc>
      </w:tr>
      <w:tr>
        <w:tc>
          <w:tcPr>
            <w:tcW w:type="dxa" w:w="4500"/>
          </w:tcPr>
          <w:p>
            <w:r>
              <w:rPr>
                <w:b w:val="false"/>
                <w:bCs w:val="false"/>
                <w:color w:val="000000"/>
              </w:rPr>
              <w:t xml:space="preserve">Target variable</w:t>
            </w:r>
          </w:p>
        </w:tc>
        <w:tc>
          <w:tcPr>
            <w:tcW w:type="dxa" w:w="4500"/>
          </w:tcPr>
          <w:p>
            <w:r>
              <w:rPr>
                <w:b w:val="false"/>
                <w:bCs w:val="false"/>
                <w:color w:val="000000"/>
              </w:rPr>
              <w:t xml:space="preserve">HeartDisease (1 = disease, 0 = no disease)</w:t>
            </w:r>
          </w:p>
        </w:tc>
      </w:tr>
    </w:tbl>
    <w:p>
      <w:pPr>
        <w:spacing w:after="160"/>
      </w:pPr>
      <w:r>
        <w:t xml:space="preserve">On the surface, the dataset appeared complete: standard missing-value and duplicate checks returned zero. However, closer inspection of the summary statistics revealed hidden missing data, described below.</w:t>
      </w:r>
    </w:p>
    <w:p>
      <w:pPr>
        <w:pStyle w:val="Heading2"/>
        <w:spacing w:after="120" w:before="240"/>
      </w:pPr>
      <w:r>
        <w:t xml:space="preserve">3. Data Cleaning</w:t>
      </w:r>
    </w:p>
    <w:p>
      <w:pPr>
        <w:pStyle w:val="Heading3"/>
        <w:spacing w:after="80" w:before="160"/>
      </w:pPr>
      <w:r>
        <w:t xml:space="preserve">3.1 Hidden Missing Values</w:t>
      </w:r>
    </w:p>
    <w:p>
      <w:pPr>
        <w:spacing w:after="160"/>
      </w:pPr>
      <w:r>
        <w:t xml:space="preserve">The Cholesterol column had a minimum value of 0, and RestingBP also had a minimum of 0. Neither is medically possible for a living patient, indicating these zeros were used to represent missing measurements rather than true readings. This was not caught by isnull().sum() because the cells were not blank — they contained an invalid placeholder value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rPr>
              <w:t xml:space="preserve">Column</w:t>
            </w:r>
          </w:p>
        </w:tc>
        <w:tc>
          <w:tcPr>
            <w:tcW w:type="dxa" w:w="3000"/>
            <w:shd w:fill="1F4E79" w:val="clear"/>
          </w:tcPr>
          <w:p>
            <w:r>
              <w:rPr>
                <w:b/>
                <w:bCs/>
                <w:color w:val="FFFFFF"/>
              </w:rPr>
              <w:t xml:space="preserve">Rows affected</w:t>
            </w:r>
          </w:p>
        </w:tc>
        <w:tc>
          <w:tcPr>
            <w:tcW w:type="dxa" w:w="3000"/>
            <w:shd w:fill="1F4E79" w:val="clear"/>
          </w:tcPr>
          <w:p>
            <w:r>
              <w:rPr>
                <w:b/>
                <w:bCs/>
                <w:color w:val="FFFFFF"/>
              </w:rPr>
              <w:t xml:space="preserve">Action taken</w:t>
            </w:r>
          </w:p>
        </w:tc>
      </w:tr>
      <w:tr>
        <w:tc>
          <w:tcPr>
            <w:tcW w:type="dxa" w:w="3000"/>
          </w:tcPr>
          <w:p>
            <w:r>
              <w:rPr>
                <w:b w:val="false"/>
                <w:bCs w:val="false"/>
                <w:color w:val="000000"/>
              </w:rPr>
              <w:t xml:space="preserve">Cholesterol</w:t>
            </w:r>
          </w:p>
        </w:tc>
        <w:tc>
          <w:tcPr>
            <w:tcW w:type="dxa" w:w="3000"/>
          </w:tcPr>
          <w:p>
            <w:r>
              <w:rPr>
                <w:b w:val="false"/>
                <w:bCs w:val="false"/>
                <w:color w:val="000000"/>
              </w:rPr>
              <w:t xml:space="preserve">172 (~19% of dataset)</w:t>
            </w:r>
          </w:p>
        </w:tc>
        <w:tc>
          <w:tcPr>
            <w:tcW w:type="dxa" w:w="3000"/>
          </w:tcPr>
          <w:p>
            <w:r>
              <w:rPr>
                <w:b w:val="false"/>
                <w:bCs w:val="false"/>
                <w:color w:val="000000"/>
              </w:rPr>
              <w:t xml:space="preserve">Replaced 0 with NaN, then filled with the column median</w:t>
            </w:r>
          </w:p>
        </w:tc>
      </w:tr>
      <w:tr>
        <w:tc>
          <w:tcPr>
            <w:tcW w:type="dxa" w:w="3000"/>
          </w:tcPr>
          <w:p>
            <w:r>
              <w:rPr>
                <w:b w:val="false"/>
                <w:bCs w:val="false"/>
                <w:color w:val="000000"/>
              </w:rPr>
              <w:t xml:space="preserve">RestingBP</w:t>
            </w:r>
          </w:p>
        </w:tc>
        <w:tc>
          <w:tcPr>
            <w:tcW w:type="dxa" w:w="3000"/>
          </w:tcPr>
          <w:p>
            <w:r>
              <w:rPr>
                <w:b w:val="false"/>
                <w:bCs w:val="false"/>
                <w:color w:val="000000"/>
              </w:rPr>
              <w:t xml:space="preserve">1</w:t>
            </w:r>
          </w:p>
        </w:tc>
        <w:tc>
          <w:tcPr>
            <w:tcW w:type="dxa" w:w="3000"/>
          </w:tcPr>
          <w:p>
            <w:r>
              <w:rPr>
                <w:b w:val="false"/>
                <w:bCs w:val="false"/>
                <w:color w:val="000000"/>
              </w:rPr>
              <w:t xml:space="preserve">Replaced 0 with NaN, then filled with the column median</w:t>
            </w:r>
          </w:p>
        </w:tc>
      </w:tr>
    </w:tbl>
    <w:p>
      <w:pPr>
        <w:spacing w:after="160"/>
      </w:pPr>
      <w:r>
        <w:t xml:space="preserve">The median was used rather than the mean because both fields can be affected by outliers (e.g. unusually high cholesterol readings), and the median is more robust to that skew, giving a more representative 'typical' value to impute.</w:t>
      </w:r>
    </w:p>
    <w:p>
      <w:pPr>
        <w:pStyle w:val="Heading3"/>
        <w:spacing w:after="80" w:before="160"/>
      </w:pPr>
      <w:r>
        <w:t xml:space="preserve">3.2 Duplicates</w:t>
      </w:r>
    </w:p>
    <w:p>
      <w:pPr>
        <w:spacing w:after="160"/>
      </w:pPr>
      <w:r>
        <w:t xml:space="preserve">df.drop_duplicates() was applied as a safeguard; no duplicate rows were found in this dataset.</w:t>
      </w:r>
    </w:p>
    <w:p>
      <w:pPr>
        <w:pStyle w:val="Heading3"/>
        <w:spacing w:after="80" w:before="160"/>
      </w:pPr>
      <w:r>
        <w:t xml:space="preserve">3.3 Data Type Validation</w:t>
      </w:r>
    </w:p>
    <w:p>
      <w:pPr>
        <w:spacing w:after="160"/>
      </w:pPr>
      <w:r>
        <w:t xml:space="preserve">All numeric fields (Age, RestingBP, Cholesterol, MaxHR, Oldpeak) were already stored as int64/float64, and the binary fields (FastingBS, HeartDisease) were already 0/1 integers, so no type correction was required. Categorical fields (Sex, ChestPainType, RestingECG, ExerciseAngina, ST_Slope) were confirmed as text and handled in the Feature Encoding step below.</w:t>
      </w:r>
    </w:p>
    <w:p>
      <w:pPr>
        <w:pStyle w:val="Heading2"/>
        <w:spacing w:after="120" w:before="240"/>
      </w:pPr>
      <w:r>
        <w:t xml:space="preserve">4. Feature Engineering</w:t>
      </w:r>
    </w:p>
    <w:p>
      <w:pPr>
        <w:spacing w:after="160"/>
      </w:pPr>
      <w:r>
        <w:t xml:space="preserve">A new feature, AgeGroup, was created by binning Age into three categories: Young (≤40), Middle-aged (41–55), and Senior (56+). This was included because heart disease risk does not necessarily increase linearly with age, and grouping can sometimes surface patterns a continuous variable obscures.</w:t>
      </w:r>
    </w:p>
    <w:p>
      <w:pPr>
        <w:spacing w:after="160"/>
      </w:pPr>
      <w:r>
        <w:t xml:space="preserve">No columns were removed as irrelevant: unlike the Week 1 dataset, every column in this clinical dataset has a plausible medical relationship to heart disease risk, so all were retained for the feature selection stage (Part 4) to evaluate statistically rather than being dropped on assumption. Two columns were renamed for clarity: FastingBS to FastingBloodSugarHigh, and ExerciseAngina to ExerciseInducedAngina.</w:t>
      </w:r>
    </w:p>
    <w:p>
      <w:pPr>
        <w:pStyle w:val="Heading2"/>
        <w:spacing w:after="120" w:before="240"/>
      </w:pPr>
      <w:r>
        <w:t xml:space="preserve">5. Feature Encoding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rPr>
              <w:t xml:space="preserve">Column(s)</w:t>
            </w:r>
          </w:p>
        </w:tc>
        <w:tc>
          <w:tcPr>
            <w:tcW w:type="dxa" w:w="3000"/>
            <w:shd w:fill="1F4E79" w:val="clear"/>
          </w:tcPr>
          <w:p>
            <w:r>
              <w:rPr>
                <w:b/>
                <w:bCs/>
                <w:color w:val="FFFFFF"/>
              </w:rPr>
              <w:t xml:space="preserve">Technique</w:t>
            </w:r>
          </w:p>
        </w:tc>
        <w:tc>
          <w:tcPr>
            <w:tcW w:type="dxa" w:w="3000"/>
            <w:shd w:fill="1F4E79" w:val="clear"/>
          </w:tcPr>
          <w:p>
            <w:r>
              <w:rPr>
                <w:b/>
                <w:bCs/>
                <w:color w:val="FFFFFF"/>
              </w:rPr>
              <w:t xml:space="preserve">Reason</w:t>
            </w:r>
          </w:p>
        </w:tc>
      </w:tr>
      <w:tr>
        <w:tc>
          <w:tcPr>
            <w:tcW w:type="dxa" w:w="3000"/>
          </w:tcPr>
          <w:p>
            <w:r>
              <w:rPr>
                <w:b w:val="false"/>
                <w:bCs w:val="false"/>
                <w:color w:val="000000"/>
              </w:rPr>
              <w:t xml:space="preserve">Sex, ExerciseInducedAngina</w:t>
            </w:r>
          </w:p>
        </w:tc>
        <w:tc>
          <w:tcPr>
            <w:tcW w:type="dxa" w:w="3000"/>
          </w:tcPr>
          <w:p>
            <w:r>
              <w:rPr>
                <w:b w:val="false"/>
                <w:bCs w:val="false"/>
                <w:color w:val="000000"/>
              </w:rPr>
              <w:t xml:space="preserve">Label Encoding</w:t>
            </w:r>
          </w:p>
        </w:tc>
        <w:tc>
          <w:tcPr>
            <w:tcW w:type="dxa" w:w="3000"/>
          </w:tcPr>
          <w:p>
            <w:r>
              <w:rPr>
                <w:b w:val="false"/>
                <w:bCs w:val="false"/>
                <w:color w:val="000000"/>
              </w:rPr>
              <w:t xml:space="preserve">Binary categories (2 values) — no false ordinal relationship is introduced by encoding as 0/1</w:t>
            </w:r>
          </w:p>
        </w:tc>
      </w:tr>
      <w:tr>
        <w:tc>
          <w:tcPr>
            <w:tcW w:type="dxa" w:w="3000"/>
          </w:tcPr>
          <w:p>
            <w:r>
              <w:rPr>
                <w:b w:val="false"/>
                <w:bCs w:val="false"/>
                <w:color w:val="000000"/>
              </w:rPr>
              <w:t xml:space="preserve">ChestPainType, RestingECG, ST_Slope, AgeGroup</w:t>
            </w:r>
          </w:p>
        </w:tc>
        <w:tc>
          <w:tcPr>
            <w:tcW w:type="dxa" w:w="3000"/>
          </w:tcPr>
          <w:p>
            <w:r>
              <w:rPr>
                <w:b w:val="false"/>
                <w:bCs w:val="false"/>
                <w:color w:val="000000"/>
              </w:rPr>
              <w:t xml:space="preserve">One-Hot Encoding</w:t>
            </w:r>
          </w:p>
        </w:tc>
        <w:tc>
          <w:tcPr>
            <w:tcW w:type="dxa" w:w="3000"/>
          </w:tcPr>
          <w:p>
            <w:r>
              <w:rPr>
                <w:b w:val="false"/>
                <w:bCs w:val="false"/>
                <w:color w:val="000000"/>
              </w:rPr>
              <w:t xml:space="preserve">3+ unordered categories — avoids implying a false numerical order between category values</w:t>
            </w:r>
          </w:p>
        </w:tc>
      </w:tr>
    </w:tbl>
    <w:p>
      <w:pPr>
        <w:pStyle w:val="Heading2"/>
        <w:spacing w:after="120" w:before="240"/>
      </w:pPr>
      <w:r>
        <w:t xml:space="preserve">6. Feature Scaling</w:t>
      </w:r>
    </w:p>
    <w:p>
      <w:pPr>
        <w:spacing w:after="160"/>
      </w:pPr>
      <w:r>
        <w:t xml:space="preserve">StandardScaler was applied to the continuous numeric columns: Age, RestingBP, Cholesterol, MaxHR, and Oldpeak. This transforms each column to a mean of 0 and standard deviation of 1. StandardScaler was chosen over MinMaxScaler because these clinical measurements are approximately normally distributed rather than bounded to a fixed range, and over RobustScaler because, after the Section 3.1 cleaning step, the extreme distortion from invalid zero-values had already been addressed.</w:t>
      </w:r>
    </w:p>
    <w:p>
      <w:pPr>
        <w:pStyle w:val="Heading2"/>
        <w:spacing w:after="120" w:before="240"/>
      </w:pPr>
      <w:r>
        <w:t xml:space="preserve">7. Outlier Detection</w:t>
      </w:r>
    </w:p>
    <w:p>
      <w:pPr>
        <w:spacing w:after="160"/>
      </w:pPr>
      <w:r>
        <w:t xml:space="preserve">Outliers were assessed visually using boxplots and numerically using the IQR (Interquartile Range) method, identifying 41 outliers in RestingBP, 41 in Cholesterol, and 16 in Oldpeak. Rather than removing flagged outliers, the decision was made to retain them: unlike data-entry errors, unusually high cholesterol or blood pressure readings are often clinically real and are precisely the kind of extreme values a heart-disease prediction model needs to learn from, rather than exclude.</w:t>
      </w:r>
    </w:p>
    <w:p>
      <w:pPr>
        <w:pStyle w:val="Heading2"/>
        <w:spacing w:after="120" w:before="240"/>
      </w:pPr>
      <w:r>
        <w:t xml:space="preserve">8. Feature Selection</w:t>
      </w:r>
    </w:p>
    <w:p>
      <w:pPr>
        <w:spacing w:after="160"/>
      </w:pPr>
      <w:r>
        <w:t xml:space="preserve">A correlation heatmap was generated across all numeric and encoded features, followed by a specific check of each feature's correlation with the HeartDisease target. ST_Slope_Flat (0.55), ExerciseInducedAngina (0.49), and Oldpeak (0.40) showed the strongest positive correlation with HeartDisease, while ST_Slope_Up (-0.62) and MaxHR (-0.40) showed the strongest negative correlation — identifying these as the most relevant predictors.</w:t>
      </w:r>
    </w:p>
    <w:p>
      <w:pPr>
        <w:spacing w:after="160"/>
      </w:pPr>
      <w:r>
        <w:t xml:space="preserve">Two pairs of engineered/encoded features were found to be highly correlated with each other rather than with the target: ST_Slope_Flat and ST_Slope_Up (-0.87), and AgeGroup_Senior and AgeGroup_Middle-aged (-0.82) — both expected, since each pair originates from One-Hot Encoding the same source column. More notably, Age and AgeGroup_Senior were also highly correlated (0.79), indicating AgeGroup adds limited new information beyond Age itself and is a candidate for removal in a future modelling step to keep the feature set leaner. No features were forcibly removed at this stage, as tree-based and regularised models can generally tolerate mild multicollinearity.</w:t>
      </w:r>
    </w:p>
    <w:p>
      <w:pPr>
        <w:pStyle w:val="Heading2"/>
        <w:spacing w:after="120" w:before="240"/>
      </w:pPr>
      <w:r>
        <w:t xml:space="preserve">9. Final Machine-Learning-Ready Dataset</w:t>
      </w:r>
    </w:p>
    <w:p>
      <w:pPr>
        <w:spacing w:after="160"/>
      </w:pPr>
      <w:r>
        <w:t xml:space="preserve">Two output files were produced: a Cleaned Dataset (post data-cleaning, pre-encoding — heart_cleaned.csv) and a final Machine-Learning-Ready Dataset (post encoding and scaling — heart_ml_ready.csv). The final dataset contains no missing or invalid values, all categorical variables converted to numeric form, and all continuous numeric features scaled to a comparable range, making it suitable for training a machine learning model in the next phase of this project.</w:t>
      </w:r>
    </w:p>
    <w:p>
      <w:pPr>
        <w:pStyle w:val="Heading2"/>
        <w:spacing w:after="120" w:before="240"/>
      </w:pPr>
      <w:r>
        <w:t xml:space="preserve">10. Key Observations</w:t>
      </w:r>
    </w:p>
    <w:p>
      <w:pPr>
        <w:pStyle w:val="ListParagraph"/>
        <w:numPr>
          <w:ilvl w:val="0"/>
          <w:numId w:val="1"/>
        </w:numPr>
        <w:spacing w:after="80"/>
      </w:pPr>
      <w:r>
        <w:t xml:space="preserve">The most significant preprocessing finding was the hidden missing data disguised as zero values in Cholesterol (19% of records) and RestingBP — a reminder that missing-value checks must go beyond isnull() alone.</w:t>
      </w:r>
    </w:p>
    <w:p>
      <w:pPr>
        <w:pStyle w:val="ListParagraph"/>
        <w:numPr>
          <w:ilvl w:val="0"/>
          <w:numId w:val="1"/>
        </w:numPr>
        <w:spacing w:after="80"/>
      </w:pPr>
      <w:r>
        <w:t xml:space="preserve">The dataset required no removal of irrelevant columns, unlike typical HR/business datasets, since every clinical field has plausible medical relevance.</w:t>
      </w:r>
    </w:p>
    <w:p>
      <w:pPr>
        <w:pStyle w:val="ListParagraph"/>
        <w:numPr>
          <w:ilvl w:val="0"/>
          <w:numId w:val="1"/>
        </w:numPr>
        <w:spacing w:after="80"/>
      </w:pPr>
      <w:r>
        <w:t xml:space="preserve">Outliers in clinical measurements were treated as meaningful signal rather than noise, given the medical context.</w:t>
      </w:r>
    </w:p>
    <w:p>
      <w:pPr>
        <w:pStyle w:val="ListParagraph"/>
        <w:numPr>
          <w:ilvl w:val="0"/>
          <w:numId w:val="1"/>
        </w:numPr>
        <w:spacing w:after="80"/>
      </w:pPr>
      <w:r>
        <w:t xml:space="preserve">Both Label Encoding and One-Hot Encoding were needed in the same dataset, applied selectively based on whether a category was binary or multi-class.</w:t>
      </w:r>
    </w:p>
    <w:p>
      <w:pPr>
        <w:pStyle w:val="ListParagraph"/>
        <w:numPr>
          <w:ilvl w:val="0"/>
          <w:numId w:val="1"/>
        </w:numPr>
        <w:spacing w:after="80"/>
      </w:pPr>
      <w:r>
        <w:t xml:space="preserve">Male patients (Sex = 1) showed a notably higher proportion of heart disease diagnoses than female patients in this dataset, consistent with Sex's positive correlation with the target.</w:t>
      </w:r>
    </w:p>
    <w:p>
      <w:pPr>
        <w:pStyle w:val="Heading2"/>
        <w:spacing w:after="120" w:before="240"/>
      </w:pPr>
      <w:r>
        <w:t xml:space="preserve">11. Justification Summary — Why Each Method Was Chosen</w:t>
      </w:r>
    </w:p>
    <w:p>
      <w:pPr>
        <w:pStyle w:val="ListParagraph"/>
        <w:numPr>
          <w:ilvl w:val="0"/>
          <w:numId w:val="1"/>
        </w:numPr>
        <w:spacing w:after="80"/>
      </w:pPr>
      <w:r>
        <w:t xml:space="preserve">Median imputation (not mean): more robust to skew from outlier readings, giving a realistic typical value for missing measurements.</w:t>
      </w:r>
    </w:p>
    <w:p>
      <w:pPr>
        <w:pStyle w:val="ListParagraph"/>
        <w:numPr>
          <w:ilvl w:val="0"/>
          <w:numId w:val="1"/>
        </w:numPr>
        <w:spacing w:after="80"/>
      </w:pPr>
      <w:r>
        <w:t xml:space="preserve">Label Encoding for binary fields: avoids implying a false order between exactly two categories.</w:t>
      </w:r>
    </w:p>
    <w:p>
      <w:pPr>
        <w:pStyle w:val="ListParagraph"/>
        <w:numPr>
          <w:ilvl w:val="0"/>
          <w:numId w:val="1"/>
        </w:numPr>
        <w:spacing w:after="80"/>
      </w:pPr>
      <w:r>
        <w:t xml:space="preserve">One-Hot Encoding for multi-class fields: avoids implying a false numeric ranking between three or more unordered categories.</w:t>
      </w:r>
    </w:p>
    <w:p>
      <w:pPr>
        <w:pStyle w:val="ListParagraph"/>
        <w:numPr>
          <w:ilvl w:val="0"/>
          <w:numId w:val="1"/>
        </w:numPr>
        <w:spacing w:after="80"/>
      </w:pPr>
      <w:r>
        <w:t xml:space="preserve">StandardScaler over MinMax/RobustScaler: appropriate for approximately normally distributed clinical measurements, especially after invalid zero-values were already cleaned in Section 3.1.</w:t>
      </w:r>
    </w:p>
    <w:p>
      <w:pPr>
        <w:pStyle w:val="ListParagraph"/>
        <w:numPr>
          <w:ilvl w:val="0"/>
          <w:numId w:val="1"/>
        </w:numPr>
        <w:spacing w:after="80"/>
      </w:pPr>
      <w:r>
        <w:t xml:space="preserve">Retaining rather than removing outliers: clinically extreme readings are meaningful signal for heart disease risk, not data-entry noise.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2026-08-16T07:14:26.592Z</dcterms:created>
  <dcterms:modified xsi:type="dcterms:W3CDTF">2026-08-16T07:14:26.592Z</dcterms:modified>
</cp:coreProperties>
</file>

<file path=docProps/custom.xml><?xml version="1.0" encoding="utf-8"?>
<Properties xmlns="http://schemas.openxmlformats.org/officeDocument/2006/custom-properties" xmlns:vt="http://schemas.openxmlformats.org/officeDocument/2006/docPropsVTypes"/>
</file>