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Розрахунок багатопрогінної шарнірної балки (балка Гербера)</w:t>
      </w:r>
    </w:p>
    <w:p>
      <w:r>
        <w:rPr>
          <w:b w:val="0"/>
          <w:i/>
          <w:sz w:val="26"/>
        </w:rPr>
        <w:t>Завдання: із заданої нерозрізної балки утворити статично визначену систему шарнірних балок (поверхову схему), визначити опорні реакції, побудувати епюри M, Q та лінії впливу.</w:t>
      </w:r>
    </w:p>
    <w:p>
      <w:pPr>
        <w:spacing w:before="280" w:after="120"/>
      </w:pPr>
      <w:r>
        <w:rPr>
          <w:b/>
          <w:color w:val="1F4E79"/>
          <w:sz w:val="28"/>
        </w:rPr>
        <w:t>1. Вихідні дані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Позначення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Зосереджена сила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P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P }} кН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Розподілене навантаження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q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q }} кН/м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Зосереджений момент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M }} кН·м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Довжина прольоту 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l₁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l1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Довжина прольоту 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l₂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l2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Довжина прольоту 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l₃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l3 }} м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8"/>
        </w:rPr>
        <w:t>2. Кінематичний аналіз та поверхова схема</w:t>
      </w:r>
    </w:p>
    <w:p>
      <w:pPr>
        <w:ind w:firstLine="567"/>
      </w:pPr>
      <w:r>
        <w:rPr>
          <w:b w:val="0"/>
          <w:i w:val="0"/>
          <w:sz w:val="26"/>
        </w:rPr>
        <w:t>З нерозрізної балки сформовано варіанти статично визначених багатопрогінних шарнірних балок. Для подальшого розрахунку обрано варіант № {{ variant }}.</w:t>
      </w:r>
    </w:p>
    <w:p>
      <w:pPr>
        <w:ind w:firstLine="567"/>
      </w:pPr>
      <w:r>
        <w:rPr>
          <w:b w:val="0"/>
          <w:i w:val="0"/>
          <w:sz w:val="26"/>
        </w:rPr>
        <w:t>Кількість невідомих реакцій: {{ unknowns_count }}. Кількість рівнянь статики та умов у проміжних шарнірах: {{ equations_count }}. Висновок: {{ determinacy_status }}.</w:t>
      </w:r>
    </w:p>
    <w:p>
      <w:pPr>
        <w:jc w:val="center"/>
      </w:pPr>
      <w:r>
        <w:rPr>
          <w:i/>
          <w:color w:val="606060"/>
          <w:sz w:val="24"/>
        </w:rPr>
        <w:t>{{ scheme_image }}</w:t>
      </w:r>
    </w:p>
    <w:p>
      <w:pPr>
        <w:spacing w:before="280" w:after="120"/>
      </w:pPr>
      <w:r>
        <w:rPr>
          <w:b/>
          <w:color w:val="1F4E79"/>
          <w:sz w:val="28"/>
        </w:rPr>
        <w:t>3. Визначення опорних реакцій</w:t>
      </w:r>
    </w:p>
    <w:p>
      <w:pPr>
        <w:ind w:firstLine="567"/>
      </w:pPr>
      <w:r>
        <w:rPr>
          <w:b w:val="0"/>
          <w:i w:val="0"/>
          <w:sz w:val="26"/>
        </w:rPr>
        <w:t>Розрахунок виконується послідовно для кожної простої балки поверхової схеми, починаючи з підвісних елементів.</w:t>
      </w:r>
    </w:p>
    <w:p>
      <w:r>
        <w:rPr>
          <w:b w:val="0"/>
          <w:i w:val="0"/>
          <w:sz w:val="26"/>
        </w:rPr>
        <w:t>{% for span in spans %}</w:t>
      </w:r>
    </w:p>
    <w:p>
      <w:r>
        <w:rPr>
          <w:b w:val="0"/>
          <w:i w:val="0"/>
          <w:sz w:val="26"/>
        </w:rPr>
        <w:t xml:space="preserve">Розглядаю балку </w:t>
      </w:r>
      <w:r>
        <w:rPr>
          <w:b/>
          <w:i w:val="0"/>
          <w:sz w:val="26"/>
        </w:rPr>
        <w:t>{{ span.name }}</w:t>
      </w:r>
      <w:r>
        <w:rPr>
          <w:b w:val="0"/>
          <w:i w:val="0"/>
          <w:sz w:val="26"/>
        </w:rPr>
        <w:t>: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{{ span.point1 }}</w:t>
      </w:r>
      <w:r>
        <w:rPr>
          <w:b w:val="0"/>
          <w:i w:val="0"/>
          <w:sz w:val="26"/>
        </w:rPr>
        <w:t xml:space="preserve"> = 0  →  </w:t>
      </w:r>
      <w:r>
        <w:rPr>
          <w:b w:val="0"/>
          <w:i/>
          <w:sz w:val="26"/>
        </w:rPr>
        <w:t>{{ span.reaction1_name }}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span.reaction1_value }} кН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{{ span.point2 }}</w:t>
      </w:r>
      <w:r>
        <w:rPr>
          <w:b w:val="0"/>
          <w:i w:val="0"/>
          <w:sz w:val="26"/>
        </w:rPr>
        <w:t xml:space="preserve"> = 0  →  </w:t>
      </w:r>
      <w:r>
        <w:rPr>
          <w:b w:val="0"/>
          <w:i/>
          <w:sz w:val="26"/>
        </w:rPr>
        <w:t>{{ span.reaction2_name }}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span.reaction2_value }} кН</w:t>
      </w:r>
    </w:p>
    <w:p>
      <w:pPr>
        <w:ind w:firstLine="567"/>
      </w:pPr>
      <w:r>
        <w:rPr>
          <w:b w:val="0"/>
          <w:i w:val="0"/>
          <w:sz w:val="26"/>
        </w:rPr>
        <w:t>Перевірка: ΣFy = {{ span.check_Y }} ≈ 0</w:t>
      </w:r>
    </w:p>
    <w:p>
      <w:r>
        <w:t>{% endfor %}</w:t>
      </w:r>
    </w:p>
    <w:p>
      <w:pPr>
        <w:spacing w:before="280" w:after="120"/>
      </w:pPr>
      <w:r>
        <w:rPr>
          <w:b/>
          <w:color w:val="1F4E79"/>
          <w:sz w:val="28"/>
        </w:rPr>
        <w:t>4. Побудова епюр M та Q</w:t>
      </w:r>
    </w:p>
    <w:p>
      <w:pPr>
        <w:jc w:val="center"/>
      </w:pPr>
      <w:r>
        <w:rPr>
          <w:i/>
          <w:color w:val="606060"/>
          <w:sz w:val="24"/>
        </w:rPr>
        <w:t>{{ diagram_image }}</w:t>
      </w:r>
    </w:p>
    <w:p>
      <w:pPr>
        <w:ind w:firstLine="567"/>
      </w:pPr>
      <w:r>
        <w:rPr>
          <w:b w:val="0"/>
          <w:i w:val="0"/>
          <w:sz w:val="26"/>
        </w:rPr>
        <w:t>Загальна перевірка рівноваги балки:</w:t>
      </w:r>
    </w:p>
    <w:p>
      <w:r>
        <w:rPr>
          <w:b w:val="0"/>
          <w:i w:val="0"/>
          <w:sz w:val="26"/>
        </w:rPr>
        <w:t>ΣF</w:t>
      </w:r>
      <w:r>
        <w:rPr>
          <w:b w:val="0"/>
          <w:i w:val="0"/>
          <w:sz w:val="26"/>
          <w:vertAlign w:val="subscript"/>
        </w:rPr>
        <w:t>y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check_Y }}</w:t>
      </w:r>
      <w:r>
        <w:rPr>
          <w:b w:val="0"/>
          <w:i w:val="0"/>
          <w:sz w:val="26"/>
        </w:rPr>
        <w:t xml:space="preserve"> ≈ 0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check_M }}</w:t>
      </w:r>
      <w:r>
        <w:rPr>
          <w:b w:val="0"/>
          <w:i w:val="0"/>
          <w:sz w:val="26"/>
        </w:rPr>
        <w:t xml:space="preserve"> ≈ 0</w:t>
      </w:r>
    </w:p>
    <w:p>
      <w:pPr>
        <w:spacing w:before="280" w:after="120"/>
      </w:pPr>
      <w:r>
        <w:rPr>
          <w:b/>
          <w:color w:val="1F4E79"/>
          <w:sz w:val="28"/>
        </w:rPr>
        <w:t>5. Лінії впливу опорних реакцій та внутрішніх зусиль</w:t>
      </w:r>
    </w:p>
    <w:p>
      <w:pPr>
        <w:ind w:firstLine="567"/>
      </w:pPr>
      <w:r>
        <w:rPr>
          <w:b w:val="0"/>
          <w:i w:val="0"/>
          <w:sz w:val="26"/>
        </w:rPr>
        <w:t>Побудовано лінії впливу для реакцій та зусиль у характерних перерізах.</w:t>
      </w:r>
    </w:p>
    <w:p>
      <w:pPr>
        <w:jc w:val="center"/>
      </w:pPr>
      <w:r>
        <w:rPr>
          <w:i/>
          <w:color w:val="606060"/>
          <w:sz w:val="24"/>
        </w:rPr>
        <w:t>{{ influence_lines_image }}</w:t>
      </w:r>
    </w:p>
    <w:p>
      <w:pPr>
        <w:spacing w:before="280" w:after="120"/>
      </w:pPr>
      <w:r>
        <w:rPr>
          <w:b/>
          <w:color w:val="1F4E79"/>
          <w:sz w:val="28"/>
        </w:rPr>
        <w:t>6. Порівняння результатів (аналітично / за лініями впливу)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Зусилля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Аналітично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 л. впливу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Похибка, 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{% tr for c in comparison %}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{{ loop.index }}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{{ c.name }}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{{ c.analytic }}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{{ c.influence }}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{{ c.error }}</w:t>
            </w:r>
          </w:p>
        </w:tc>
      </w:tr>
    </w:tbl>
    <w:p>
      <w:r>
        <w:rPr>
          <w:sz w:val="20"/>
        </w:rPr>
        <w:t>{% tr endfor %}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