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Розрахунок статично визначеної рами та визначення переміщень</w:t>
      </w:r>
    </w:p>
    <w:p>
      <w:r>
        <w:rPr>
          <w:b w:val="0"/>
          <w:i/>
          <w:sz w:val="26"/>
        </w:rPr>
        <w:t>Завдання: визначити опорні реакції, побудувати епюри M, Q, N для заданої рами та визначити переміщення вказаного перерізу за формулою Мора.</w:t>
      </w:r>
    </w:p>
    <w:p>
      <w:pPr>
        <w:spacing w:before="280" w:after="120"/>
      </w:pPr>
      <w:r>
        <w:rPr>
          <w:b/>
          <w:color w:val="1F4E79"/>
          <w:sz w:val="28"/>
        </w:rPr>
        <w:t>1. Вихідні дані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3213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Позначення</w:t>
            </w:r>
          </w:p>
        </w:tc>
        <w:tc>
          <w:tcPr>
            <w:tcW w:type="dxa" w:w="3213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Значення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Проліт рами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l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L }} 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Висота стійок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h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h }} 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Зосереджена сила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P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P }} кН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Зосереджений момент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M }} кН·м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Розподілене навантаження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q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q }} кН/м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Відношення жорсткостей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Iр / Iст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Ip_Ist }}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Номер перерізу для переміщення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section_num }}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Напрямок шуканого переміщення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/>
                <w:sz w:val="24"/>
              </w:rPr>
              <w:t>{{ disp_direction }}</w:t>
            </w:r>
          </w:p>
        </w:tc>
      </w:tr>
    </w:tbl>
    <w:p>
      <w:pPr>
        <w:spacing w:before="280" w:after="120"/>
      </w:pPr>
      <w:r>
        <w:rPr>
          <w:b/>
          <w:color w:val="1F4E79"/>
          <w:sz w:val="28"/>
        </w:rPr>
        <w:t>2. Визначення опорних реакцій</w:t>
      </w:r>
    </w:p>
    <w:p>
      <w:r>
        <w:rPr>
          <w:b w:val="0"/>
          <w:i w:val="0"/>
          <w:sz w:val="26"/>
        </w:rPr>
        <w:t>ΣM</w:t>
      </w:r>
      <w:r>
        <w:rPr>
          <w:b w:val="0"/>
          <w:i w:val="0"/>
          <w:sz w:val="26"/>
          <w:vertAlign w:val="subscript"/>
        </w:rPr>
        <w:t>A</w:t>
      </w:r>
      <w:r>
        <w:rPr>
          <w:b w:val="0"/>
          <w:i w:val="0"/>
          <w:sz w:val="26"/>
        </w:rPr>
        <w:t xml:space="preserve"> = 0  →  V</w:t>
      </w:r>
      <w:r>
        <w:rPr>
          <w:b w:val="0"/>
          <w:i w:val="0"/>
          <w:sz w:val="26"/>
          <w:vertAlign w:val="subscript"/>
        </w:rPr>
        <w:t>B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Vb }} кН</w:t>
      </w:r>
    </w:p>
    <w:p>
      <w:r>
        <w:rPr>
          <w:b w:val="0"/>
          <w:i w:val="0"/>
          <w:sz w:val="26"/>
        </w:rPr>
        <w:t>ΣM</w:t>
      </w:r>
      <w:r>
        <w:rPr>
          <w:b w:val="0"/>
          <w:i w:val="0"/>
          <w:sz w:val="26"/>
          <w:vertAlign w:val="subscript"/>
        </w:rPr>
        <w:t>B</w:t>
      </w:r>
      <w:r>
        <w:rPr>
          <w:b w:val="0"/>
          <w:i w:val="0"/>
          <w:sz w:val="26"/>
        </w:rPr>
        <w:t xml:space="preserve"> = 0  →  V</w:t>
      </w:r>
      <w:r>
        <w:rPr>
          <w:b w:val="0"/>
          <w:i w:val="0"/>
          <w:sz w:val="26"/>
          <w:vertAlign w:val="subscript"/>
        </w:rPr>
        <w:t>A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Va }} кН</w:t>
      </w:r>
    </w:p>
    <w:p>
      <w:pPr>
        <w:ind w:firstLine="567"/>
      </w:pPr>
      <w:r>
        <w:rPr>
          <w:b w:val="0"/>
          <w:i w:val="0"/>
          <w:sz w:val="26"/>
        </w:rPr>
        <w:t>Розглядаючи рівновагу частини рами відносно проміжного шарніра С:</w:t>
      </w:r>
    </w:p>
    <w:p>
      <w:r>
        <w:rPr>
          <w:b w:val="0"/>
          <w:i w:val="0"/>
          <w:sz w:val="26"/>
        </w:rPr>
        <w:t>ΣM</w:t>
      </w:r>
      <w:r>
        <w:rPr>
          <w:b w:val="0"/>
          <w:i w:val="0"/>
          <w:sz w:val="26"/>
          <w:vertAlign w:val="subscript"/>
        </w:rPr>
        <w:t>C</w:t>
      </w:r>
      <w:r>
        <w:rPr>
          <w:b w:val="0"/>
          <w:i w:val="0"/>
          <w:sz w:val="26"/>
        </w:rPr>
        <w:t>пр = 0  →  N</w:t>
      </w:r>
      <w:r>
        <w:rPr>
          <w:b w:val="0"/>
          <w:i w:val="0"/>
          <w:sz w:val="26"/>
          <w:vertAlign w:val="subscript"/>
        </w:rPr>
        <w:t>зт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Nzt }} кН</w:t>
      </w:r>
      <w:r>
        <w:rPr>
          <w:b w:val="0"/>
          <w:i w:val="0"/>
          <w:sz w:val="26"/>
        </w:rPr>
        <w:t xml:space="preserve">  (зусилля в затяжці)</w:t>
      </w:r>
    </w:p>
    <w:p>
      <w:r>
        <w:rPr>
          <w:b w:val="0"/>
          <w:i w:val="0"/>
          <w:sz w:val="26"/>
        </w:rPr>
        <w:t>ΣM</w:t>
      </w:r>
      <w:r>
        <w:rPr>
          <w:b w:val="0"/>
          <w:i w:val="0"/>
          <w:sz w:val="26"/>
          <w:vertAlign w:val="subscript"/>
        </w:rPr>
        <w:t>C</w:t>
      </w:r>
      <w:r>
        <w:rPr>
          <w:b w:val="0"/>
          <w:i w:val="0"/>
          <w:sz w:val="26"/>
        </w:rPr>
        <w:t>лів = 0  →  H</w:t>
      </w:r>
      <w:r>
        <w:rPr>
          <w:b w:val="0"/>
          <w:i w:val="0"/>
          <w:sz w:val="26"/>
          <w:vertAlign w:val="subscript"/>
        </w:rPr>
        <w:t>A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Ha }} кН</w:t>
      </w:r>
    </w:p>
    <w:p>
      <w:r>
        <w:rPr>
          <w:b w:val="0"/>
          <w:i w:val="0"/>
          <w:sz w:val="26"/>
        </w:rPr>
        <w:t>H</w:t>
      </w:r>
      <w:r>
        <w:rPr>
          <w:b w:val="0"/>
          <w:i w:val="0"/>
          <w:sz w:val="26"/>
          <w:vertAlign w:val="subscript"/>
        </w:rPr>
        <w:t>B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Hb }} кН</w:t>
      </w:r>
    </w:p>
    <w:p>
      <w:pPr>
        <w:ind w:firstLine="567"/>
      </w:pPr>
      <w:r>
        <w:rPr>
          <w:b w:val="0"/>
          <w:i w:val="0"/>
          <w:sz w:val="26"/>
        </w:rPr>
        <w:t>Перевірка: ΣFx = {{ check_X }} ≈ 0;  ΣFy = {{ check_Y }} ≈ 0</w:t>
      </w:r>
    </w:p>
    <w:p>
      <w:pPr>
        <w:spacing w:before="280" w:after="120"/>
      </w:pPr>
      <w:r>
        <w:rPr>
          <w:b/>
          <w:color w:val="1F4E79"/>
          <w:sz w:val="28"/>
        </w:rPr>
        <w:t>3. Побудова епюр M, Q, N</w:t>
      </w:r>
    </w:p>
    <w:p>
      <w:pPr>
        <w:ind w:firstLine="567"/>
      </w:pPr>
      <w:r>
        <w:rPr>
          <w:b w:val="0"/>
          <w:i w:val="0"/>
          <w:sz w:val="26"/>
        </w:rPr>
        <w:t>Значення згинальних моментів, поперечних та поздовжніх сил у характерних перерізах: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№ перерізу</w:t>
            </w:r>
          </w:p>
        </w:tc>
        <w:tc>
          <w:tcPr>
            <w:tcW w:type="dxa" w:w="241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M, кН·м</w:t>
            </w:r>
          </w:p>
        </w:tc>
        <w:tc>
          <w:tcPr>
            <w:tcW w:type="dxa" w:w="241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Q, кН</w:t>
            </w:r>
          </w:p>
        </w:tc>
        <w:tc>
          <w:tcPr>
            <w:tcW w:type="dxa" w:w="241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4"/>
              </w:rPr>
              <w:t>N, кН</w:t>
            </w:r>
          </w:p>
        </w:tc>
      </w:tr>
      <w:tr>
        <w:tc>
          <w:tcPr>
            <w:tcW w:type="dxa" w:w="2410"/>
          </w:tcPr>
          <w:p>
            <w:r/>
            <w:r>
              <w:rPr>
                <w:sz w:val="20"/>
              </w:rPr>
              <w:t>{% tr for pt in points %}</w:t>
            </w:r>
          </w:p>
        </w:tc>
        <w:tc>
          <w:tcPr>
            <w:tcW w:type="dxa" w:w="241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1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1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410"/>
          </w:tcPr>
          <w:p>
            <w:r/>
            <w:r>
              <w:rPr>
                <w:sz w:val="22"/>
              </w:rPr>
              <w:t>{{ pt.name }}</w:t>
            </w:r>
          </w:p>
        </w:tc>
        <w:tc>
          <w:tcPr>
            <w:tcW w:type="dxa" w:w="2410"/>
          </w:tcPr>
          <w:p>
            <w:r/>
            <w:r>
              <w:rPr>
                <w:sz w:val="22"/>
              </w:rPr>
              <w:t>{{ pt.M }}</w:t>
            </w:r>
          </w:p>
        </w:tc>
        <w:tc>
          <w:tcPr>
            <w:tcW w:type="dxa" w:w="2410"/>
          </w:tcPr>
          <w:p>
            <w:r/>
            <w:r>
              <w:rPr>
                <w:sz w:val="22"/>
              </w:rPr>
              <w:t>{{ pt.Q }}</w:t>
            </w:r>
          </w:p>
        </w:tc>
        <w:tc>
          <w:tcPr>
            <w:tcW w:type="dxa" w:w="2410"/>
          </w:tcPr>
          <w:p>
            <w:r/>
            <w:r>
              <w:rPr>
                <w:sz w:val="22"/>
              </w:rPr>
              <w:t>{{ pt.N }}</w:t>
            </w:r>
          </w:p>
        </w:tc>
      </w:tr>
    </w:tbl>
    <w:p>
      <w:r>
        <w:rPr>
          <w:sz w:val="20"/>
        </w:rPr>
        <w:t>{% tr endfor %}</w:t>
      </w:r>
    </w:p>
    <w:p>
      <w:pPr>
        <w:ind w:firstLine="567"/>
      </w:pPr>
      <w:r>
        <w:rPr>
          <w:b w:val="0"/>
          <w:i w:val="0"/>
          <w:sz w:val="26"/>
        </w:rPr>
        <w:t>Вузли рами зрівноважені, епюри узгоджені.</w:t>
      </w:r>
    </w:p>
    <w:p>
      <w:pPr>
        <w:jc w:val="center"/>
      </w:pPr>
      <w:r>
        <w:rPr>
          <w:i/>
          <w:color w:val="606060"/>
          <w:sz w:val="24"/>
        </w:rPr>
        <w:t>{{ diagram_image }}</w:t>
      </w:r>
    </w:p>
    <w:p>
      <w:r>
        <w:rPr>
          <w:b w:val="0"/>
          <w:i w:val="0"/>
          <w:sz w:val="26"/>
        </w:rPr>
        <w:t>Максимальний згинальний момент:  M</w:t>
      </w:r>
      <w:r>
        <w:rPr>
          <w:b w:val="0"/>
          <w:i w:val="0"/>
          <w:sz w:val="26"/>
          <w:vertAlign w:val="subscript"/>
        </w:rPr>
        <w:t>max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M_max }} кН·м</w:t>
      </w:r>
    </w:p>
    <w:p>
      <w:pPr>
        <w:spacing w:before="280" w:after="120"/>
      </w:pPr>
      <w:r>
        <w:rPr>
          <w:b/>
          <w:color w:val="1F4E79"/>
          <w:sz w:val="28"/>
        </w:rPr>
        <w:t>4. Визначення переміщення заданого перерізу</w:t>
      </w:r>
    </w:p>
    <w:p>
      <w:pPr>
        <w:ind w:firstLine="567"/>
      </w:pPr>
      <w:r>
        <w:rPr>
          <w:b w:val="0"/>
          <w:i w:val="0"/>
          <w:sz w:val="26"/>
        </w:rPr>
        <w:t>У напрямку шуканого переміщення прикладається одиничне навантаження, для якого визначаються опорні реакції та епюра M̄.</w:t>
      </w:r>
    </w:p>
    <w:p>
      <w:r>
        <w:rPr>
          <w:b w:val="0"/>
          <w:i w:val="0"/>
          <w:sz w:val="26"/>
        </w:rPr>
        <w:t>V̄</w:t>
      </w:r>
      <w:r>
        <w:rPr>
          <w:b w:val="0"/>
          <w:i w:val="0"/>
          <w:sz w:val="26"/>
          <w:vertAlign w:val="subscript"/>
        </w:rPr>
        <w:t>A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Va1 }}</w:t>
      </w:r>
      <w:r>
        <w:rPr>
          <w:b w:val="0"/>
          <w:i w:val="0"/>
          <w:sz w:val="26"/>
        </w:rPr>
        <w:t>;  V̄</w:t>
      </w:r>
      <w:r>
        <w:rPr>
          <w:b w:val="0"/>
          <w:i w:val="0"/>
          <w:sz w:val="26"/>
          <w:vertAlign w:val="subscript"/>
        </w:rPr>
        <w:t>B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Vb1 }}</w:t>
      </w:r>
      <w:r>
        <w:rPr>
          <w:b w:val="0"/>
          <w:i w:val="0"/>
          <w:sz w:val="26"/>
        </w:rPr>
        <w:t>;  H̄</w:t>
      </w:r>
      <w:r>
        <w:rPr>
          <w:b w:val="0"/>
          <w:i w:val="0"/>
          <w:sz w:val="26"/>
          <w:vertAlign w:val="subscript"/>
        </w:rPr>
        <w:t>A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Ha1 }}</w:t>
      </w:r>
    </w:p>
    <w:p>
      <w:pPr>
        <w:ind w:firstLine="567"/>
      </w:pPr>
      <w:r>
        <w:rPr>
          <w:b w:val="0"/>
          <w:i w:val="0"/>
          <w:sz w:val="26"/>
        </w:rPr>
        <w:t>Переміщення визначається за формулою Мора (спосіб Верещагіна) — перемноженням епюр M від заданого та одиничного навантажень:</w:t>
      </w:r>
    </w:p>
    <w:p>
      <w:r>
        <w:rPr>
          <w:b w:val="0"/>
          <w:i w:val="0"/>
          <w:sz w:val="26"/>
        </w:rPr>
        <w:t>Δ</w:t>
      </w:r>
      <w:r>
        <w:rPr>
          <w:b w:val="0"/>
          <w:i w:val="0"/>
          <w:sz w:val="26"/>
          <w:vertAlign w:val="subscript"/>
        </w:rPr>
        <w:t>{{ section_num }}</w:t>
      </w:r>
      <w:r>
        <w:rPr>
          <w:b w:val="0"/>
          <w:i w:val="0"/>
          <w:sz w:val="26"/>
        </w:rPr>
        <w:t xml:space="preserve"> = </w:t>
      </w:r>
      <w:r>
        <w:rPr>
          <w:b/>
          <w:i w:val="0"/>
          <w:sz w:val="26"/>
        </w:rPr>
        <w:t>{{ delta }}</w:t>
      </w:r>
      <w:r>
        <w:rPr>
          <w:b w:val="0"/>
          <w:i w:val="0"/>
          <w:sz w:val="26"/>
        </w:rPr>
        <w:t xml:space="preserve"> {{ delta_unit }}</w:t>
      </w:r>
    </w:p>
    <w:p>
      <w:pPr>
        <w:jc w:val="center"/>
      </w:pPr>
      <w:r>
        <w:rPr>
          <w:i/>
          <w:color w:val="606060"/>
          <w:sz w:val="24"/>
        </w:rPr>
        <w:t>{{ unit_load_diagram_image }}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