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48FBDD">
      <w:pPr>
        <w:jc w:val="center"/>
        <w:rPr>
          <w:rFonts w:hint="eastAsia" w:ascii="楷体" w:hAnsi="楷体" w:eastAsia="楷体" w:cs="楷体"/>
          <w:sz w:val="32"/>
          <w:szCs w:val="32"/>
          <w:lang w:eastAsia="zh-CN"/>
        </w:rPr>
      </w:pPr>
      <w:r>
        <w:rPr>
          <w:rFonts w:hint="eastAsia" w:ascii="楷体" w:hAnsi="楷体" w:eastAsia="楷体" w:cs="楷体"/>
          <w:sz w:val="32"/>
          <w:szCs w:val="32"/>
          <w:lang w:eastAsia="zh-CN"/>
        </w:rPr>
        <w:t>《Books to Scrape</w:t>
      </w: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网站的书籍价格分析</w:t>
      </w:r>
      <w:r>
        <w:rPr>
          <w:rFonts w:hint="eastAsia" w:ascii="楷体" w:hAnsi="楷体" w:eastAsia="楷体" w:cs="楷体"/>
          <w:sz w:val="32"/>
          <w:szCs w:val="32"/>
          <w:lang w:eastAsia="zh-CN"/>
        </w:rPr>
        <w:t>》</w:t>
      </w:r>
    </w:p>
    <w:p w14:paraId="63D2F2C5">
      <w:pPr>
        <w:numPr>
          <w:ilvl w:val="0"/>
          <w:numId w:val="1"/>
        </w:numPr>
        <w:ind w:left="420" w:leftChars="0" w:hanging="420" w:firstLineChars="0"/>
        <w:jc w:val="both"/>
        <w:rPr>
          <w:rFonts w:hint="eastAsia" w:ascii="楷体" w:hAnsi="楷体" w:eastAsia="楷体" w:cs="楷体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分析目标：探索该网站书籍价格分布特征，练习爬虫及数据分析技能</w:t>
      </w:r>
    </w:p>
    <w:p w14:paraId="48AB75D2">
      <w:pPr>
        <w:numPr>
          <w:ilvl w:val="0"/>
          <w:numId w:val="1"/>
        </w:numPr>
        <w:ind w:left="420" w:leftChars="0" w:hanging="420" w:firstLineChars="0"/>
        <w:jc w:val="both"/>
        <w:rPr>
          <w:rFonts w:hint="eastAsia" w:ascii="楷体" w:hAnsi="楷体" w:eastAsia="楷体" w:cs="楷体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数据来源：自行爬取</w:t>
      </w:r>
    </w:p>
    <w:p w14:paraId="5AE5B895">
      <w:pPr>
        <w:numPr>
          <w:ilvl w:val="0"/>
          <w:numId w:val="1"/>
        </w:numPr>
        <w:ind w:left="420" w:leftChars="0" w:hanging="420" w:firstLineChars="0"/>
        <w:jc w:val="both"/>
        <w:rPr>
          <w:rFonts w:hint="eastAsia" w:ascii="楷体" w:hAnsi="楷体" w:eastAsia="楷体" w:cs="楷体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分析工具：Python（Pandas，Matplotlib，Request，BeautifulSoup）</w:t>
      </w:r>
    </w:p>
    <w:p w14:paraId="58F2EDEA">
      <w:pPr>
        <w:numPr>
          <w:ilvl w:val="0"/>
          <w:numId w:val="1"/>
        </w:numPr>
        <w:ind w:left="420" w:leftChars="0" w:hanging="420" w:firstLineChars="0"/>
        <w:jc w:val="both"/>
        <w:rPr>
          <w:rFonts w:hint="eastAsia" w:ascii="楷体" w:hAnsi="楷体" w:eastAsia="楷体" w:cs="楷体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报告日期：2025.10.18</w:t>
      </w:r>
    </w:p>
    <w:p w14:paraId="5363DDC4">
      <w:pPr>
        <w:numPr>
          <w:numId w:val="0"/>
        </w:numPr>
        <w:ind w:leftChars="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目录：</w:t>
      </w:r>
    </w:p>
    <w:p w14:paraId="62B82387">
      <w:pPr>
        <w:numPr>
          <w:ilvl w:val="0"/>
          <w:numId w:val="2"/>
        </w:numPr>
        <w:ind w:leftChars="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数据处理结果</w:t>
      </w:r>
    </w:p>
    <w:p w14:paraId="60BDF742">
      <w:pPr>
        <w:numPr>
          <w:ilvl w:val="0"/>
          <w:numId w:val="2"/>
        </w:numPr>
        <w:ind w:leftChars="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数据分析结论</w:t>
      </w:r>
    </w:p>
    <w:p w14:paraId="5FE0EF52">
      <w:pPr>
        <w:numPr>
          <w:ilvl w:val="0"/>
          <w:numId w:val="3"/>
        </w:numPr>
        <w:ind w:left="-420" w:leftChars="0" w:firstLine="420" w:firstLineChars="0"/>
        <w:jc w:val="both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数据处理结果</w:t>
      </w:r>
      <w:r>
        <w:rPr>
          <w:rFonts w:hint="default" w:ascii="楷体" w:hAnsi="楷体" w:eastAsia="楷体" w:cs="楷体"/>
          <w:sz w:val="28"/>
          <w:szCs w:val="28"/>
          <w:lang w:val="en-US" w:eastAsia="zh-CN"/>
        </w:rPr>
        <w:t xml:space="preserve"> 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49497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D23AD7D">
            <w:pPr>
              <w:numPr>
                <w:numId w:val="0"/>
              </w:numPr>
              <w:jc w:val="both"/>
              <w:rPr>
                <w:rFonts w:hint="eastAsia" w:ascii="楷体" w:hAnsi="楷体" w:eastAsia="楷体" w:cs="楷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数据总数（个）</w:t>
            </w:r>
          </w:p>
        </w:tc>
        <w:tc>
          <w:tcPr>
            <w:tcW w:w="4261" w:type="dxa"/>
          </w:tcPr>
          <w:p w14:paraId="5F7D9CA0">
            <w:pPr>
              <w:numPr>
                <w:numId w:val="0"/>
              </w:numPr>
              <w:jc w:val="both"/>
              <w:rPr>
                <w:rFonts w:hint="eastAsia" w:ascii="楷体" w:hAnsi="楷体" w:eastAsia="楷体" w:cs="楷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8"/>
                <w:szCs w:val="28"/>
                <w:lang w:val="en-US" w:eastAsia="zh-CN"/>
              </w:rPr>
              <w:t>903</w:t>
            </w: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.000000</w:t>
            </w:r>
          </w:p>
        </w:tc>
      </w:tr>
      <w:tr w14:paraId="3D0DE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29E9355">
            <w:pPr>
              <w:numPr>
                <w:numId w:val="0"/>
              </w:numPr>
              <w:jc w:val="both"/>
              <w:rPr>
                <w:rFonts w:hint="eastAsia" w:ascii="楷体" w:hAnsi="楷体" w:eastAsia="楷体" w:cs="楷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平均值</w:t>
            </w:r>
            <w:r>
              <w:rPr>
                <w:rFonts w:hint="default" w:ascii="楷体" w:hAnsi="楷体" w:eastAsia="楷体" w:cs="楷体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（英镑）</w:t>
            </w:r>
          </w:p>
        </w:tc>
        <w:tc>
          <w:tcPr>
            <w:tcW w:w="4261" w:type="dxa"/>
          </w:tcPr>
          <w:p w14:paraId="1945C438">
            <w:pPr>
              <w:numPr>
                <w:numId w:val="0"/>
              </w:numPr>
              <w:jc w:val="both"/>
              <w:rPr>
                <w:rFonts w:hint="eastAsia" w:ascii="楷体" w:hAnsi="楷体" w:eastAsia="楷体" w:cs="楷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8"/>
                <w:szCs w:val="28"/>
                <w:lang w:val="en-US" w:eastAsia="zh-CN"/>
              </w:rPr>
              <w:t>34.928427</w:t>
            </w:r>
          </w:p>
        </w:tc>
      </w:tr>
      <w:tr w14:paraId="7BE19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0E495CD">
            <w:pPr>
              <w:numPr>
                <w:numId w:val="0"/>
              </w:numPr>
              <w:jc w:val="both"/>
              <w:rPr>
                <w:rFonts w:hint="eastAsia" w:ascii="楷体" w:hAnsi="楷体" w:eastAsia="楷体" w:cs="楷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标准差（英镑）</w:t>
            </w:r>
          </w:p>
        </w:tc>
        <w:tc>
          <w:tcPr>
            <w:tcW w:w="4261" w:type="dxa"/>
          </w:tcPr>
          <w:p w14:paraId="38366442">
            <w:pPr>
              <w:numPr>
                <w:numId w:val="0"/>
              </w:numPr>
              <w:jc w:val="both"/>
              <w:rPr>
                <w:rFonts w:hint="eastAsia" w:ascii="楷体" w:hAnsi="楷体" w:eastAsia="楷体" w:cs="楷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8"/>
                <w:szCs w:val="28"/>
                <w:lang w:val="en-US" w:eastAsia="zh-CN"/>
              </w:rPr>
              <w:t>14.534894</w:t>
            </w:r>
          </w:p>
        </w:tc>
      </w:tr>
      <w:tr w14:paraId="5195E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F69A6BD">
            <w:pPr>
              <w:numPr>
                <w:numId w:val="0"/>
              </w:numPr>
              <w:jc w:val="both"/>
              <w:rPr>
                <w:rFonts w:hint="eastAsia" w:ascii="楷体" w:hAnsi="楷体" w:eastAsia="楷体" w:cs="楷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最小值（英镑）</w:t>
            </w:r>
          </w:p>
        </w:tc>
        <w:tc>
          <w:tcPr>
            <w:tcW w:w="4261" w:type="dxa"/>
          </w:tcPr>
          <w:p w14:paraId="4E36981F">
            <w:pPr>
              <w:numPr>
                <w:numId w:val="0"/>
              </w:numPr>
              <w:jc w:val="both"/>
              <w:rPr>
                <w:rFonts w:hint="eastAsia" w:ascii="楷体" w:hAnsi="楷体" w:eastAsia="楷体" w:cs="楷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8"/>
                <w:szCs w:val="28"/>
                <w:lang w:val="en-US" w:eastAsia="zh-CN"/>
              </w:rPr>
              <w:t>10.000000</w:t>
            </w:r>
          </w:p>
        </w:tc>
      </w:tr>
      <w:tr w14:paraId="7E3BF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D299E5B">
            <w:pPr>
              <w:numPr>
                <w:numId w:val="0"/>
              </w:numPr>
              <w:jc w:val="both"/>
              <w:rPr>
                <w:rFonts w:hint="eastAsia" w:ascii="楷体" w:hAnsi="楷体" w:eastAsia="楷体" w:cs="楷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8"/>
                <w:szCs w:val="28"/>
                <w:lang w:val="en-US" w:eastAsia="zh-CN"/>
              </w:rPr>
              <w:t>25%</w:t>
            </w:r>
          </w:p>
        </w:tc>
        <w:tc>
          <w:tcPr>
            <w:tcW w:w="4261" w:type="dxa"/>
          </w:tcPr>
          <w:p w14:paraId="7D90A716">
            <w:pPr>
              <w:numPr>
                <w:numId w:val="0"/>
              </w:numPr>
              <w:jc w:val="both"/>
              <w:rPr>
                <w:rFonts w:hint="eastAsia" w:ascii="楷体" w:hAnsi="楷体" w:eastAsia="楷体" w:cs="楷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8"/>
                <w:szCs w:val="28"/>
                <w:lang w:val="en-US" w:eastAsia="zh-CN"/>
              </w:rPr>
              <w:t>21.905000</w:t>
            </w:r>
          </w:p>
        </w:tc>
      </w:tr>
      <w:tr w14:paraId="438F5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967DF9F">
            <w:pPr>
              <w:numPr>
                <w:numId w:val="0"/>
              </w:numPr>
              <w:jc w:val="both"/>
              <w:rPr>
                <w:rFonts w:hint="eastAsia" w:ascii="楷体" w:hAnsi="楷体" w:eastAsia="楷体" w:cs="楷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8"/>
                <w:szCs w:val="28"/>
                <w:lang w:val="en-US" w:eastAsia="zh-CN"/>
              </w:rPr>
              <w:t>50%</w:t>
            </w:r>
          </w:p>
        </w:tc>
        <w:tc>
          <w:tcPr>
            <w:tcW w:w="4261" w:type="dxa"/>
          </w:tcPr>
          <w:p w14:paraId="123E02D1">
            <w:pPr>
              <w:numPr>
                <w:numId w:val="0"/>
              </w:numPr>
              <w:jc w:val="both"/>
              <w:rPr>
                <w:rFonts w:hint="eastAsia" w:ascii="楷体" w:hAnsi="楷体" w:eastAsia="楷体" w:cs="楷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8"/>
                <w:szCs w:val="28"/>
                <w:lang w:val="en-US" w:eastAsia="zh-CN"/>
              </w:rPr>
              <w:t>35.790000</w:t>
            </w:r>
          </w:p>
        </w:tc>
      </w:tr>
      <w:tr w14:paraId="009FE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119AF7A">
            <w:pPr>
              <w:numPr>
                <w:numId w:val="0"/>
              </w:numPr>
              <w:jc w:val="both"/>
              <w:rPr>
                <w:rFonts w:hint="eastAsia" w:ascii="楷体" w:hAnsi="楷体" w:eastAsia="楷体" w:cs="楷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8"/>
                <w:szCs w:val="28"/>
                <w:lang w:val="en-US" w:eastAsia="zh-CN"/>
              </w:rPr>
              <w:t>75%</w:t>
            </w:r>
          </w:p>
        </w:tc>
        <w:tc>
          <w:tcPr>
            <w:tcW w:w="4261" w:type="dxa"/>
          </w:tcPr>
          <w:p w14:paraId="1ED9667D">
            <w:pPr>
              <w:numPr>
                <w:numId w:val="0"/>
              </w:numPr>
              <w:jc w:val="both"/>
              <w:rPr>
                <w:rFonts w:hint="eastAsia" w:ascii="楷体" w:hAnsi="楷体" w:eastAsia="楷体" w:cs="楷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8"/>
                <w:szCs w:val="28"/>
                <w:lang w:val="en-US" w:eastAsia="zh-CN"/>
              </w:rPr>
              <w:t>47.375000</w:t>
            </w:r>
          </w:p>
        </w:tc>
      </w:tr>
      <w:tr w14:paraId="67DA0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4FCED03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楷体" w:hAnsi="楷体" w:eastAsia="楷体" w:cs="楷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最大值</w:t>
            </w:r>
          </w:p>
        </w:tc>
        <w:tc>
          <w:tcPr>
            <w:tcW w:w="4261" w:type="dxa"/>
          </w:tcPr>
          <w:p w14:paraId="3AEDCDE8">
            <w:pPr>
              <w:numPr>
                <w:numId w:val="0"/>
              </w:numPr>
              <w:jc w:val="both"/>
              <w:rPr>
                <w:rFonts w:hint="eastAsia" w:ascii="楷体" w:hAnsi="楷体" w:eastAsia="楷体" w:cs="楷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8"/>
                <w:szCs w:val="28"/>
                <w:lang w:val="en-US" w:eastAsia="zh-CN"/>
              </w:rPr>
              <w:t>59.990000</w:t>
            </w:r>
          </w:p>
        </w:tc>
      </w:tr>
    </w:tbl>
    <w:p w14:paraId="2254421E">
      <w:pPr>
        <w:numPr>
          <w:numId w:val="0"/>
        </w:numPr>
        <w:ind w:leftChars="0"/>
        <w:jc w:val="both"/>
        <w:rPr>
          <w:rFonts w:hint="default" w:ascii="楷体" w:hAnsi="楷体" w:eastAsia="楷体" w:cs="楷体"/>
          <w:sz w:val="28"/>
          <w:szCs w:val="28"/>
          <w:lang w:val="en-US" w:eastAsia="zh-CN"/>
        </w:rPr>
      </w:pPr>
    </w:p>
    <w:p w14:paraId="3DDE4CE4">
      <w:pPr>
        <w:numPr>
          <w:numId w:val="0"/>
        </w:numPr>
        <w:ind w:leftChars="0"/>
        <w:jc w:val="both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default" w:ascii="楷体" w:hAnsi="楷体" w:eastAsia="楷体" w:cs="楷体"/>
          <w:sz w:val="28"/>
          <w:szCs w:val="28"/>
          <w:lang w:val="en-US" w:eastAsia="zh-CN"/>
        </w:rPr>
        <w:drawing>
          <wp:inline distT="0" distB="0" distL="114300" distR="114300">
            <wp:extent cx="5273040" cy="3954780"/>
            <wp:effectExtent l="0" t="0" r="0" b="7620"/>
            <wp:docPr id="1" name="图片 1" descr="Figure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igure_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E1623">
      <w:pPr>
        <w:numPr>
          <w:ilvl w:val="0"/>
          <w:numId w:val="3"/>
        </w:numPr>
        <w:ind w:left="0" w:leftChars="0" w:firstLine="420" w:firstLineChars="0"/>
        <w:jc w:val="both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数据分析结论</w:t>
      </w:r>
    </w:p>
    <w:p w14:paraId="3658C7D2">
      <w:pPr>
        <w:numPr>
          <w:ilvl w:val="0"/>
          <w:numId w:val="0"/>
        </w:numPr>
        <w:ind w:left="840" w:leftChars="0" w:firstLine="420" w:firstLineChars="0"/>
        <w:jc w:val="both"/>
        <w:rPr>
          <w:rStyle w:val="5"/>
          <w:rFonts w:hint="default" w:ascii="楷体" w:hAnsi="楷体" w:eastAsia="楷体" w:cs="楷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由图可直观看出，价格的分布比较均匀，定价比较集中。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ab/>
      </w:r>
      <w:r>
        <w:rPr>
          <w:rStyle w:val="5"/>
          <w:rFonts w:hint="eastAsia" w:ascii="楷体" w:hAnsi="楷体" w:eastAsia="楷体" w:cs="楷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最大值与最小值相差约50英镑，表明价格的跨度较大包含了低价区与高价区。</w:t>
      </w:r>
    </w:p>
    <w:p w14:paraId="21B54A3E">
      <w:pPr>
        <w:numPr>
          <w:numId w:val="0"/>
        </w:numPr>
        <w:ind w:left="840" w:leftChars="0" w:firstLine="420" w:firstLineChars="0"/>
        <w:jc w:val="both"/>
        <w:rPr>
          <w:rStyle w:val="5"/>
          <w:rFonts w:hint="default" w:ascii="楷体" w:hAnsi="楷体" w:eastAsia="楷体" w:cs="楷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中位数35.79与平均数34.93相近说明极端值并没有影响价格的整体分布，因此平均数能很好代表数据的趋势。同时平均值</w:t>
      </w:r>
      <w:r>
        <w:rPr>
          <w:rStyle w:val="5"/>
          <w:rFonts w:hint="eastAsia" w:ascii="楷体" w:hAnsi="楷体" w:eastAsia="楷体" w:cs="楷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±</w:t>
      </w:r>
      <w:r>
        <w:rPr>
          <w:rStyle w:val="5"/>
          <w:rFonts w:hint="eastAsia" w:ascii="楷体" w:hAnsi="楷体" w:eastAsia="楷体" w:cs="楷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一个标准差也与图示主要分布区相吻合，且无异常值，说明此次分析的数据质量高</w:t>
      </w:r>
      <w:bookmarkStart w:id="0" w:name="_GoBack"/>
      <w:bookmarkEnd w:id="0"/>
      <w:r>
        <w:rPr>
          <w:rStyle w:val="5"/>
          <w:rFonts w:hint="eastAsia" w:ascii="楷体" w:hAnsi="楷体" w:eastAsia="楷体" w:cs="楷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，结论可靠稳定。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onospace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96FCB6"/>
    <w:multiLevelType w:val="singleLevel"/>
    <w:tmpl w:val="9296FCB6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1">
    <w:nsid w:val="D1BCF5AB"/>
    <w:multiLevelType w:val="singleLevel"/>
    <w:tmpl w:val="D1BCF5A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sz w:val="28"/>
        <w:szCs w:val="28"/>
      </w:rPr>
    </w:lvl>
  </w:abstractNum>
  <w:abstractNum w:abstractNumId="2">
    <w:nsid w:val="6DB74F02"/>
    <w:multiLevelType w:val="singleLevel"/>
    <w:tmpl w:val="6DB74F0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B94793"/>
    <w:rsid w:val="12B94793"/>
    <w:rsid w:val="13045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2025-10-18T15:27:00Z</dcterms:created>
  <dc:creator>空心之烛</dc:creator>
  <cp:lastModifiedBy>空心之烛</cp:lastModifiedBy>
  <dcterms:modified xsi:type="dcterms:W3CDTF">2025-10-18T16:24:44Z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10968375A4004C05BBAB46EFDD03E7E0_11</vt:lpwstr>
  </property>
  <property fmtid="{D5CDD505-2E9C-101B-9397-08002B2CF9AE}" pid="4" name="KSOTemplateDocerSaveRecord">
    <vt:lpwstr>eyJoZGlkIjoiMjkzZjliOWQ3MzExYjU4ZWFiZjZiMTQxMTA1MDVkZTMiLCJ1c2VySWQiOiIxMTY4MzAxODI2In0=</vt:lpwstr>
  </property>
</Properties>
</file>