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Quantitative and Statistical analysis: </w:t>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ind w:firstLine="72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Demonstrated advanced quantitative and statistical proficiency by performing comprehensive analysis on financial return data for Growth and Value portfolios, where I calculated and interpreted key descriptive and risk-adjusted metrics including mean returns, variance, standard deviation, coefficient of variation, and the Sharpe ratio, to evaluate investment strategies and assess risk-return trade-offs. This involved managing large datasets of historical weekly prices and dividends for assets like the Freedom 100 Emerging Markets ETF (FRDM) and The Trade Desk (TTD), utilizing advanced Excel functions such as pivot tables and text formulas for precise data organization. Furthermore, I integrated data privacy best practices by anonymizing sensitive information through unique identifiers and communicated complex statistical insights, such as the Growth portfolio's superior risk-adjusted performance (Sharpe ratio of 0.49 vs. 0.41), through analytical summaries consistent with professional business statistics methodologies.</w:t>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