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qgdjpeu03w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Analytical Synopsis: Quantitative Portfolio Evaluation of TTD and FRDM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Demonstrated advanced financial modeling and statistical proficiency by conducting a comprehensive comparative analysis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The Trade Desk (TTD)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Freedom 100 Emerging Markets ETF (FRDM)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evaluate their respective roles as Growth and Value indicators. By managing a robust dataset of historical weekly prices and dividends from Yahoo Finance covering the period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December 2025 to March 2026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I utilized advanced Excel functions to clean, format, and synthesize raw market data into actionable investment intelligence, ensuring consistency by removing unnecessary variables and handling missing values.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core of the analysis involved calculating and interpreting key risk-adjusted metrics using rigorous business statistics methodologies. I identified 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Growth portfolio (TTD)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yielded a superior mean return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12.50%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compared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Value portfolio’s (FRDM) 11.01%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While the Growth assets exhibited significantly higher volatility—evidenced by a sample standard deviation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17.57%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dramatic price fluctuations ranging from a high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$91.45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August 2025 to a low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$22.88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in March 2026—I utilized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Sharpe Ratio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determine that the Growth portfolio still provided a superior risk-adjusted return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0.49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0.41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Value).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Critically, I applied correlation and covariance methodologies to assess the relationship between these assets, uncovering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negative correlation (approximately -0.15 to -0.25)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This inverse relationship, supported by data visualizations and trend analysis, indicates that FRDM and TTD often react differently to market triggers, making them highly effective components for a diversified portfolio aimed at mitigating unsystematic risk. This quantitative assessment culminated in a strategic conclusion: while the Growth portfolio offered higher risk-adjusted rewards, the inclusion of Value assets, which maintained a lower standard deviation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17.15%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remains a fundamental requirement for balancing overall portfolio volatility and achieving long-term stability.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2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 sum up, the analysis of the Freedom 100 Emerging Markets ETF (FRDM) and The Trade Desk (TTD) over the studied period reveals a clear trade-off between risk and reward. While Growth portfolios (like TTD) achieved a higher mean return of 12.50%, they were accompanied by significantly greater dispersion and volatility, as evidenced by a higher sample standard deviation of 17.57%. Conversely, the Value portfolio offered more stability with a lower standard deviation of 17.15%, despite its slightly lower average return of 11.01%. The most critical takeaway for investors is the calculated negative correlation (approximately -0.15 to -0.25) between the two assets. This inverse relationship suggests that FRDM and TTD often react differently to market triggers, making them effective components for a diversified portfolio aimed at mitigating unsystematic risk. Ultimately, while the Growth portfolio provided a superior risk-adjusted return (Sharpe ratio of 0.49 vs. 0.41), the inclusion of Value assets remains essential for balancing overall portfolio volatility.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