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Quantitative and Statistical Skills: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 xml:space="preserve">Applied comprehensive statistical analysis to evaluate operational efficiency, pricing integrity, and customer lifetime value (CLV) across multiple business units. Calculated and interpreted key descriptive measures for service performance, including mean wait times (20.1 minutes), standard deviation (10.4 minutes), and coefficient of variation (51%) to identify service failure points and right-skewed distribution trends. Conducted contingency analysis and correlation studies on 95 units to assess the relationship between price tiers and quality ratings, identifying critical inconsistencies in the mid-market segment ($22.00 – $31.00). Utilized data subsetting and decile analysis on a dataset of 31,797 customers to identify a Pareto Effect, where the top 10% of customers generated 40.5% of total profit. Evaluated longitudinal cohort dynamics (2021–2024) to assess retention decay and seasonal re-engagement, communicating these complex statistical insights through analytical summaries to support a strategic pivot from broad-market acquisition to a retention-focused profitability model.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