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第一章 某市政务大数据平台建设方案</w:t>
      </w:r>
    </w:p>
    <w:p>
      <w:r>
        <w:t>本项目旨在打造全市统一政务数据中台，消除信息孤岛，实现跨部门业务协同。</w:t>
      </w:r>
    </w:p>
    <w:p>
      <w:pPr>
        <w:pStyle w:val="Heading2"/>
      </w:pPr>
      <w:r>
        <w:t>1.1 建设背景与痛点分析</w:t>
      </w:r>
    </w:p>
    <w:p>
      <w:r>
        <w:t>当前各委办局业务系统分散，数据标准不一，缺乏统一的数据资产目录与共享交换通道。</w:t>
      </w:r>
    </w:p>
    <w:p>
      <w:pPr>
        <w:pStyle w:val="Heading1"/>
      </w:pPr>
      <w:r>
        <w:t>第二章 系统总体技术架构设计</w:t>
      </w:r>
    </w:p>
    <w:p>
      <w:r>
        <w:t>系统遵循分层解耦、松耦合与高可用设计原则，采用微服务架构与云原生部署模式。</w:t>
      </w:r>
    </w:p>
    <w:p>
      <w:pPr>
        <w:pStyle w:val="Heading2"/>
      </w:pPr>
      <w:r>
        <w:t>2.1 微服务架构与容器化部署</w:t>
      </w:r>
    </w:p>
    <w:p>
      <w:r>
        <w:t>服务层采用 Spring Cloud 与 Kubernetes 容器集群，集成 Istio 服务网格，支持灰度发布与秒级自动弹性伸缩。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模块名称</w:t>
            </w:r>
          </w:p>
        </w:tc>
        <w:tc>
          <w:tcPr>
            <w:tcW w:type="dxa" w:w="2880"/>
          </w:tcPr>
          <w:p>
            <w:r>
              <w:t>选型技术</w:t>
            </w:r>
          </w:p>
        </w:tc>
        <w:tc>
          <w:tcPr>
            <w:tcW w:type="dxa" w:w="2880"/>
          </w:tcPr>
          <w:p>
            <w:r>
              <w:t>技术规格与特性</w:t>
            </w:r>
          </w:p>
        </w:tc>
      </w:tr>
      <w:tr>
        <w:tc>
          <w:tcPr>
            <w:tcW w:type="dxa" w:w="2880"/>
          </w:tcPr>
          <w:p>
            <w:r>
              <w:t>API 网关</w:t>
            </w:r>
          </w:p>
        </w:tc>
        <w:tc>
          <w:tcPr>
            <w:tcW w:type="dxa" w:w="2880"/>
          </w:tcPr>
          <w:p>
            <w:r>
              <w:t>Spring Cloud Gateway</w:t>
            </w:r>
          </w:p>
        </w:tc>
        <w:tc>
          <w:tcPr>
            <w:tcW w:type="dxa" w:w="2880"/>
          </w:tcPr>
          <w:p>
            <w:r>
              <w:t>支持双向 SSL、动态路由、分布式限流</w:t>
            </w:r>
          </w:p>
        </w:tc>
      </w:tr>
      <w:tr>
        <w:tc>
          <w:tcPr>
            <w:tcW w:type="dxa" w:w="2880"/>
          </w:tcPr>
          <w:p>
            <w:r>
              <w:t>服务治理</w:t>
            </w:r>
          </w:p>
        </w:tc>
        <w:tc>
          <w:tcPr>
            <w:tcW w:type="dxa" w:w="2880"/>
          </w:tcPr>
          <w:p>
            <w:r>
              <w:t>Kubernetes + Istio</w:t>
            </w:r>
          </w:p>
        </w:tc>
        <w:tc>
          <w:tcPr>
            <w:tcW w:type="dxa" w:w="2880"/>
          </w:tcPr>
          <w:p>
            <w:r>
              <w:t>容器编排、全链路追踪与无感知热升级</w:t>
            </w:r>
          </w:p>
        </w:tc>
      </w:tr>
    </w:tbl>
    <w:p>
      <w:pPr>
        <w:pStyle w:val="Heading2"/>
      </w:pPr>
      <w:r>
        <w:t>2.2 数据库容灾备份与高可用方案</w:t>
      </w:r>
    </w:p>
    <w:p>
      <w:r>
        <w:t>数据库采用主从复制 + 半同步机制，支持同城双活与异地灾备，RPO=0，RTO&lt;30秒，满足等保三级核心数据备份要求。</w:t>
      </w:r>
    </w:p>
    <w:p>
      <w:pPr>
        <w:pStyle w:val="Heading1"/>
      </w:pPr>
      <w:r>
        <w:t>第三章 售后服务保障体系</w:t>
      </w:r>
    </w:p>
    <w:p>
      <w:r>
        <w:t>我司设立 7×24 小时现场与远程响应中心，重大故障 15 分钟内响应，1 小时内到达现场。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