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7AC3A" w14:textId="77777777" w:rsidR="008F594C" w:rsidRDefault="00EF2966">
      <w:pPr>
        <w:jc w:val="center"/>
        <w:rPr>
          <w:b/>
          <w:bCs/>
          <w:sz w:val="28"/>
          <w:szCs w:val="28"/>
        </w:rPr>
      </w:pPr>
      <w:r>
        <w:rPr>
          <w:b/>
          <w:bCs/>
          <w:sz w:val="28"/>
          <w:szCs w:val="28"/>
        </w:rPr>
        <w:t>AI Readiness Hackathon – KSA Final Submission Template</w:t>
      </w:r>
    </w:p>
    <w:p w14:paraId="652720FC" w14:textId="294A4EAA" w:rsidR="008F594C" w:rsidRDefault="00EF2966">
      <w:pPr>
        <w:jc w:val="both"/>
      </w:pPr>
      <w:r>
        <w:t>Team name</w:t>
      </w:r>
      <w:proofErr w:type="gramStart"/>
      <w:r>
        <w:t>:  Crescent</w:t>
      </w:r>
      <w:proofErr w:type="gramEnd"/>
    </w:p>
    <w:p w14:paraId="29293D63" w14:textId="2D561E14" w:rsidR="008F594C" w:rsidRDefault="00EF2966">
      <w:pPr>
        <w:jc w:val="both"/>
      </w:pPr>
      <w:r>
        <w:t>Members name</w:t>
      </w:r>
      <w:proofErr w:type="gramStart"/>
      <w:r>
        <w:t>:  Shahad</w:t>
      </w:r>
      <w:proofErr w:type="gramEnd"/>
      <w:r>
        <w:t xml:space="preserve"> Helal Alghamdi (information technology) and Reem Helal Alghamdi (nursing), students at Al-Baha University, Al Baha</w:t>
      </w:r>
    </w:p>
    <w:p w14:paraId="2E24D0A3" w14:textId="660CA09C" w:rsidR="008F594C" w:rsidRDefault="00EF2966">
      <w:pPr>
        <w:jc w:val="both"/>
      </w:pPr>
      <w:r>
        <w:t>Solution name</w:t>
      </w:r>
      <w:proofErr w:type="gramStart"/>
      <w:r>
        <w:t>:  Sawn</w:t>
      </w:r>
      <w:proofErr w:type="gramEnd"/>
      <w:r>
        <w:t>, AI risk triage for the maintenance and safety of school buildings. Education track, mapped to ITU-T Y.3172 clause 8.1.</w:t>
      </w:r>
    </w:p>
    <w:p w14:paraId="5564D69A" w14:textId="0EC8AAD4" w:rsidR="008F594C" w:rsidRDefault="00EF2966" w:rsidP="008E35AE">
      <w:pPr>
        <w:jc w:val="both"/>
      </w:pPr>
      <w:r>
        <w:t>Contact details:</w:t>
      </w:r>
      <w:r w:rsidR="00D837A5">
        <w:t xml:space="preserve"> </w:t>
      </w:r>
      <w:proofErr w:type="gramStart"/>
      <w:r w:rsidR="008E35AE" w:rsidRPr="008E35AE">
        <w:t>email :</w:t>
      </w:r>
      <w:proofErr w:type="gramEnd"/>
      <w:r w:rsidR="008E35AE" w:rsidRPr="008E35AE">
        <w:t xml:space="preserve"> </w:t>
      </w:r>
      <w:hyperlink r:id="rId5" w:history="1">
        <w:r w:rsidR="008E35AE" w:rsidRPr="008E35AE">
          <w:rPr>
            <w:rStyle w:val="Hyperlink"/>
          </w:rPr>
          <w:t>445001246@stu.bu.edu.sa</w:t>
        </w:r>
      </w:hyperlink>
      <w:r w:rsidR="008E35AE" w:rsidRPr="008E35AE">
        <w:t xml:space="preserve"> , </w:t>
      </w:r>
      <w:hyperlink r:id="rId6" w:history="1">
        <w:r w:rsidR="008E35AE" w:rsidRPr="008E35AE">
          <w:rPr>
            <w:rStyle w:val="Hyperlink"/>
          </w:rPr>
          <w:t>447007139@stu.bu.edu.sa</w:t>
        </w:r>
      </w:hyperlink>
      <w:r w:rsidR="008E35AE" w:rsidRPr="008E35AE">
        <w:t xml:space="preserve"> / </w:t>
      </w:r>
      <w:proofErr w:type="gramStart"/>
      <w:r w:rsidR="008E35AE" w:rsidRPr="008E35AE">
        <w:t>mobile :</w:t>
      </w:r>
      <w:proofErr w:type="gramEnd"/>
      <w:r w:rsidR="008E35AE" w:rsidRPr="008E35AE">
        <w:t xml:space="preserve"> +</w:t>
      </w:r>
      <w:proofErr w:type="gramStart"/>
      <w:r w:rsidR="008E35AE" w:rsidRPr="008E35AE">
        <w:t>966551151021 ,</w:t>
      </w:r>
      <w:proofErr w:type="gramEnd"/>
      <w:r w:rsidR="008E35AE" w:rsidRPr="008E35AE">
        <w:t xml:space="preserve"> +966504467908 </w:t>
      </w:r>
      <w:r>
        <w:t xml:space="preserve">/ </w:t>
      </w:r>
      <w:hyperlink r:id="rId7" w:history="1">
        <w:r w:rsidRPr="005442B1">
          <w:rPr>
            <w:rStyle w:val="Hyperlink"/>
          </w:rPr>
          <w:t>github.com/</w:t>
        </w:r>
        <w:proofErr w:type="spellStart"/>
        <w:r w:rsidRPr="005442B1">
          <w:rPr>
            <w:rStyle w:val="Hyperlink"/>
          </w:rPr>
          <w:t>shyuix</w:t>
        </w:r>
        <w:proofErr w:type="spellEnd"/>
        <w:r w:rsidRPr="005442B1">
          <w:rPr>
            <w:rStyle w:val="Hyperlink"/>
          </w:rPr>
          <w:t>/SAWN</w:t>
        </w:r>
      </w:hyperlink>
    </w:p>
    <w:p w14:paraId="1889C689" w14:textId="77777777" w:rsidR="008F594C" w:rsidRDefault="00EF2966">
      <w:pPr>
        <w:pStyle w:val="ListParagraph"/>
        <w:numPr>
          <w:ilvl w:val="0"/>
          <w:numId w:val="9"/>
        </w:numPr>
        <w:jc w:val="both"/>
      </w:pPr>
      <w:r>
        <w:t>Introduction</w:t>
      </w:r>
    </w:p>
    <w:p w14:paraId="78924185" w14:textId="77777777" w:rsidR="008F594C" w:rsidRDefault="00EF2966">
      <w:pPr>
        <w:ind w:left="720"/>
        <w:jc w:val="both"/>
      </w:pPr>
      <w:r>
        <w:rPr>
          <w:rFonts w:ascii="Times New Roman" w:eastAsia="Times New Roman" w:hAnsi="Times New Roman" w:cs="Times New Roman"/>
        </w:rPr>
        <w:t xml:space="preserve">AI is increasingly used to decide the order in which public work is done. </w:t>
      </w:r>
      <w:proofErr w:type="gramStart"/>
      <w:r>
        <w:rPr>
          <w:rFonts w:ascii="Times New Roman" w:eastAsia="Times New Roman" w:hAnsi="Times New Roman" w:cs="Times New Roman"/>
        </w:rPr>
        <w:t>This use</w:t>
      </w:r>
      <w:proofErr w:type="gramEnd"/>
      <w:r>
        <w:rPr>
          <w:rFonts w:ascii="Times New Roman" w:eastAsia="Times New Roman" w:hAnsi="Times New Roman" w:cs="Times New Roman"/>
        </w:rPr>
        <w:t xml:space="preserve"> case proposes Sawn, a national triage layer for school building maintenance. Saudi Arabia runs 24,075 public schools of the 31,412 counted in the 2024 GASTAT services bulletin, and repair requests reach the Ministry of Education and Tatweer Buildings Company, its executing arm, in the order of a hundred thousand a year. Almost all are handled in order of arrival: a cracked load bearing wall, a chained emergency exit and a broken door handle join one queue, and what decides which is repaired first is the date on the form. The cost of that rule is paid by children in the least safe buildings. Sawn scores every request on a published matrix of eight weighted indicators, filled </w:t>
      </w:r>
      <w:proofErr w:type="gramStart"/>
      <w:r>
        <w:rPr>
          <w:rFonts w:ascii="Times New Roman" w:eastAsia="Times New Roman" w:hAnsi="Times New Roman" w:cs="Times New Roman"/>
        </w:rPr>
        <w:t>from</w:t>
      </w:r>
      <w:proofErr w:type="gramEnd"/>
      <w:r>
        <w:rPr>
          <w:rFonts w:ascii="Times New Roman" w:eastAsia="Times New Roman" w:hAnsi="Times New Roman" w:cs="Times New Roman"/>
        </w:rPr>
        <w:t xml:space="preserve"> evidence schools already produce, and ranks the queue by risk instead: the AI decides the order and a </w:t>
      </w:r>
      <w:proofErr w:type="gramStart"/>
      <w:r>
        <w:rPr>
          <w:rFonts w:ascii="Times New Roman" w:eastAsia="Times New Roman" w:hAnsi="Times New Roman" w:cs="Times New Roman"/>
        </w:rPr>
        <w:t>named official signs</w:t>
      </w:r>
      <w:proofErr w:type="gramEnd"/>
      <w:r>
        <w:rPr>
          <w:rFonts w:ascii="Times New Roman" w:eastAsia="Times New Roman" w:hAnsi="Times New Roman" w:cs="Times New Roman"/>
        </w:rPr>
        <w:t xml:space="preserve"> every action. Scale is why AI belongs here, because nobody can rank a hundred thousand requests every week and then explain to a school why it came four thousandth.</w:t>
      </w:r>
    </w:p>
    <w:p w14:paraId="1DE87DA9" w14:textId="77777777" w:rsidR="008F594C" w:rsidRDefault="00EF2966">
      <w:pPr>
        <w:ind w:left="720"/>
        <w:jc w:val="both"/>
      </w:pPr>
      <w:r>
        <w:rPr>
          <w:rFonts w:ascii="Times New Roman" w:eastAsia="Times New Roman" w:hAnsi="Times New Roman" w:cs="Times New Roman"/>
        </w:rPr>
        <w:t xml:space="preserve">This submission maps the technical solution to the policy instruments that govern it. Every rank cites its instrument, retrieved from a knowledge base of 23 openly published Saudi and international documents at decision time rather than asserted by a model. Where retrieval finds nothing governing a decision, the case is written to a policy gap register, which is how the use case contributes back to national AI readiness. The mapping below covers data and model handling </w:t>
      </w:r>
      <w:proofErr w:type="gramStart"/>
      <w:r>
        <w:rPr>
          <w:rFonts w:ascii="Times New Roman" w:eastAsia="Times New Roman" w:hAnsi="Times New Roman" w:cs="Times New Roman"/>
        </w:rPr>
        <w:t>and also</w:t>
      </w:r>
      <w:proofErr w:type="gramEnd"/>
      <w:r>
        <w:rPr>
          <w:rFonts w:ascii="Times New Roman" w:eastAsia="Times New Roman" w:hAnsi="Times New Roman" w:cs="Times New Roman"/>
        </w:rPr>
        <w:t xml:space="preserve"> strategy alignment, interface design and the collaboration between AI </w:t>
      </w:r>
      <w:proofErr w:type="gramStart"/>
      <w:r>
        <w:rPr>
          <w:rFonts w:ascii="Times New Roman" w:eastAsia="Times New Roman" w:hAnsi="Times New Roman" w:cs="Times New Roman"/>
        </w:rPr>
        <w:t>and the human</w:t>
      </w:r>
      <w:proofErr w:type="gramEnd"/>
      <w:r>
        <w:rPr>
          <w:rFonts w:ascii="Times New Roman" w:eastAsia="Times New Roman" w:hAnsi="Times New Roman" w:cs="Times New Roman"/>
        </w:rPr>
        <w:t>.</w:t>
      </w:r>
    </w:p>
    <w:p w14:paraId="7B29770F" w14:textId="77777777" w:rsidR="008F594C" w:rsidRDefault="00EF2966">
      <w:pPr>
        <w:pStyle w:val="ListParagraph"/>
        <w:numPr>
          <w:ilvl w:val="0"/>
          <w:numId w:val="9"/>
        </w:numPr>
        <w:jc w:val="both"/>
      </w:pPr>
      <w:r>
        <w:t>Description of the use case and gaps in existing solutions</w:t>
      </w:r>
    </w:p>
    <w:p w14:paraId="00C98346" w14:textId="77777777" w:rsidR="008F594C" w:rsidRDefault="00EF2966">
      <w:pPr>
        <w:ind w:left="720"/>
        <w:jc w:val="both"/>
      </w:pPr>
      <w:r>
        <w:rPr>
          <w:rFonts w:ascii="Times New Roman" w:eastAsia="Times New Roman" w:hAnsi="Times New Roman" w:cs="Times New Roman"/>
        </w:rPr>
        <w:t>Sequencing happens without measuring risk, which leaves six gaps. Requests are served in order of arrival, so a cosmetic complaint filed in March outranks a structural hazard reported in May. There is no shared scale, so urgent in one department is not urgent in another and budget cannot be allocated against one measure. Photographs and Arabic narratives are attached to tickets, but nothing extracts fault type or severity at national volume, and the pattern of small repeat requests that precedes a serious failure becomes visible only after it. There is no record of why school A preceded school B, so equity between rural and urban schools is never measured, and severity is self-reported rather than verified.</w:t>
      </w:r>
    </w:p>
    <w:p w14:paraId="4DBDBB9E" w14:textId="77777777" w:rsidR="008F594C" w:rsidRDefault="00EF2966">
      <w:pPr>
        <w:ind w:left="720"/>
        <w:jc w:val="both"/>
      </w:pPr>
      <w:r>
        <w:rPr>
          <w:rFonts w:ascii="Times New Roman" w:eastAsia="Times New Roman" w:hAnsi="Times New Roman" w:cs="Times New Roman"/>
        </w:rPr>
        <w:lastRenderedPageBreak/>
        <w:t>Sawn closes these with a fixed public matrix fed by six models. Computer vision classifies the fault from photographs and estimates severity, so severity comes from evidence rather than the person filing; Arabic language processing extracts hazards and urgency cues from the request text. A ranking model turns scores into one national ordering and retrains on resolved cases; escalation prediction estimates which minor faults become serious within a set horizon, moving budget from repair to prevention. Anomaly detection flags self-assessments that do not match the evidence, explanation generation writes one sentence per score, and a retrieval layer attaches the governing instrument to the decision.</w:t>
      </w:r>
    </w:p>
    <w:p w14:paraId="02D3762B" w14:textId="77777777" w:rsidR="008F594C" w:rsidRDefault="00EF2966">
      <w:pPr>
        <w:ind w:left="720"/>
        <w:jc w:val="both"/>
      </w:pPr>
      <w:r>
        <w:rPr>
          <w:rFonts w:ascii="Times New Roman" w:eastAsia="Times New Roman" w:hAnsi="Times New Roman" w:cs="Times New Roman"/>
        </w:rPr>
        <w:t>The scoring rule is deliberately not an average: 40 per cent weighted burden across the eight indicators plus 60 per cent peak life-safety hazard, and a structural or electrical and fire indicator at 8 or above raises the level to safety critical whatever the number. Severity binds to a deadline rather than a queue position: 24 hours for safety critical, 72 for high, five days for medium, seven days as the ceiling. No order is issued by a model, every field action is tied to a named person, every score and decision is written to an append only log, and an override requires a written reason. If the models are unavailable the matrix still ranks on the self-assessment, so the service degrades to a weaker ranking rather than to first come first served.</w:t>
      </w:r>
    </w:p>
    <w:p w14:paraId="0568FF6E" w14:textId="77777777" w:rsidR="008F594C" w:rsidRDefault="00EF2966">
      <w:pPr>
        <w:pStyle w:val="ListParagraph"/>
        <w:numPr>
          <w:ilvl w:val="0"/>
          <w:numId w:val="9"/>
        </w:numPr>
        <w:jc w:val="both"/>
      </w:pPr>
      <w:r>
        <w:t>Mapped documents</w:t>
      </w:r>
    </w:p>
    <w:p w14:paraId="281BCE18" w14:textId="77777777" w:rsidR="008F594C" w:rsidRDefault="00EF2966">
      <w:pPr>
        <w:ind w:left="720"/>
        <w:jc w:val="both"/>
      </w:pPr>
      <w:r>
        <w:rPr>
          <w:rFonts w:ascii="Times New Roman" w:eastAsia="Times New Roman" w:hAnsi="Times New Roman" w:cs="Times New Roman"/>
        </w:rPr>
        <w:t>Each node of the ITU-T Y.3172 pipeline, against the published instruments that govern it.</w:t>
      </w:r>
    </w:p>
    <w:tbl>
      <w:tblPr>
        <w:tblStyle w:val="TableGridLight"/>
        <w:tblW w:w="0" w:type="auto"/>
        <w:tblLook w:val="0420" w:firstRow="1" w:lastRow="0" w:firstColumn="0" w:lastColumn="0" w:noHBand="0" w:noVBand="1"/>
      </w:tblPr>
      <w:tblGrid>
        <w:gridCol w:w="2040"/>
        <w:gridCol w:w="3053"/>
        <w:gridCol w:w="4257"/>
      </w:tblGrid>
      <w:tr w:rsidR="008F594C" w14:paraId="482A4221" w14:textId="77777777">
        <w:trPr>
          <w:tblHeader/>
        </w:trPr>
        <w:tc>
          <w:tcPr>
            <w:tcW w:w="2042" w:type="dxa"/>
          </w:tcPr>
          <w:p w14:paraId="4DBE42DA" w14:textId="77777777" w:rsidR="008F594C" w:rsidRDefault="008F594C">
            <w:pPr>
              <w:rPr>
                <w:b/>
                <w:bCs/>
              </w:rPr>
            </w:pPr>
          </w:p>
        </w:tc>
        <w:tc>
          <w:tcPr>
            <w:tcW w:w="3056" w:type="dxa"/>
          </w:tcPr>
          <w:p w14:paraId="1717957A" w14:textId="77777777" w:rsidR="008F594C" w:rsidRDefault="00EF2966">
            <w:pPr>
              <w:rPr>
                <w:b/>
                <w:bCs/>
              </w:rPr>
            </w:pPr>
            <w:r>
              <w:rPr>
                <w:b/>
                <w:bCs/>
              </w:rPr>
              <w:t>Use case (education domain, Sawn)</w:t>
            </w:r>
          </w:p>
        </w:tc>
        <w:tc>
          <w:tcPr>
            <w:tcW w:w="4262" w:type="dxa"/>
          </w:tcPr>
          <w:p w14:paraId="7ECE373E" w14:textId="77777777" w:rsidR="008F594C" w:rsidRDefault="00EF2966">
            <w:pPr>
              <w:rPr>
                <w:b/>
                <w:bCs/>
              </w:rPr>
            </w:pPr>
            <w:r>
              <w:rPr>
                <w:b/>
                <w:bCs/>
              </w:rPr>
              <w:t>Documents (policies, strategies, AI regulations)</w:t>
            </w:r>
          </w:p>
        </w:tc>
      </w:tr>
      <w:tr w:rsidR="008F594C" w14:paraId="5649000A" w14:textId="77777777">
        <w:tc>
          <w:tcPr>
            <w:tcW w:w="2042" w:type="dxa"/>
          </w:tcPr>
          <w:p w14:paraId="1837C887" w14:textId="77777777" w:rsidR="008F594C" w:rsidRDefault="00EF2966">
            <w:pPr>
              <w:rPr>
                <w:color w:val="000000" w:themeColor="text1"/>
              </w:rPr>
            </w:pPr>
            <w:r>
              <w:rPr>
                <w:color w:val="000000" w:themeColor="text1"/>
              </w:rPr>
              <w:t>SRC</w:t>
            </w:r>
          </w:p>
        </w:tc>
        <w:tc>
          <w:tcPr>
            <w:tcW w:w="3056" w:type="dxa"/>
          </w:tcPr>
          <w:p w14:paraId="2F14A308" w14:textId="77777777" w:rsidR="008F594C" w:rsidRDefault="00EF2966">
            <w:pPr>
              <w:rPr>
                <w:color w:val="000000" w:themeColor="text1"/>
              </w:rPr>
            </w:pPr>
            <w:r>
              <w:rPr>
                <w:color w:val="000000" w:themeColor="text1"/>
              </w:rPr>
              <w:t>The eight indicator self-assessment, geo-tagged photographs, the Arabic request text, the facility register and repair history.</w:t>
            </w:r>
          </w:p>
        </w:tc>
        <w:tc>
          <w:tcPr>
            <w:tcW w:w="4262" w:type="dxa"/>
          </w:tcPr>
          <w:p w14:paraId="45BF4864" w14:textId="77777777" w:rsidR="008F594C" w:rsidRDefault="00EF2966">
            <w:pPr>
              <w:rPr>
                <w:color w:val="000000" w:themeColor="text1"/>
              </w:rPr>
            </w:pPr>
            <w:r>
              <w:rPr>
                <w:color w:val="000000" w:themeColor="text1"/>
              </w:rPr>
              <w:t xml:space="preserve">SBC 201 (general building code), SBC 401 (electrical), SBC 801 (fire); </w:t>
            </w:r>
            <w:proofErr w:type="spellStart"/>
            <w:r>
              <w:rPr>
                <w:color w:val="000000" w:themeColor="text1"/>
              </w:rPr>
              <w:t>MoE</w:t>
            </w:r>
            <w:proofErr w:type="spellEnd"/>
            <w:r>
              <w:rPr>
                <w:color w:val="000000" w:themeColor="text1"/>
              </w:rPr>
              <w:t xml:space="preserve"> facility specifications; Civil </w:t>
            </w:r>
            <w:proofErr w:type="spellStart"/>
            <w:r>
              <w:rPr>
                <w:color w:val="000000" w:themeColor="text1"/>
              </w:rPr>
              <w:t>Defence</w:t>
            </w:r>
            <w:proofErr w:type="spellEnd"/>
            <w:r>
              <w:rPr>
                <w:color w:val="000000" w:themeColor="text1"/>
              </w:rPr>
              <w:t xml:space="preserve"> requirements; PDPL and SDAIA data governance, since imagery captures students.</w:t>
            </w:r>
          </w:p>
        </w:tc>
      </w:tr>
      <w:tr w:rsidR="008F594C" w14:paraId="78C42506" w14:textId="77777777">
        <w:tc>
          <w:tcPr>
            <w:tcW w:w="2042" w:type="dxa"/>
          </w:tcPr>
          <w:p w14:paraId="4993660F" w14:textId="77777777" w:rsidR="008F594C" w:rsidRDefault="00EF2966">
            <w:pPr>
              <w:rPr>
                <w:color w:val="000000" w:themeColor="text1"/>
              </w:rPr>
            </w:pPr>
            <w:r>
              <w:rPr>
                <w:color w:val="000000" w:themeColor="text1"/>
              </w:rPr>
              <w:t>C</w:t>
            </w:r>
          </w:p>
        </w:tc>
        <w:tc>
          <w:tcPr>
            <w:tcW w:w="3056" w:type="dxa"/>
          </w:tcPr>
          <w:p w14:paraId="36BF32E7" w14:textId="77777777" w:rsidR="008F594C" w:rsidRDefault="00EF2966">
            <w:pPr>
              <w:rPr>
                <w:color w:val="000000" w:themeColor="text1"/>
              </w:rPr>
            </w:pPr>
            <w:r>
              <w:rPr>
                <w:color w:val="000000" w:themeColor="text1"/>
              </w:rPr>
              <w:t>Department collection: offline capture in low connectivity schools, queued upload, batch ingest from existing tickets.</w:t>
            </w:r>
          </w:p>
        </w:tc>
        <w:tc>
          <w:tcPr>
            <w:tcW w:w="4262" w:type="dxa"/>
          </w:tcPr>
          <w:p w14:paraId="60109F82" w14:textId="77777777" w:rsidR="008F594C" w:rsidRDefault="00EF2966">
            <w:pPr>
              <w:rPr>
                <w:color w:val="000000" w:themeColor="text1"/>
              </w:rPr>
            </w:pPr>
            <w:r>
              <w:rPr>
                <w:color w:val="000000" w:themeColor="text1"/>
              </w:rPr>
              <w:t>NCA ECC-2:2024; DGA interoperability standards; Nafath single sign-on; ITU-T Y.3174 reference points.</w:t>
            </w:r>
          </w:p>
        </w:tc>
      </w:tr>
      <w:tr w:rsidR="008F594C" w14:paraId="29B2C04E" w14:textId="77777777">
        <w:tc>
          <w:tcPr>
            <w:tcW w:w="2042" w:type="dxa"/>
          </w:tcPr>
          <w:p w14:paraId="17CD5F7A" w14:textId="77777777" w:rsidR="008F594C" w:rsidRDefault="00EF2966">
            <w:pPr>
              <w:rPr>
                <w:color w:val="000000" w:themeColor="text1"/>
              </w:rPr>
            </w:pPr>
            <w:r>
              <w:rPr>
                <w:color w:val="000000" w:themeColor="text1"/>
              </w:rPr>
              <w:t>PP</w:t>
            </w:r>
          </w:p>
        </w:tc>
        <w:tc>
          <w:tcPr>
            <w:tcW w:w="3056" w:type="dxa"/>
          </w:tcPr>
          <w:p w14:paraId="3CD48E62" w14:textId="77777777" w:rsidR="008F594C" w:rsidRDefault="00EF2966">
            <w:pPr>
              <w:rPr>
                <w:color w:val="000000" w:themeColor="text1"/>
              </w:rPr>
            </w:pPr>
            <w:r>
              <w:rPr>
                <w:color w:val="000000" w:themeColor="text1"/>
              </w:rPr>
              <w:t>On device or at the edge: face blurring, location minimization, Arabic normalization, deduplication, feature construction.</w:t>
            </w:r>
          </w:p>
        </w:tc>
        <w:tc>
          <w:tcPr>
            <w:tcW w:w="4262" w:type="dxa"/>
          </w:tcPr>
          <w:p w14:paraId="41670EE2" w14:textId="77777777" w:rsidR="008F594C" w:rsidRDefault="00EF2966">
            <w:pPr>
              <w:rPr>
                <w:color w:val="000000" w:themeColor="text1"/>
              </w:rPr>
            </w:pPr>
            <w:r>
              <w:rPr>
                <w:color w:val="000000" w:themeColor="text1"/>
              </w:rPr>
              <w:t>PDPL regulations on purpose limitation and data minimization; SDAIA and NDMO data classification; ISO/IEC 27001.</w:t>
            </w:r>
          </w:p>
        </w:tc>
      </w:tr>
      <w:tr w:rsidR="008F594C" w14:paraId="34714A4C" w14:textId="77777777">
        <w:tc>
          <w:tcPr>
            <w:tcW w:w="2042" w:type="dxa"/>
          </w:tcPr>
          <w:p w14:paraId="49883FC2" w14:textId="77777777" w:rsidR="008F594C" w:rsidRDefault="00EF2966">
            <w:pPr>
              <w:rPr>
                <w:color w:val="000000" w:themeColor="text1"/>
              </w:rPr>
            </w:pPr>
            <w:r>
              <w:rPr>
                <w:color w:val="000000" w:themeColor="text1"/>
              </w:rPr>
              <w:t>M</w:t>
            </w:r>
          </w:p>
        </w:tc>
        <w:tc>
          <w:tcPr>
            <w:tcW w:w="3056" w:type="dxa"/>
          </w:tcPr>
          <w:p w14:paraId="0B02E400" w14:textId="77777777" w:rsidR="008F594C" w:rsidRDefault="00EF2966">
            <w:pPr>
              <w:rPr>
                <w:color w:val="000000" w:themeColor="text1"/>
              </w:rPr>
            </w:pPr>
            <w:r>
              <w:rPr>
                <w:color w:val="000000" w:themeColor="text1"/>
              </w:rPr>
              <w:t>Vision classifier, Arabic extractor, ranking model, escalation predictor, anomaly detector, explanation generator and retrieval, feeding a fixed published matrix.</w:t>
            </w:r>
          </w:p>
        </w:tc>
        <w:tc>
          <w:tcPr>
            <w:tcW w:w="4262" w:type="dxa"/>
          </w:tcPr>
          <w:p w14:paraId="08F18468" w14:textId="77777777" w:rsidR="008F594C" w:rsidRDefault="00EF2966">
            <w:pPr>
              <w:rPr>
                <w:color w:val="000000" w:themeColor="text1"/>
              </w:rPr>
            </w:pPr>
            <w:r>
              <w:rPr>
                <w:color w:val="000000" w:themeColor="text1"/>
              </w:rPr>
              <w:t>SDAIA AI ethics principles; ISO/IEC 42001 and 23894; ITU-T Y.3173 for intelligence level and Y.3181 for the sandbox validating weights.</w:t>
            </w:r>
          </w:p>
        </w:tc>
      </w:tr>
      <w:tr w:rsidR="008F594C" w14:paraId="7B0221A7" w14:textId="77777777">
        <w:tc>
          <w:tcPr>
            <w:tcW w:w="2042" w:type="dxa"/>
          </w:tcPr>
          <w:p w14:paraId="793C0824" w14:textId="77777777" w:rsidR="008F594C" w:rsidRDefault="00EF2966">
            <w:pPr>
              <w:rPr>
                <w:color w:val="000000" w:themeColor="text1"/>
              </w:rPr>
            </w:pPr>
            <w:r>
              <w:rPr>
                <w:color w:val="000000" w:themeColor="text1"/>
              </w:rPr>
              <w:lastRenderedPageBreak/>
              <w:t>P</w:t>
            </w:r>
          </w:p>
        </w:tc>
        <w:tc>
          <w:tcPr>
            <w:tcW w:w="3056" w:type="dxa"/>
          </w:tcPr>
          <w:p w14:paraId="0F1158AC" w14:textId="77777777" w:rsidR="008F594C" w:rsidRDefault="00EF2966">
            <w:pPr>
              <w:rPr>
                <w:color w:val="000000" w:themeColor="text1"/>
              </w:rPr>
            </w:pPr>
            <w:r>
              <w:rPr>
                <w:color w:val="000000" w:themeColor="text1"/>
              </w:rPr>
              <w:t>Human in the loop. Engineers review the ranking, safety critical flags open a mandatory inspection with a clock, and the ministry may override with a written reason.</w:t>
            </w:r>
          </w:p>
        </w:tc>
        <w:tc>
          <w:tcPr>
            <w:tcW w:w="4262" w:type="dxa"/>
          </w:tcPr>
          <w:p w14:paraId="2783813F" w14:textId="77777777" w:rsidR="008F594C" w:rsidRDefault="00EF2966">
            <w:pPr>
              <w:rPr>
                <w:color w:val="000000" w:themeColor="text1"/>
              </w:rPr>
            </w:pPr>
            <w:r>
              <w:rPr>
                <w:color w:val="000000" w:themeColor="text1"/>
              </w:rPr>
              <w:t>SDAIA principles on human oversight; ISO 31000 risk criteria; ministry delegation of authority; overriding conditions and appeal route; ECC-2:2024 audit trails.</w:t>
            </w:r>
          </w:p>
        </w:tc>
      </w:tr>
      <w:tr w:rsidR="008F594C" w14:paraId="04B4D88E" w14:textId="77777777">
        <w:tc>
          <w:tcPr>
            <w:tcW w:w="2042" w:type="dxa"/>
          </w:tcPr>
          <w:p w14:paraId="1BD206B8" w14:textId="77777777" w:rsidR="008F594C" w:rsidRDefault="00EF2966">
            <w:pPr>
              <w:rPr>
                <w:color w:val="000000" w:themeColor="text1"/>
              </w:rPr>
            </w:pPr>
            <w:r>
              <w:rPr>
                <w:color w:val="000000" w:themeColor="text1"/>
              </w:rPr>
              <w:t>D</w:t>
            </w:r>
          </w:p>
        </w:tc>
        <w:tc>
          <w:tcPr>
            <w:tcW w:w="3056" w:type="dxa"/>
          </w:tcPr>
          <w:p w14:paraId="63588ED8" w14:textId="77777777" w:rsidR="008F594C" w:rsidRDefault="00EF2966">
            <w:pPr>
              <w:rPr>
                <w:color w:val="000000" w:themeColor="text1"/>
              </w:rPr>
            </w:pPr>
            <w:r>
              <w:rPr>
                <w:color w:val="000000" w:themeColor="text1"/>
              </w:rPr>
              <w:t>Analytics in an approved government cloud region: dashboards, escalation tracking, fairness reports, budget forecasting.</w:t>
            </w:r>
          </w:p>
        </w:tc>
        <w:tc>
          <w:tcPr>
            <w:tcW w:w="4262" w:type="dxa"/>
          </w:tcPr>
          <w:p w14:paraId="576CD1AE" w14:textId="77777777" w:rsidR="008F594C" w:rsidRDefault="00EF2966">
            <w:pPr>
              <w:rPr>
                <w:color w:val="000000" w:themeColor="text1"/>
              </w:rPr>
            </w:pPr>
            <w:r>
              <w:rPr>
                <w:color w:val="000000" w:themeColor="text1"/>
              </w:rPr>
              <w:t>NCA CCC-1:2020 and data residency; ISO/IEC 27001; energy considerations for training and inference; Y.3172 distributor node.</w:t>
            </w:r>
          </w:p>
        </w:tc>
      </w:tr>
      <w:tr w:rsidR="008F594C" w14:paraId="3744BAEF" w14:textId="77777777">
        <w:tc>
          <w:tcPr>
            <w:tcW w:w="2042" w:type="dxa"/>
          </w:tcPr>
          <w:p w14:paraId="28E478FC" w14:textId="77777777" w:rsidR="008F594C" w:rsidRDefault="00EF2966">
            <w:pPr>
              <w:rPr>
                <w:color w:val="000000" w:themeColor="text1"/>
              </w:rPr>
            </w:pPr>
            <w:r>
              <w:rPr>
                <w:color w:val="000000" w:themeColor="text1"/>
              </w:rPr>
              <w:t>SINK</w:t>
            </w:r>
          </w:p>
        </w:tc>
        <w:tc>
          <w:tcPr>
            <w:tcW w:w="3056" w:type="dxa"/>
          </w:tcPr>
          <w:p w14:paraId="60021444" w14:textId="77777777" w:rsidR="008F594C" w:rsidRDefault="00EF2966">
            <w:pPr>
              <w:rPr>
                <w:color w:val="000000" w:themeColor="text1"/>
              </w:rPr>
            </w:pPr>
            <w:r>
              <w:rPr>
                <w:color w:val="000000" w:themeColor="text1"/>
              </w:rPr>
              <w:t>Work orders, a status and explanation screen for the school, contractor tasking. Orders close only on signed handover notes naming company and engineer.</w:t>
            </w:r>
          </w:p>
        </w:tc>
        <w:tc>
          <w:tcPr>
            <w:tcW w:w="4262" w:type="dxa"/>
          </w:tcPr>
          <w:p w14:paraId="4AD061CC" w14:textId="77777777" w:rsidR="008F594C" w:rsidRDefault="00EF2966">
            <w:pPr>
              <w:rPr>
                <w:color w:val="000000" w:themeColor="text1"/>
              </w:rPr>
            </w:pPr>
            <w:r>
              <w:rPr>
                <w:color w:val="000000" w:themeColor="text1"/>
              </w:rPr>
              <w:t>Government Tenders and Procurement Law and Etimad; the Tatweer Buildings Company mandate; the Electronic Transactions Law and digital certification, giving the signature legal effect; Vision 2030.</w:t>
            </w:r>
          </w:p>
        </w:tc>
      </w:tr>
    </w:tbl>
    <w:p w14:paraId="62C424E9" w14:textId="77777777" w:rsidR="008F594C" w:rsidRDefault="00EF2966">
      <w:pPr>
        <w:ind w:left="720"/>
        <w:jc w:val="both"/>
      </w:pPr>
      <w:r>
        <w:rPr>
          <w:rFonts w:ascii="Times New Roman" w:eastAsia="Times New Roman" w:hAnsi="Times New Roman" w:cs="Times New Roman"/>
        </w:rPr>
        <w:t>The mapping is not limited to data and model handling. Against the ITU AI Readiness framework, report 2.0, Sawn touches six of the thirteen dimensions directly.</w:t>
      </w:r>
    </w:p>
    <w:tbl>
      <w:tblPr>
        <w:tblStyle w:val="TableGridLight"/>
        <w:tblW w:w="0" w:type="auto"/>
        <w:tblLook w:val="0420" w:firstRow="1" w:lastRow="0" w:firstColumn="0" w:lastColumn="0" w:noHBand="0" w:noVBand="1"/>
      </w:tblPr>
      <w:tblGrid>
        <w:gridCol w:w="2041"/>
        <w:gridCol w:w="3053"/>
        <w:gridCol w:w="4256"/>
      </w:tblGrid>
      <w:tr w:rsidR="008F594C" w14:paraId="5C078B84" w14:textId="77777777">
        <w:trPr>
          <w:tblHeader/>
        </w:trPr>
        <w:tc>
          <w:tcPr>
            <w:tcW w:w="2042" w:type="dxa"/>
          </w:tcPr>
          <w:p w14:paraId="19C8E06E" w14:textId="77777777" w:rsidR="008F594C" w:rsidRDefault="00EF2966">
            <w:pPr>
              <w:rPr>
                <w:b/>
                <w:bCs/>
              </w:rPr>
            </w:pPr>
            <w:r>
              <w:rPr>
                <w:b/>
                <w:bCs/>
              </w:rPr>
              <w:t>Factor</w:t>
            </w:r>
          </w:p>
        </w:tc>
        <w:tc>
          <w:tcPr>
            <w:tcW w:w="3056" w:type="dxa"/>
          </w:tcPr>
          <w:p w14:paraId="4A569103" w14:textId="77777777" w:rsidR="008F594C" w:rsidRDefault="00EF2966">
            <w:pPr>
              <w:rPr>
                <w:b/>
                <w:bCs/>
              </w:rPr>
            </w:pPr>
            <w:r>
              <w:rPr>
                <w:b/>
                <w:bCs/>
              </w:rPr>
              <w:t>Dimension</w:t>
            </w:r>
          </w:p>
        </w:tc>
        <w:tc>
          <w:tcPr>
            <w:tcW w:w="4262" w:type="dxa"/>
          </w:tcPr>
          <w:p w14:paraId="7605EAA4" w14:textId="77777777" w:rsidR="008F594C" w:rsidRDefault="00EF2966">
            <w:pPr>
              <w:rPr>
                <w:b/>
                <w:bCs/>
              </w:rPr>
            </w:pPr>
            <w:r>
              <w:rPr>
                <w:b/>
                <w:bCs/>
              </w:rPr>
              <w:t>Where it is in Sawn</w:t>
            </w:r>
          </w:p>
        </w:tc>
      </w:tr>
      <w:tr w:rsidR="008F594C" w14:paraId="274E6DD6" w14:textId="77777777">
        <w:tc>
          <w:tcPr>
            <w:tcW w:w="2042" w:type="dxa"/>
          </w:tcPr>
          <w:p w14:paraId="28801D33" w14:textId="77777777" w:rsidR="008F594C" w:rsidRDefault="00EF2966">
            <w:pPr>
              <w:rPr>
                <w:color w:val="000000" w:themeColor="text1"/>
              </w:rPr>
            </w:pPr>
            <w:r>
              <w:rPr>
                <w:color w:val="000000" w:themeColor="text1"/>
              </w:rPr>
              <w:t>Standards</w:t>
            </w:r>
          </w:p>
        </w:tc>
        <w:tc>
          <w:tcPr>
            <w:tcW w:w="3056" w:type="dxa"/>
          </w:tcPr>
          <w:p w14:paraId="55ECE3A0" w14:textId="77777777" w:rsidR="008F594C" w:rsidRDefault="00EF2966">
            <w:pPr>
              <w:rPr>
                <w:color w:val="000000" w:themeColor="text1"/>
              </w:rPr>
            </w:pPr>
            <w:r>
              <w:rPr>
                <w:color w:val="000000" w:themeColor="text1"/>
              </w:rPr>
              <w:t>Level of integration of AI in workflows</w:t>
            </w:r>
          </w:p>
        </w:tc>
        <w:tc>
          <w:tcPr>
            <w:tcW w:w="4262" w:type="dxa"/>
          </w:tcPr>
          <w:p w14:paraId="7BE55081" w14:textId="77777777" w:rsidR="008F594C" w:rsidRDefault="00EF2966">
            <w:pPr>
              <w:rPr>
                <w:color w:val="000000" w:themeColor="text1"/>
              </w:rPr>
            </w:pPr>
            <w:r>
              <w:rPr>
                <w:color w:val="000000" w:themeColor="text1"/>
              </w:rPr>
              <w:t>Built as the Y.3172 pipeline; automation level per node per Y.3173; metric is cycle time from filing to signed work order.</w:t>
            </w:r>
          </w:p>
        </w:tc>
      </w:tr>
      <w:tr w:rsidR="008F594C" w14:paraId="0C2116C1" w14:textId="77777777">
        <w:tc>
          <w:tcPr>
            <w:tcW w:w="2042" w:type="dxa"/>
          </w:tcPr>
          <w:p w14:paraId="06D85FB8" w14:textId="77777777" w:rsidR="008F594C" w:rsidRDefault="00EF2966">
            <w:pPr>
              <w:rPr>
                <w:color w:val="000000" w:themeColor="text1"/>
              </w:rPr>
            </w:pPr>
            <w:r>
              <w:rPr>
                <w:color w:val="000000" w:themeColor="text1"/>
              </w:rPr>
              <w:t>Sandbox; Deployment</w:t>
            </w:r>
          </w:p>
        </w:tc>
        <w:tc>
          <w:tcPr>
            <w:tcW w:w="3056" w:type="dxa"/>
          </w:tcPr>
          <w:p w14:paraId="35DCD96E" w14:textId="77777777" w:rsidR="008F594C" w:rsidRDefault="00EF2966">
            <w:pPr>
              <w:rPr>
                <w:color w:val="000000" w:themeColor="text1"/>
              </w:rPr>
            </w:pPr>
            <w:r>
              <w:rPr>
                <w:color w:val="000000" w:themeColor="text1"/>
              </w:rPr>
              <w:t>AI and policies</w:t>
            </w:r>
          </w:p>
        </w:tc>
        <w:tc>
          <w:tcPr>
            <w:tcW w:w="4262" w:type="dxa"/>
          </w:tcPr>
          <w:p w14:paraId="748E24A7" w14:textId="77777777" w:rsidR="008F594C" w:rsidRDefault="00EF2966">
            <w:pPr>
              <w:rPr>
                <w:color w:val="000000" w:themeColor="text1"/>
              </w:rPr>
            </w:pPr>
            <w:r>
              <w:rPr>
                <w:color w:val="000000" w:themeColor="text1"/>
              </w:rPr>
              <w:t>Each rank cites its instrument; refusals fill the gap register; weight changes tested in the Y.3181 sandbox first.</w:t>
            </w:r>
          </w:p>
        </w:tc>
      </w:tr>
      <w:tr w:rsidR="008F594C" w14:paraId="20027235" w14:textId="77777777">
        <w:tc>
          <w:tcPr>
            <w:tcW w:w="2042" w:type="dxa"/>
          </w:tcPr>
          <w:p w14:paraId="6C7295CB" w14:textId="77777777" w:rsidR="008F594C" w:rsidRDefault="00EF2966">
            <w:pPr>
              <w:rPr>
                <w:color w:val="000000" w:themeColor="text1"/>
              </w:rPr>
            </w:pPr>
            <w:r>
              <w:rPr>
                <w:color w:val="000000" w:themeColor="text1"/>
              </w:rPr>
              <w:t>Sandbox</w:t>
            </w:r>
          </w:p>
        </w:tc>
        <w:tc>
          <w:tcPr>
            <w:tcW w:w="3056" w:type="dxa"/>
          </w:tcPr>
          <w:p w14:paraId="02E988FB" w14:textId="77777777" w:rsidR="008F594C" w:rsidRDefault="00EF2966">
            <w:pPr>
              <w:rPr>
                <w:color w:val="000000" w:themeColor="text1"/>
              </w:rPr>
            </w:pPr>
            <w:r>
              <w:rPr>
                <w:color w:val="000000" w:themeColor="text1"/>
              </w:rPr>
              <w:t>Impacts of humans in AI integration</w:t>
            </w:r>
          </w:p>
        </w:tc>
        <w:tc>
          <w:tcPr>
            <w:tcW w:w="4262" w:type="dxa"/>
          </w:tcPr>
          <w:p w14:paraId="5438BEF4" w14:textId="77777777" w:rsidR="008F594C" w:rsidRDefault="00EF2966">
            <w:pPr>
              <w:rPr>
                <w:color w:val="000000" w:themeColor="text1"/>
              </w:rPr>
            </w:pPr>
            <w:r>
              <w:rPr>
                <w:color w:val="000000" w:themeColor="text1"/>
              </w:rPr>
              <w:t>No order is issued by a model; the P node is a named official; overrides need a written reason.</w:t>
            </w:r>
          </w:p>
        </w:tc>
      </w:tr>
      <w:tr w:rsidR="008F594C" w14:paraId="1F6B27DB" w14:textId="77777777">
        <w:tc>
          <w:tcPr>
            <w:tcW w:w="2042" w:type="dxa"/>
          </w:tcPr>
          <w:p w14:paraId="18E42463" w14:textId="77777777" w:rsidR="008F594C" w:rsidRDefault="00EF2966">
            <w:pPr>
              <w:rPr>
                <w:color w:val="000000" w:themeColor="text1"/>
              </w:rPr>
            </w:pPr>
            <w:r>
              <w:rPr>
                <w:color w:val="000000" w:themeColor="text1"/>
              </w:rPr>
              <w:t>Data; Open source</w:t>
            </w:r>
          </w:p>
        </w:tc>
        <w:tc>
          <w:tcPr>
            <w:tcW w:w="3056" w:type="dxa"/>
          </w:tcPr>
          <w:p w14:paraId="0354A83C" w14:textId="77777777" w:rsidR="008F594C" w:rsidRDefault="00EF2966">
            <w:pPr>
              <w:rPr>
                <w:color w:val="000000" w:themeColor="text1"/>
              </w:rPr>
            </w:pPr>
            <w:r>
              <w:rPr>
                <w:color w:val="000000" w:themeColor="text1"/>
              </w:rPr>
              <w:t>Data and model marketplace</w:t>
            </w:r>
          </w:p>
        </w:tc>
        <w:tc>
          <w:tcPr>
            <w:tcW w:w="4262" w:type="dxa"/>
          </w:tcPr>
          <w:p w14:paraId="61C6B719" w14:textId="77777777" w:rsidR="008F594C" w:rsidRDefault="00EF2966">
            <w:pPr>
              <w:rPr>
                <w:color w:val="000000" w:themeColor="text1"/>
              </w:rPr>
            </w:pPr>
            <w:r>
              <w:rPr>
                <w:color w:val="000000" w:themeColor="text1"/>
              </w:rPr>
              <w:t>23 published instruments with authority and link as an open corpus; images de-identified at the school; fairness computed each term.</w:t>
            </w:r>
          </w:p>
        </w:tc>
      </w:tr>
      <w:tr w:rsidR="008F594C" w14:paraId="46ED3C83" w14:textId="77777777">
        <w:tc>
          <w:tcPr>
            <w:tcW w:w="2042" w:type="dxa"/>
          </w:tcPr>
          <w:p w14:paraId="6CE4CB02" w14:textId="77777777" w:rsidR="008F594C" w:rsidRDefault="00EF2966">
            <w:pPr>
              <w:rPr>
                <w:color w:val="000000" w:themeColor="text1"/>
              </w:rPr>
            </w:pPr>
            <w:r>
              <w:rPr>
                <w:color w:val="000000" w:themeColor="text1"/>
              </w:rPr>
              <w:t>Data; Research; Deployment</w:t>
            </w:r>
          </w:p>
        </w:tc>
        <w:tc>
          <w:tcPr>
            <w:tcW w:w="3056" w:type="dxa"/>
          </w:tcPr>
          <w:p w14:paraId="204CEC63" w14:textId="77777777" w:rsidR="008F594C" w:rsidRDefault="00EF2966">
            <w:pPr>
              <w:rPr>
                <w:color w:val="000000" w:themeColor="text1"/>
              </w:rPr>
            </w:pPr>
            <w:r>
              <w:rPr>
                <w:color w:val="000000" w:themeColor="text1"/>
              </w:rPr>
              <w:t>Contextualization and regional impact</w:t>
            </w:r>
          </w:p>
        </w:tc>
        <w:tc>
          <w:tcPr>
            <w:tcW w:w="4262" w:type="dxa"/>
          </w:tcPr>
          <w:p w14:paraId="421551BB" w14:textId="77777777" w:rsidR="008F594C" w:rsidRDefault="00EF2966">
            <w:pPr>
              <w:rPr>
                <w:color w:val="000000" w:themeColor="text1"/>
              </w:rPr>
            </w:pPr>
            <w:r>
              <w:rPr>
                <w:color w:val="000000" w:themeColor="text1"/>
              </w:rPr>
              <w:t>Saudi administrative Arabic, the national school register and the Al Baha pilot; swapping the corpus moves the system to clinics or another country.</w:t>
            </w:r>
          </w:p>
        </w:tc>
      </w:tr>
      <w:tr w:rsidR="008F594C" w14:paraId="6F5D1746" w14:textId="77777777">
        <w:tc>
          <w:tcPr>
            <w:tcW w:w="2042" w:type="dxa"/>
          </w:tcPr>
          <w:p w14:paraId="163755AB" w14:textId="77777777" w:rsidR="008F594C" w:rsidRDefault="00EF2966">
            <w:pPr>
              <w:rPr>
                <w:color w:val="000000" w:themeColor="text1"/>
              </w:rPr>
            </w:pPr>
            <w:r>
              <w:rPr>
                <w:color w:val="000000" w:themeColor="text1"/>
              </w:rPr>
              <w:t>Standards</w:t>
            </w:r>
          </w:p>
        </w:tc>
        <w:tc>
          <w:tcPr>
            <w:tcW w:w="3056" w:type="dxa"/>
          </w:tcPr>
          <w:p w14:paraId="63DE400F" w14:textId="77777777" w:rsidR="008F594C" w:rsidRDefault="00EF2966">
            <w:pPr>
              <w:rPr>
                <w:color w:val="000000" w:themeColor="text1"/>
              </w:rPr>
            </w:pPr>
            <w:r>
              <w:rPr>
                <w:color w:val="000000" w:themeColor="text1"/>
              </w:rPr>
              <w:t>Strategy alignment</w:t>
            </w:r>
          </w:p>
        </w:tc>
        <w:tc>
          <w:tcPr>
            <w:tcW w:w="4262" w:type="dxa"/>
          </w:tcPr>
          <w:p w14:paraId="604C6F77" w14:textId="77777777" w:rsidR="008F594C" w:rsidRDefault="00EF2966">
            <w:pPr>
              <w:rPr>
                <w:color w:val="000000" w:themeColor="text1"/>
              </w:rPr>
            </w:pPr>
            <w:r>
              <w:rPr>
                <w:color w:val="000000" w:themeColor="text1"/>
              </w:rPr>
              <w:t>A ministry intent is decomposed to departments and contractors and returns as a versioned decision; three standards gaps go to the study group.</w:t>
            </w:r>
          </w:p>
        </w:tc>
      </w:tr>
    </w:tbl>
    <w:p w14:paraId="5C45E83F" w14:textId="77777777" w:rsidR="008470AD" w:rsidRDefault="008470AD">
      <w:pPr>
        <w:ind w:left="720"/>
        <w:jc w:val="both"/>
        <w:rPr>
          <w:rFonts w:ascii="Times New Roman" w:eastAsia="Times New Roman" w:hAnsi="Times New Roman" w:cs="Times New Roman"/>
        </w:rPr>
      </w:pPr>
    </w:p>
    <w:p w14:paraId="3E9BBFFC" w14:textId="77777777" w:rsidR="00E400D5" w:rsidRDefault="00E400D5">
      <w:pPr>
        <w:ind w:left="720"/>
        <w:jc w:val="both"/>
        <w:rPr>
          <w:rFonts w:ascii="Times New Roman" w:eastAsia="Times New Roman" w:hAnsi="Times New Roman" w:cs="Times New Roman"/>
        </w:rPr>
      </w:pPr>
    </w:p>
    <w:p w14:paraId="6152B99C" w14:textId="6EFC3338" w:rsidR="008F594C" w:rsidRDefault="00EF2966">
      <w:pPr>
        <w:ind w:left="720"/>
        <w:jc w:val="both"/>
      </w:pPr>
      <w:r>
        <w:rPr>
          <w:rFonts w:ascii="Times New Roman" w:eastAsia="Times New Roman" w:hAnsi="Times New Roman" w:cs="Times New Roman"/>
        </w:rPr>
        <w:lastRenderedPageBreak/>
        <w:t xml:space="preserve">The retrieval layer also found seven </w:t>
      </w:r>
      <w:proofErr w:type="gramStart"/>
      <w:r>
        <w:rPr>
          <w:rFonts w:ascii="Times New Roman" w:eastAsia="Times New Roman" w:hAnsi="Times New Roman" w:cs="Times New Roman"/>
        </w:rPr>
        <w:t>decisions</w:t>
      </w:r>
      <w:proofErr w:type="gramEnd"/>
      <w:r>
        <w:rPr>
          <w:rFonts w:ascii="Times New Roman" w:eastAsia="Times New Roman" w:hAnsi="Times New Roman" w:cs="Times New Roman"/>
        </w:rPr>
        <w:t xml:space="preserve"> no published instrument governs, recorded as policy gaps with a proposed instrument each. </w:t>
      </w:r>
      <w:r>
        <w:rPr>
          <w:rFonts w:ascii="Times New Roman" w:eastAsia="Times New Roman" w:hAnsi="Times New Roman" w:cs="Times New Roman"/>
          <w:b/>
          <w:bCs/>
        </w:rPr>
        <w:t>One.</w:t>
      </w:r>
      <w:r>
        <w:rPr>
          <w:rFonts w:ascii="Times New Roman" w:eastAsia="Times New Roman" w:hAnsi="Times New Roman" w:cs="Times New Roman"/>
        </w:rPr>
        <w:t xml:space="preserve"> No rule on </w:t>
      </w:r>
      <w:proofErr w:type="gramStart"/>
      <w:r>
        <w:rPr>
          <w:rFonts w:ascii="Times New Roman" w:eastAsia="Times New Roman" w:hAnsi="Times New Roman" w:cs="Times New Roman"/>
        </w:rPr>
        <w:t>risk based</w:t>
      </w:r>
      <w:proofErr w:type="gramEnd"/>
      <w:r>
        <w:rPr>
          <w:rFonts w:ascii="Times New Roman" w:eastAsia="Times New Roman" w:hAnsi="Times New Roman" w:cs="Times New Roman"/>
        </w:rPr>
        <w:t xml:space="preserve"> prioritization of public facility maintenance: the code says how a school must be built, not the order its defects are repaired; proposed, a triage service level schedule. </w:t>
      </w:r>
      <w:r>
        <w:rPr>
          <w:rFonts w:ascii="Times New Roman" w:eastAsia="Times New Roman" w:hAnsi="Times New Roman" w:cs="Times New Roman"/>
          <w:b/>
          <w:bCs/>
        </w:rPr>
        <w:t>Two.</w:t>
      </w:r>
      <w:r>
        <w:rPr>
          <w:rFonts w:ascii="Times New Roman" w:eastAsia="Times New Roman" w:hAnsi="Times New Roman" w:cs="Times New Roman"/>
        </w:rPr>
        <w:t xml:space="preserve"> No binding standard for algorithmic prioritization in public services, since SDAIA principles do not require explanation or appeal; proposed, a control requiring published criteria, an explanation and an appeal route. </w:t>
      </w:r>
      <w:r>
        <w:rPr>
          <w:rFonts w:ascii="Times New Roman" w:eastAsia="Times New Roman" w:hAnsi="Times New Roman" w:cs="Times New Roman"/>
          <w:b/>
          <w:bCs/>
        </w:rPr>
        <w:t>Three.</w:t>
      </w:r>
      <w:r>
        <w:rPr>
          <w:rFonts w:ascii="Times New Roman" w:eastAsia="Times New Roman" w:hAnsi="Times New Roman" w:cs="Times New Roman"/>
        </w:rPr>
        <w:t xml:space="preserve"> No obligation to audit public sector AI for disparate impact; proposed, a periodic fairness report to a named oversight body. </w:t>
      </w:r>
      <w:r>
        <w:rPr>
          <w:rFonts w:ascii="Times New Roman" w:eastAsia="Times New Roman" w:hAnsi="Times New Roman" w:cs="Times New Roman"/>
          <w:b/>
          <w:bCs/>
        </w:rPr>
        <w:t>Four.</w:t>
      </w:r>
      <w:r>
        <w:rPr>
          <w:rFonts w:ascii="Times New Roman" w:eastAsia="Times New Roman" w:hAnsi="Times New Roman" w:cs="Times New Roman"/>
        </w:rPr>
        <w:t xml:space="preserve"> Facility vulnerability data is not classified, although a map of the weakest schools is a security asset concerning children; proposed, a sensitive class under national classification. </w:t>
      </w:r>
      <w:r>
        <w:rPr>
          <w:rFonts w:ascii="Times New Roman" w:eastAsia="Times New Roman" w:hAnsi="Times New Roman" w:cs="Times New Roman"/>
          <w:b/>
          <w:bCs/>
        </w:rPr>
        <w:t>Five.</w:t>
      </w:r>
      <w:r>
        <w:rPr>
          <w:rFonts w:ascii="Times New Roman" w:eastAsia="Times New Roman" w:hAnsi="Times New Roman" w:cs="Times New Roman"/>
        </w:rPr>
        <w:t xml:space="preserve"> No purpose limitation clause for government AI vendors; proposed, a clause prohibiting secondary use, with sanctions. </w:t>
      </w:r>
      <w:r>
        <w:rPr>
          <w:rFonts w:ascii="Times New Roman" w:eastAsia="Times New Roman" w:hAnsi="Times New Roman" w:cs="Times New Roman"/>
          <w:b/>
          <w:bCs/>
        </w:rPr>
        <w:t>Six.</w:t>
      </w:r>
      <w:r>
        <w:rPr>
          <w:rFonts w:ascii="Times New Roman" w:eastAsia="Times New Roman" w:hAnsi="Times New Roman" w:cs="Times New Roman"/>
        </w:rPr>
        <w:t xml:space="preserve"> No guidance on incidental capture of minors in facility imagery; proposed, on device blurring before images leave the school. </w:t>
      </w:r>
      <w:r>
        <w:rPr>
          <w:rFonts w:ascii="Times New Roman" w:eastAsia="Times New Roman" w:hAnsi="Times New Roman" w:cs="Times New Roman"/>
          <w:b/>
          <w:bCs/>
        </w:rPr>
        <w:t>Seven.</w:t>
      </w:r>
      <w:r>
        <w:rPr>
          <w:rFonts w:ascii="Times New Roman" w:eastAsia="Times New Roman" w:hAnsi="Times New Roman" w:cs="Times New Roman"/>
        </w:rPr>
        <w:t xml:space="preserve"> Accountability for </w:t>
      </w:r>
      <w:proofErr w:type="gramStart"/>
      <w:r>
        <w:rPr>
          <w:rFonts w:ascii="Times New Roman" w:eastAsia="Times New Roman" w:hAnsi="Times New Roman" w:cs="Times New Roman"/>
        </w:rPr>
        <w:t>a human</w:t>
      </w:r>
      <w:proofErr w:type="gramEnd"/>
      <w:r>
        <w:rPr>
          <w:rFonts w:ascii="Times New Roman" w:eastAsia="Times New Roman" w:hAnsi="Times New Roman" w:cs="Times New Roman"/>
        </w:rPr>
        <w:t xml:space="preserve"> override is undefined; proposed, a delegation of authority amendment naming the accountable role.</w:t>
      </w:r>
    </w:p>
    <w:p w14:paraId="3DA78624" w14:textId="77777777" w:rsidR="008F594C" w:rsidRDefault="00EF2966">
      <w:pPr>
        <w:ind w:left="720"/>
        <w:jc w:val="both"/>
      </w:pPr>
      <w:r>
        <w:rPr>
          <w:rFonts w:ascii="Times New Roman" w:eastAsia="Times New Roman" w:hAnsi="Times New Roman" w:cs="Times New Roman"/>
        </w:rPr>
        <w:t>Three sit at standards level and are drafted as candidate inputs to ITU-T Study Group 13: Y.3172 carries no reference point for an explanation artefact; there is no portable schema for public facility risk triage; and Y.3181 validates models, not a policy weight set by a human.</w:t>
      </w:r>
    </w:p>
    <w:p w14:paraId="5ED1DF34" w14:textId="77777777" w:rsidR="008F594C" w:rsidRDefault="00EF2966">
      <w:pPr>
        <w:pStyle w:val="ListParagraph"/>
        <w:numPr>
          <w:ilvl w:val="0"/>
          <w:numId w:val="9"/>
        </w:numPr>
        <w:jc w:val="both"/>
      </w:pPr>
      <w:r>
        <w:t>evaluation scenarios.</w:t>
      </w:r>
    </w:p>
    <w:p w14:paraId="346CBCB6" w14:textId="77777777" w:rsidR="008F594C" w:rsidRDefault="00EF2966">
      <w:pPr>
        <w:ind w:left="720"/>
        <w:jc w:val="both"/>
      </w:pPr>
      <w:r>
        <w:rPr>
          <w:rFonts w:ascii="Times New Roman" w:eastAsia="Times New Roman" w:hAnsi="Times New Roman" w:cs="Times New Roman"/>
        </w:rPr>
        <w:t>One scenario where the system works and three where it is contested, each settled by a rule already in the knowledge base.</w:t>
      </w:r>
    </w:p>
    <w:p w14:paraId="4A905E65" w14:textId="77777777" w:rsidR="008F594C" w:rsidRDefault="00EF2966">
      <w:pPr>
        <w:jc w:val="both"/>
      </w:pPr>
      <w:r>
        <w:rPr>
          <w:b/>
          <w:bCs/>
        </w:rPr>
        <w:t>National operation at scale.</w:t>
      </w:r>
      <w:r>
        <w:t xml:space="preserve"> Sawn is live across the education departments with roughly 100,000 open requests. A school submits photographs of a diagonal crack in a load bearing wall that widens after rain.</w:t>
      </w:r>
    </w:p>
    <w:p w14:paraId="1F821F16" w14:textId="77777777" w:rsidR="008F594C" w:rsidRDefault="00EF2966">
      <w:pPr>
        <w:jc w:val="both"/>
      </w:pPr>
      <w:r>
        <w:t xml:space="preserve">Vision classifies structural cracking at high </w:t>
      </w:r>
      <w:proofErr w:type="gramStart"/>
      <w:r>
        <w:t>severity</w:t>
      </w:r>
      <w:proofErr w:type="gramEnd"/>
      <w:r>
        <w:t xml:space="preserve"> and the Arabic layer extracts the collapse language. The matrix returns 75 out of 100, safety critical, lifting the request three and a half thousand places to the top of the queue, and the policy layer attaches SBC 201.</w:t>
      </w:r>
    </w:p>
    <w:p w14:paraId="5DEF5307" w14:textId="77777777" w:rsidR="008F594C" w:rsidRDefault="00EF2966">
      <w:pPr>
        <w:jc w:val="both"/>
      </w:pPr>
      <w:r>
        <w:t xml:space="preserve">The department approves inside the </w:t>
      </w:r>
      <w:proofErr w:type="gramStart"/>
      <w:r>
        <w:t>24 hour</w:t>
      </w:r>
      <w:proofErr w:type="gramEnd"/>
      <w:r>
        <w:t xml:space="preserve"> window and issues the work order to a named company under a named engineer. Score, </w:t>
      </w:r>
      <w:proofErr w:type="gramStart"/>
      <w:r>
        <w:t>inputs</w:t>
      </w:r>
      <w:proofErr w:type="gramEnd"/>
      <w:r>
        <w:t>, explanation and decision go to the audit trail; the outcome returns as a training label.</w:t>
      </w:r>
    </w:p>
    <w:p w14:paraId="41510AAF" w14:textId="77777777" w:rsidR="008F594C" w:rsidRDefault="00EF2966">
      <w:pPr>
        <w:jc w:val="both"/>
      </w:pPr>
      <w:r>
        <w:rPr>
          <w:b/>
          <w:bCs/>
        </w:rPr>
        <w:t>Schools game the published weights.</w:t>
      </w:r>
      <w:r>
        <w:t xml:space="preserve"> Because the weights are published, some schools work out that inflating the safety indicator moves them </w:t>
      </w:r>
      <w:proofErr w:type="gramStart"/>
      <w:r>
        <w:t>up, and</w:t>
      </w:r>
      <w:proofErr w:type="gramEnd"/>
      <w:r>
        <w:t xml:space="preserve"> start doing it.</w:t>
      </w:r>
    </w:p>
    <w:p w14:paraId="5D13BEED" w14:textId="77777777" w:rsidR="008F594C" w:rsidRDefault="00EF2966">
      <w:pPr>
        <w:jc w:val="both"/>
      </w:pPr>
      <w:r>
        <w:t>Anomaly detection compares declared severity against the image evidence, the site history and peer schools. Divergence suspends automatic escalation until a physical inspection takes place, and repeated divergence goes to the department as an integrity matter.</w:t>
      </w:r>
    </w:p>
    <w:p w14:paraId="599084C1" w14:textId="77777777" w:rsidR="008F594C" w:rsidRDefault="00EF2966">
      <w:pPr>
        <w:jc w:val="both"/>
      </w:pPr>
      <w:r>
        <w:t>Publishing the weights stays a deliberate trade: transparency is what makes appeal, audit and fairness measurement possible, and the residual risk is controlled by checking claims against evidence. A hidden ranker would remove the incentive to game only by removing accountability.</w:t>
      </w:r>
    </w:p>
    <w:p w14:paraId="1841C738" w14:textId="77777777" w:rsidR="008F594C" w:rsidRDefault="00EF2966">
      <w:pPr>
        <w:jc w:val="both"/>
      </w:pPr>
      <w:r>
        <w:rPr>
          <w:b/>
          <w:bCs/>
        </w:rPr>
        <w:lastRenderedPageBreak/>
        <w:t>Small and rural schools come out worse.</w:t>
      </w:r>
      <w:r>
        <w:t xml:space="preserve"> After two terms an audit shows small rural schools are repaired later than large urban ones.</w:t>
      </w:r>
    </w:p>
    <w:p w14:paraId="2E84606C" w14:textId="77777777" w:rsidR="008F594C" w:rsidRDefault="00EF2966">
      <w:pPr>
        <w:jc w:val="both"/>
      </w:pPr>
      <w:r>
        <w:t xml:space="preserve">The fairness module reports outcome distributions by region, size, gender and urban or rural status and locates the cause: the learning group of the matrix, 22 per cent, </w:t>
      </w:r>
      <w:proofErr w:type="spellStart"/>
      <w:r>
        <w:t>favours</w:t>
      </w:r>
      <w:proofErr w:type="spellEnd"/>
      <w:r>
        <w:t xml:space="preserve"> large schools. That is a policy choice written into a number, not a model defect, so the venue is the governance committee.</w:t>
      </w:r>
    </w:p>
    <w:p w14:paraId="2773E81A" w14:textId="77777777" w:rsidR="008F594C" w:rsidRDefault="00EF2966">
      <w:pPr>
        <w:jc w:val="both"/>
      </w:pPr>
      <w:r>
        <w:t>The change is tested in the ITU-T Y.3181 sandbox against historical requests before it goes live. Weights are rebalanced, a service floor guarantees every safety critical request an inspection date regardless of size, and the change is versioned with the superseded ranking kept.</w:t>
      </w:r>
    </w:p>
    <w:p w14:paraId="249BF142" w14:textId="77777777" w:rsidR="008F594C" w:rsidRDefault="00EF2966">
      <w:pPr>
        <w:jc w:val="both"/>
      </w:pPr>
      <w:r>
        <w:rPr>
          <w:b/>
          <w:bCs/>
        </w:rPr>
        <w:t>The platform provider reuses the risk data.</w:t>
      </w:r>
      <w:r>
        <w:t xml:space="preserve"> The analytics platform runs under contract with a private provider. Monitoring finds the provider using Sawn risk data commercially, in effect holding a map of which public buildings are weakest.</w:t>
      </w:r>
    </w:p>
    <w:p w14:paraId="0D833337" w14:textId="77777777" w:rsidR="008F594C" w:rsidRDefault="00EF2966">
      <w:pPr>
        <w:jc w:val="both"/>
      </w:pPr>
      <w:r>
        <w:t>This escalates from procurement to data protection, child safety and national security. The pre-agreed rules fire: purpose limitation under PDPL, sensitive classification and residency under the cloud controls, revocation of credentials, and referral to AI ethics oversight.</w:t>
      </w:r>
    </w:p>
    <w:p w14:paraId="7D508E55" w14:textId="77777777" w:rsidR="008F594C" w:rsidRDefault="00EF2966">
      <w:pPr>
        <w:jc w:val="both"/>
      </w:pPr>
      <w:r>
        <w:t>The design also prevents recurrence: vendors receive risk data only as individual work order fields, never as an aggregate ranked map. A fifth case, a low ranked school that suffers a ceiling collapse, is answered the same way, from the stored score, its inputs and model version, and the custody record naming the company, the engineer and the signatory.</w:t>
      </w:r>
    </w:p>
    <w:p w14:paraId="01223E2C" w14:textId="77777777" w:rsidR="00FF7B96" w:rsidRDefault="00EF2966" w:rsidP="00AB7592">
      <w:pPr>
        <w:ind w:left="720"/>
        <w:jc w:val="both"/>
        <w:rPr>
          <w:rFonts w:ascii="Times New Roman" w:eastAsia="Times New Roman" w:hAnsi="Times New Roman" w:cs="Times New Roman"/>
          <w:b/>
          <w:bCs/>
        </w:rPr>
      </w:pPr>
      <w:r>
        <w:rPr>
          <w:rFonts w:ascii="Times New Roman" w:eastAsia="Times New Roman" w:hAnsi="Times New Roman" w:cs="Times New Roman"/>
          <w:b/>
          <w:bCs/>
        </w:rPr>
        <w:t xml:space="preserve">Submission includes. </w:t>
      </w:r>
    </w:p>
    <w:p w14:paraId="3BD18EB4" w14:textId="77777777" w:rsidR="00FF7B96" w:rsidRDefault="00EF2966" w:rsidP="00AB7592">
      <w:pPr>
        <w:ind w:left="720"/>
        <w:jc w:val="both"/>
        <w:rPr>
          <w:rFonts w:ascii="Times New Roman" w:eastAsia="Times New Roman" w:hAnsi="Times New Roman" w:cs="Times New Roman"/>
        </w:rPr>
      </w:pPr>
      <w:r>
        <w:rPr>
          <w:rFonts w:ascii="Times New Roman" w:eastAsia="Times New Roman" w:hAnsi="Times New Roman" w:cs="Times New Roman"/>
          <w:b/>
          <w:bCs/>
        </w:rPr>
        <w:t>One.</w:t>
      </w:r>
      <w:r>
        <w:rPr>
          <w:rFonts w:ascii="Times New Roman" w:eastAsia="Times New Roman" w:hAnsi="Times New Roman" w:cs="Times New Roman"/>
        </w:rPr>
        <w:t xml:space="preserve"> This report. </w:t>
      </w:r>
    </w:p>
    <w:p w14:paraId="02B4ED32" w14:textId="77777777" w:rsidR="00FF7B96" w:rsidRDefault="00EF2966" w:rsidP="00AB7592">
      <w:pPr>
        <w:ind w:left="720"/>
        <w:jc w:val="both"/>
        <w:rPr>
          <w:rFonts w:ascii="Times New Roman" w:eastAsia="Times New Roman" w:hAnsi="Times New Roman" w:cs="Times New Roman"/>
        </w:rPr>
      </w:pPr>
      <w:r>
        <w:rPr>
          <w:rFonts w:ascii="Times New Roman" w:eastAsia="Times New Roman" w:hAnsi="Times New Roman" w:cs="Times New Roman"/>
          <w:b/>
          <w:bCs/>
        </w:rPr>
        <w:t>Two.</w:t>
      </w:r>
      <w:r>
        <w:rPr>
          <w:rFonts w:ascii="Times New Roman" w:eastAsia="Times New Roman" w:hAnsi="Times New Roman" w:cs="Times New Roman"/>
        </w:rPr>
        <w:t xml:space="preserve"> A demo video with English subtitles, seven minutes or less, at </w:t>
      </w:r>
      <w:hyperlink r:id="rId14">
        <w:r>
          <w:rPr>
            <w:rStyle w:val="Hyperlink"/>
          </w:rPr>
          <w:t>youtu.be/0P5f7jlFg7A</w:t>
        </w:r>
      </w:hyperlink>
      <w:r>
        <w:rPr>
          <w:rFonts w:ascii="Times New Roman" w:eastAsia="Times New Roman" w:hAnsi="Times New Roman" w:cs="Times New Roman"/>
        </w:rPr>
        <w:t xml:space="preserve">. </w:t>
      </w:r>
    </w:p>
    <w:p w14:paraId="1D295CE2" w14:textId="77777777" w:rsidR="00FF7B96" w:rsidRDefault="00EF2966" w:rsidP="00AB7592">
      <w:pPr>
        <w:ind w:left="720"/>
        <w:jc w:val="both"/>
        <w:rPr>
          <w:rFonts w:ascii="Times New Roman" w:eastAsia="Times New Roman" w:hAnsi="Times New Roman" w:cs="Times New Roman"/>
        </w:rPr>
      </w:pPr>
      <w:r>
        <w:rPr>
          <w:rFonts w:ascii="Times New Roman" w:eastAsia="Times New Roman" w:hAnsi="Times New Roman" w:cs="Times New Roman"/>
          <w:b/>
          <w:bCs/>
        </w:rPr>
        <w:t>Three.</w:t>
      </w:r>
      <w:r>
        <w:rPr>
          <w:rFonts w:ascii="Times New Roman" w:eastAsia="Times New Roman" w:hAnsi="Times New Roman" w:cs="Times New Roman"/>
        </w:rPr>
        <w:t xml:space="preserve"> The GitHub repository at </w:t>
      </w:r>
      <w:hyperlink r:id="rId8" w:history="1">
        <w:r w:rsidR="00AB7592" w:rsidRPr="005442B1">
          <w:rPr>
            <w:rStyle w:val="Hyperlink"/>
          </w:rPr>
          <w:t>github.com/</w:t>
        </w:r>
        <w:proofErr w:type="spellStart"/>
        <w:r w:rsidR="00AB7592" w:rsidRPr="005442B1">
          <w:rPr>
            <w:rStyle w:val="Hyperlink"/>
          </w:rPr>
          <w:t>shyuix</w:t>
        </w:r>
        <w:proofErr w:type="spellEnd"/>
        <w:r w:rsidR="00AB7592" w:rsidRPr="005442B1">
          <w:rPr>
            <w:rStyle w:val="Hyperlink"/>
          </w:rPr>
          <w:t>/SAWN</w:t>
        </w:r>
      </w:hyperlink>
      <w:r w:rsidR="00AB7592">
        <w:t xml:space="preserve"> </w:t>
      </w:r>
      <w:r>
        <w:rPr>
          <w:rFonts w:ascii="Times New Roman" w:eastAsia="Times New Roman" w:hAnsi="Times New Roman" w:cs="Times New Roman"/>
        </w:rPr>
        <w:t xml:space="preserve">: prototype, retrieval simulator, knowledge base as data, evaluation set. </w:t>
      </w:r>
    </w:p>
    <w:p w14:paraId="761BCF02" w14:textId="23E18148" w:rsidR="00FF7B96" w:rsidRDefault="00EF2966" w:rsidP="00AB7592">
      <w:pPr>
        <w:ind w:left="720"/>
        <w:jc w:val="both"/>
        <w:rPr>
          <w:rFonts w:ascii="Times New Roman" w:eastAsia="Times New Roman" w:hAnsi="Times New Roman" w:cs="Times New Roman"/>
        </w:rPr>
      </w:pPr>
      <w:r>
        <w:rPr>
          <w:rFonts w:ascii="Times New Roman" w:eastAsia="Times New Roman" w:hAnsi="Times New Roman" w:cs="Times New Roman"/>
        </w:rPr>
        <w:t xml:space="preserve">The platform runs live at </w:t>
      </w:r>
      <w:hyperlink r:id="rId9">
        <w:r w:rsidRPr="00FF7B96">
          <w:rPr>
            <w:rStyle w:val="Hyperlink"/>
          </w:rPr>
          <w:t>sawn-demo1.netlify.app</w:t>
        </w:r>
      </w:hyperlink>
      <w:r w:rsidR="00E7024E">
        <w:rPr>
          <w:rFonts w:ascii="Times New Roman" w:eastAsia="Times New Roman" w:hAnsi="Times New Roman" w:cs="Times New Roman"/>
        </w:rPr>
        <w:t xml:space="preserve"> </w:t>
      </w:r>
      <w:r>
        <w:rPr>
          <w:rFonts w:ascii="Times New Roman" w:eastAsia="Times New Roman" w:hAnsi="Times New Roman" w:cs="Times New Roman"/>
        </w:rPr>
        <w:t xml:space="preserve">, the retrieval simulator at </w:t>
      </w:r>
      <w:hyperlink r:id="rId10">
        <w:r w:rsidRPr="00FF7B96">
          <w:rPr>
            <w:rStyle w:val="Hyperlink"/>
          </w:rPr>
          <w:t>rag-simulator-sawn1.netlify.app</w:t>
        </w:r>
      </w:hyperlink>
      <w:r w:rsidR="00E400D5">
        <w:t xml:space="preserve"> </w:t>
      </w:r>
      <w:r>
        <w:rPr>
          <w:rFonts w:ascii="Times New Roman" w:eastAsia="Times New Roman" w:hAnsi="Times New Roman" w:cs="Times New Roman"/>
        </w:rPr>
        <w:t xml:space="preserve">, the wireframes at </w:t>
      </w:r>
      <w:hyperlink r:id="rId11">
        <w:r w:rsidRPr="00A46128">
          <w:rPr>
            <w:rStyle w:val="Hyperlink"/>
          </w:rPr>
          <w:t>figma.com</w:t>
        </w:r>
      </w:hyperlink>
      <w:r>
        <w:rPr>
          <w:rFonts w:ascii="Times New Roman" w:eastAsia="Times New Roman" w:hAnsi="Times New Roman" w:cs="Times New Roman"/>
        </w:rPr>
        <w:t xml:space="preserve">, and the demo video at </w:t>
      </w:r>
      <w:hyperlink r:id="rId14">
        <w:r>
          <w:rPr>
            <w:rStyle w:val="Hyperlink"/>
          </w:rPr>
          <w:t>youtu.be/0P5f7jlFg7A</w:t>
        </w:r>
      </w:hyperlink>
      <w:r>
        <w:rPr>
          <w:rFonts w:ascii="Times New Roman" w:eastAsia="Times New Roman" w:hAnsi="Times New Roman" w:cs="Times New Roman"/>
        </w:rPr>
        <w:t xml:space="preserve">. </w:t>
      </w:r>
    </w:p>
    <w:p w14:paraId="16714C6A" w14:textId="71FC4624" w:rsidR="008F594C" w:rsidRPr="00AB7592" w:rsidRDefault="00EF2966" w:rsidP="00AB7592">
      <w:pPr>
        <w:ind w:left="720"/>
        <w:jc w:val="both"/>
        <w:rPr>
          <w:rFonts w:ascii="Times New Roman" w:eastAsia="Times New Roman" w:hAnsi="Times New Roman" w:cs="Times New Roman"/>
        </w:rPr>
      </w:pPr>
      <w:r>
        <w:rPr>
          <w:rFonts w:ascii="Times New Roman" w:eastAsia="Times New Roman" w:hAnsi="Times New Roman" w:cs="Times New Roman"/>
          <w:b/>
          <w:bCs/>
        </w:rPr>
        <w:t>Four.</w:t>
      </w:r>
      <w:r>
        <w:rPr>
          <w:rFonts w:ascii="Times New Roman" w:eastAsia="Times New Roman" w:hAnsi="Times New Roman" w:cs="Times New Roman"/>
        </w:rPr>
        <w:t xml:space="preserve"> The knowledge base: 23 openly published instruments, submitted separately and as kb/sources.json.</w:t>
      </w:r>
    </w:p>
    <w:sectPr w:rsidR="008F594C" w:rsidRPr="00AB7592" w:rsidSect="00805650">
      <w:pgSz w:w="12240" w:h="15840"/>
      <w:pgMar w:top="90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9CE1"/>
    <w:multiLevelType w:val="hybridMultilevel"/>
    <w:tmpl w:val="1C2047C4"/>
    <w:lvl w:ilvl="0" w:tplc="87EE19E6">
      <w:start w:val="1"/>
      <w:numFmt w:val="bullet"/>
      <w:lvlText w:val="-"/>
      <w:lvlJc w:val="left"/>
      <w:pPr>
        <w:ind w:left="720" w:hanging="360"/>
      </w:pPr>
      <w:rPr>
        <w:rFonts w:ascii="Aptos" w:hAnsi="Aptos" w:hint="default"/>
      </w:rPr>
    </w:lvl>
    <w:lvl w:ilvl="1" w:tplc="14EA9EFE">
      <w:start w:val="1"/>
      <w:numFmt w:val="bullet"/>
      <w:lvlText w:val="o"/>
      <w:lvlJc w:val="left"/>
      <w:pPr>
        <w:ind w:left="1440" w:hanging="360"/>
      </w:pPr>
      <w:rPr>
        <w:rFonts w:ascii="Courier New" w:hAnsi="Courier New" w:hint="default"/>
      </w:rPr>
    </w:lvl>
    <w:lvl w:ilvl="2" w:tplc="DF1233B4">
      <w:start w:val="1"/>
      <w:numFmt w:val="bullet"/>
      <w:lvlText w:val=""/>
      <w:lvlJc w:val="left"/>
      <w:pPr>
        <w:ind w:left="2160" w:hanging="360"/>
      </w:pPr>
      <w:rPr>
        <w:rFonts w:ascii="Wingdings" w:hAnsi="Wingdings" w:hint="default"/>
      </w:rPr>
    </w:lvl>
    <w:lvl w:ilvl="3" w:tplc="CA4A1F1E">
      <w:start w:val="1"/>
      <w:numFmt w:val="bullet"/>
      <w:lvlText w:val=""/>
      <w:lvlJc w:val="left"/>
      <w:pPr>
        <w:ind w:left="2880" w:hanging="360"/>
      </w:pPr>
      <w:rPr>
        <w:rFonts w:ascii="Symbol" w:hAnsi="Symbol" w:hint="default"/>
      </w:rPr>
    </w:lvl>
    <w:lvl w:ilvl="4" w:tplc="18165182">
      <w:start w:val="1"/>
      <w:numFmt w:val="bullet"/>
      <w:lvlText w:val="o"/>
      <w:lvlJc w:val="left"/>
      <w:pPr>
        <w:ind w:left="3600" w:hanging="360"/>
      </w:pPr>
      <w:rPr>
        <w:rFonts w:ascii="Courier New" w:hAnsi="Courier New" w:hint="default"/>
      </w:rPr>
    </w:lvl>
    <w:lvl w:ilvl="5" w:tplc="785609F4">
      <w:start w:val="1"/>
      <w:numFmt w:val="bullet"/>
      <w:lvlText w:val=""/>
      <w:lvlJc w:val="left"/>
      <w:pPr>
        <w:ind w:left="4320" w:hanging="360"/>
      </w:pPr>
      <w:rPr>
        <w:rFonts w:ascii="Wingdings" w:hAnsi="Wingdings" w:hint="default"/>
      </w:rPr>
    </w:lvl>
    <w:lvl w:ilvl="6" w:tplc="52E46FDA">
      <w:start w:val="1"/>
      <w:numFmt w:val="bullet"/>
      <w:lvlText w:val=""/>
      <w:lvlJc w:val="left"/>
      <w:pPr>
        <w:ind w:left="5040" w:hanging="360"/>
      </w:pPr>
      <w:rPr>
        <w:rFonts w:ascii="Symbol" w:hAnsi="Symbol" w:hint="default"/>
      </w:rPr>
    </w:lvl>
    <w:lvl w:ilvl="7" w:tplc="67EE7942">
      <w:start w:val="1"/>
      <w:numFmt w:val="bullet"/>
      <w:lvlText w:val="o"/>
      <w:lvlJc w:val="left"/>
      <w:pPr>
        <w:ind w:left="5760" w:hanging="360"/>
      </w:pPr>
      <w:rPr>
        <w:rFonts w:ascii="Courier New" w:hAnsi="Courier New" w:hint="default"/>
      </w:rPr>
    </w:lvl>
    <w:lvl w:ilvl="8" w:tplc="340AEB06">
      <w:start w:val="1"/>
      <w:numFmt w:val="bullet"/>
      <w:lvlText w:val=""/>
      <w:lvlJc w:val="left"/>
      <w:pPr>
        <w:ind w:left="6480" w:hanging="360"/>
      </w:pPr>
      <w:rPr>
        <w:rFonts w:ascii="Wingdings" w:hAnsi="Wingdings" w:hint="default"/>
      </w:rPr>
    </w:lvl>
  </w:abstractNum>
  <w:abstractNum w:abstractNumId="1" w15:restartNumberingAfterBreak="0">
    <w:nsid w:val="1464B709"/>
    <w:multiLevelType w:val="hybridMultilevel"/>
    <w:tmpl w:val="3142259C"/>
    <w:lvl w:ilvl="0" w:tplc="36B66BF4">
      <w:start w:val="1"/>
      <w:numFmt w:val="bullet"/>
      <w:lvlText w:val="-"/>
      <w:lvlJc w:val="left"/>
      <w:pPr>
        <w:ind w:left="720" w:hanging="360"/>
      </w:pPr>
      <w:rPr>
        <w:rFonts w:ascii="Aptos" w:hAnsi="Aptos" w:hint="default"/>
      </w:rPr>
    </w:lvl>
    <w:lvl w:ilvl="1" w:tplc="CBA896E2">
      <w:start w:val="1"/>
      <w:numFmt w:val="bullet"/>
      <w:lvlText w:val="o"/>
      <w:lvlJc w:val="left"/>
      <w:pPr>
        <w:ind w:left="1440" w:hanging="360"/>
      </w:pPr>
      <w:rPr>
        <w:rFonts w:ascii="Courier New" w:hAnsi="Courier New" w:hint="default"/>
      </w:rPr>
    </w:lvl>
    <w:lvl w:ilvl="2" w:tplc="DD78EF58">
      <w:start w:val="1"/>
      <w:numFmt w:val="bullet"/>
      <w:lvlText w:val=""/>
      <w:lvlJc w:val="left"/>
      <w:pPr>
        <w:ind w:left="2160" w:hanging="360"/>
      </w:pPr>
      <w:rPr>
        <w:rFonts w:ascii="Wingdings" w:hAnsi="Wingdings" w:hint="default"/>
      </w:rPr>
    </w:lvl>
    <w:lvl w:ilvl="3" w:tplc="BF4EB380">
      <w:start w:val="1"/>
      <w:numFmt w:val="bullet"/>
      <w:lvlText w:val=""/>
      <w:lvlJc w:val="left"/>
      <w:pPr>
        <w:ind w:left="2880" w:hanging="360"/>
      </w:pPr>
      <w:rPr>
        <w:rFonts w:ascii="Symbol" w:hAnsi="Symbol" w:hint="default"/>
      </w:rPr>
    </w:lvl>
    <w:lvl w:ilvl="4" w:tplc="EC24D298">
      <w:start w:val="1"/>
      <w:numFmt w:val="bullet"/>
      <w:lvlText w:val="o"/>
      <w:lvlJc w:val="left"/>
      <w:pPr>
        <w:ind w:left="3600" w:hanging="360"/>
      </w:pPr>
      <w:rPr>
        <w:rFonts w:ascii="Courier New" w:hAnsi="Courier New" w:hint="default"/>
      </w:rPr>
    </w:lvl>
    <w:lvl w:ilvl="5" w:tplc="C6B6B30C">
      <w:start w:val="1"/>
      <w:numFmt w:val="bullet"/>
      <w:lvlText w:val=""/>
      <w:lvlJc w:val="left"/>
      <w:pPr>
        <w:ind w:left="4320" w:hanging="360"/>
      </w:pPr>
      <w:rPr>
        <w:rFonts w:ascii="Wingdings" w:hAnsi="Wingdings" w:hint="default"/>
      </w:rPr>
    </w:lvl>
    <w:lvl w:ilvl="6" w:tplc="614AC61A">
      <w:start w:val="1"/>
      <w:numFmt w:val="bullet"/>
      <w:lvlText w:val=""/>
      <w:lvlJc w:val="left"/>
      <w:pPr>
        <w:ind w:left="5040" w:hanging="360"/>
      </w:pPr>
      <w:rPr>
        <w:rFonts w:ascii="Symbol" w:hAnsi="Symbol" w:hint="default"/>
      </w:rPr>
    </w:lvl>
    <w:lvl w:ilvl="7" w:tplc="85E890E8">
      <w:start w:val="1"/>
      <w:numFmt w:val="bullet"/>
      <w:lvlText w:val="o"/>
      <w:lvlJc w:val="left"/>
      <w:pPr>
        <w:ind w:left="5760" w:hanging="360"/>
      </w:pPr>
      <w:rPr>
        <w:rFonts w:ascii="Courier New" w:hAnsi="Courier New" w:hint="default"/>
      </w:rPr>
    </w:lvl>
    <w:lvl w:ilvl="8" w:tplc="B63219A0">
      <w:start w:val="1"/>
      <w:numFmt w:val="bullet"/>
      <w:lvlText w:val=""/>
      <w:lvlJc w:val="left"/>
      <w:pPr>
        <w:ind w:left="6480" w:hanging="360"/>
      </w:pPr>
      <w:rPr>
        <w:rFonts w:ascii="Wingdings" w:hAnsi="Wingdings" w:hint="default"/>
      </w:rPr>
    </w:lvl>
  </w:abstractNum>
  <w:abstractNum w:abstractNumId="2" w15:restartNumberingAfterBreak="0">
    <w:nsid w:val="18F187EB"/>
    <w:multiLevelType w:val="multilevel"/>
    <w:tmpl w:val="ED903EA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27116811"/>
    <w:multiLevelType w:val="hybridMultilevel"/>
    <w:tmpl w:val="09DEEEBA"/>
    <w:lvl w:ilvl="0" w:tplc="EA9014C8">
      <w:start w:val="1"/>
      <w:numFmt w:val="bullet"/>
      <w:lvlText w:val="-"/>
      <w:lvlJc w:val="left"/>
      <w:pPr>
        <w:ind w:left="1080" w:hanging="360"/>
      </w:pPr>
      <w:rPr>
        <w:rFonts w:ascii="Aptos" w:hAnsi="Aptos" w:hint="default"/>
      </w:rPr>
    </w:lvl>
    <w:lvl w:ilvl="1" w:tplc="C3007988">
      <w:start w:val="1"/>
      <w:numFmt w:val="bullet"/>
      <w:lvlText w:val="o"/>
      <w:lvlJc w:val="left"/>
      <w:pPr>
        <w:ind w:left="1800" w:hanging="360"/>
      </w:pPr>
      <w:rPr>
        <w:rFonts w:ascii="Courier New" w:hAnsi="Courier New" w:hint="default"/>
      </w:rPr>
    </w:lvl>
    <w:lvl w:ilvl="2" w:tplc="B100E8F8">
      <w:start w:val="1"/>
      <w:numFmt w:val="bullet"/>
      <w:lvlText w:val=""/>
      <w:lvlJc w:val="left"/>
      <w:pPr>
        <w:ind w:left="2520" w:hanging="360"/>
      </w:pPr>
      <w:rPr>
        <w:rFonts w:ascii="Wingdings" w:hAnsi="Wingdings" w:hint="default"/>
      </w:rPr>
    </w:lvl>
    <w:lvl w:ilvl="3" w:tplc="F0DA65B8">
      <w:start w:val="1"/>
      <w:numFmt w:val="bullet"/>
      <w:lvlText w:val=""/>
      <w:lvlJc w:val="left"/>
      <w:pPr>
        <w:ind w:left="3240" w:hanging="360"/>
      </w:pPr>
      <w:rPr>
        <w:rFonts w:ascii="Symbol" w:hAnsi="Symbol" w:hint="default"/>
      </w:rPr>
    </w:lvl>
    <w:lvl w:ilvl="4" w:tplc="9D0C428C">
      <w:start w:val="1"/>
      <w:numFmt w:val="bullet"/>
      <w:lvlText w:val="o"/>
      <w:lvlJc w:val="left"/>
      <w:pPr>
        <w:ind w:left="3960" w:hanging="360"/>
      </w:pPr>
      <w:rPr>
        <w:rFonts w:ascii="Courier New" w:hAnsi="Courier New" w:hint="default"/>
      </w:rPr>
    </w:lvl>
    <w:lvl w:ilvl="5" w:tplc="75E2E678">
      <w:start w:val="1"/>
      <w:numFmt w:val="bullet"/>
      <w:lvlText w:val=""/>
      <w:lvlJc w:val="left"/>
      <w:pPr>
        <w:ind w:left="4680" w:hanging="360"/>
      </w:pPr>
      <w:rPr>
        <w:rFonts w:ascii="Wingdings" w:hAnsi="Wingdings" w:hint="default"/>
      </w:rPr>
    </w:lvl>
    <w:lvl w:ilvl="6" w:tplc="45262D42">
      <w:start w:val="1"/>
      <w:numFmt w:val="bullet"/>
      <w:lvlText w:val=""/>
      <w:lvlJc w:val="left"/>
      <w:pPr>
        <w:ind w:left="5400" w:hanging="360"/>
      </w:pPr>
      <w:rPr>
        <w:rFonts w:ascii="Symbol" w:hAnsi="Symbol" w:hint="default"/>
      </w:rPr>
    </w:lvl>
    <w:lvl w:ilvl="7" w:tplc="BE8478C0">
      <w:start w:val="1"/>
      <w:numFmt w:val="bullet"/>
      <w:lvlText w:val="o"/>
      <w:lvlJc w:val="left"/>
      <w:pPr>
        <w:ind w:left="6120" w:hanging="360"/>
      </w:pPr>
      <w:rPr>
        <w:rFonts w:ascii="Courier New" w:hAnsi="Courier New" w:hint="default"/>
      </w:rPr>
    </w:lvl>
    <w:lvl w:ilvl="8" w:tplc="D90AE038">
      <w:start w:val="1"/>
      <w:numFmt w:val="bullet"/>
      <w:lvlText w:val=""/>
      <w:lvlJc w:val="left"/>
      <w:pPr>
        <w:ind w:left="6840" w:hanging="360"/>
      </w:pPr>
      <w:rPr>
        <w:rFonts w:ascii="Wingdings" w:hAnsi="Wingdings" w:hint="default"/>
      </w:rPr>
    </w:lvl>
  </w:abstractNum>
  <w:abstractNum w:abstractNumId="4" w15:restartNumberingAfterBreak="0">
    <w:nsid w:val="331C6F9C"/>
    <w:multiLevelType w:val="hybridMultilevel"/>
    <w:tmpl w:val="D4F2CC28"/>
    <w:lvl w:ilvl="0" w:tplc="B73AD724">
      <w:start w:val="1"/>
      <w:numFmt w:val="decimal"/>
      <w:lvlText w:val="%1."/>
      <w:lvlJc w:val="left"/>
      <w:pPr>
        <w:ind w:left="720" w:hanging="360"/>
      </w:pPr>
    </w:lvl>
    <w:lvl w:ilvl="1" w:tplc="FFE6D52E">
      <w:start w:val="1"/>
      <w:numFmt w:val="lowerLetter"/>
      <w:lvlText w:val="%2."/>
      <w:lvlJc w:val="left"/>
      <w:pPr>
        <w:ind w:left="1440" w:hanging="360"/>
      </w:pPr>
    </w:lvl>
    <w:lvl w:ilvl="2" w:tplc="F9A02982">
      <w:start w:val="1"/>
      <w:numFmt w:val="lowerRoman"/>
      <w:lvlText w:val="%3."/>
      <w:lvlJc w:val="right"/>
      <w:pPr>
        <w:ind w:left="2160" w:hanging="180"/>
      </w:pPr>
    </w:lvl>
    <w:lvl w:ilvl="3" w:tplc="CCAEAF30">
      <w:start w:val="1"/>
      <w:numFmt w:val="decimal"/>
      <w:lvlText w:val="%4."/>
      <w:lvlJc w:val="left"/>
      <w:pPr>
        <w:ind w:left="2880" w:hanging="360"/>
      </w:pPr>
    </w:lvl>
    <w:lvl w:ilvl="4" w:tplc="56B612A6">
      <w:start w:val="1"/>
      <w:numFmt w:val="lowerLetter"/>
      <w:lvlText w:val="%5."/>
      <w:lvlJc w:val="left"/>
      <w:pPr>
        <w:ind w:left="3600" w:hanging="360"/>
      </w:pPr>
    </w:lvl>
    <w:lvl w:ilvl="5" w:tplc="A69AFC58">
      <w:start w:val="1"/>
      <w:numFmt w:val="lowerRoman"/>
      <w:lvlText w:val="%6."/>
      <w:lvlJc w:val="right"/>
      <w:pPr>
        <w:ind w:left="4320" w:hanging="180"/>
      </w:pPr>
    </w:lvl>
    <w:lvl w:ilvl="6" w:tplc="49B4D622">
      <w:start w:val="1"/>
      <w:numFmt w:val="decimal"/>
      <w:lvlText w:val="%7."/>
      <w:lvlJc w:val="left"/>
      <w:pPr>
        <w:ind w:left="5040" w:hanging="360"/>
      </w:pPr>
    </w:lvl>
    <w:lvl w:ilvl="7" w:tplc="887CA15E">
      <w:start w:val="1"/>
      <w:numFmt w:val="lowerLetter"/>
      <w:lvlText w:val="%8."/>
      <w:lvlJc w:val="left"/>
      <w:pPr>
        <w:ind w:left="5760" w:hanging="360"/>
      </w:pPr>
    </w:lvl>
    <w:lvl w:ilvl="8" w:tplc="4482B1E6">
      <w:start w:val="1"/>
      <w:numFmt w:val="lowerRoman"/>
      <w:lvlText w:val="%9."/>
      <w:lvlJc w:val="right"/>
      <w:pPr>
        <w:ind w:left="6480" w:hanging="180"/>
      </w:pPr>
    </w:lvl>
  </w:abstractNum>
  <w:abstractNum w:abstractNumId="5" w15:restartNumberingAfterBreak="0">
    <w:nsid w:val="35256DEE"/>
    <w:multiLevelType w:val="hybridMultilevel"/>
    <w:tmpl w:val="DBAC1900"/>
    <w:lvl w:ilvl="0" w:tplc="71C2B5A4">
      <w:start w:val="1"/>
      <w:numFmt w:val="bullet"/>
      <w:lvlText w:val="-"/>
      <w:lvlJc w:val="left"/>
      <w:pPr>
        <w:ind w:left="720" w:hanging="360"/>
      </w:pPr>
      <w:rPr>
        <w:rFonts w:ascii="Aptos" w:hAnsi="Aptos" w:hint="default"/>
      </w:rPr>
    </w:lvl>
    <w:lvl w:ilvl="1" w:tplc="FBFC7D14">
      <w:start w:val="1"/>
      <w:numFmt w:val="bullet"/>
      <w:lvlText w:val="o"/>
      <w:lvlJc w:val="left"/>
      <w:pPr>
        <w:ind w:left="1440" w:hanging="360"/>
      </w:pPr>
      <w:rPr>
        <w:rFonts w:ascii="Courier New" w:hAnsi="Courier New" w:hint="default"/>
      </w:rPr>
    </w:lvl>
    <w:lvl w:ilvl="2" w:tplc="CCA8E7E6">
      <w:start w:val="1"/>
      <w:numFmt w:val="bullet"/>
      <w:lvlText w:val=""/>
      <w:lvlJc w:val="left"/>
      <w:pPr>
        <w:ind w:left="2160" w:hanging="360"/>
      </w:pPr>
      <w:rPr>
        <w:rFonts w:ascii="Wingdings" w:hAnsi="Wingdings" w:hint="default"/>
      </w:rPr>
    </w:lvl>
    <w:lvl w:ilvl="3" w:tplc="F74EEF06">
      <w:start w:val="1"/>
      <w:numFmt w:val="bullet"/>
      <w:lvlText w:val=""/>
      <w:lvlJc w:val="left"/>
      <w:pPr>
        <w:ind w:left="2880" w:hanging="360"/>
      </w:pPr>
      <w:rPr>
        <w:rFonts w:ascii="Symbol" w:hAnsi="Symbol" w:hint="default"/>
      </w:rPr>
    </w:lvl>
    <w:lvl w:ilvl="4" w:tplc="70828F18">
      <w:start w:val="1"/>
      <w:numFmt w:val="bullet"/>
      <w:lvlText w:val="o"/>
      <w:lvlJc w:val="left"/>
      <w:pPr>
        <w:ind w:left="3600" w:hanging="360"/>
      </w:pPr>
      <w:rPr>
        <w:rFonts w:ascii="Courier New" w:hAnsi="Courier New" w:hint="default"/>
      </w:rPr>
    </w:lvl>
    <w:lvl w:ilvl="5" w:tplc="19AAEBB0">
      <w:start w:val="1"/>
      <w:numFmt w:val="bullet"/>
      <w:lvlText w:val=""/>
      <w:lvlJc w:val="left"/>
      <w:pPr>
        <w:ind w:left="4320" w:hanging="360"/>
      </w:pPr>
      <w:rPr>
        <w:rFonts w:ascii="Wingdings" w:hAnsi="Wingdings" w:hint="default"/>
      </w:rPr>
    </w:lvl>
    <w:lvl w:ilvl="6" w:tplc="4384AD54">
      <w:start w:val="1"/>
      <w:numFmt w:val="bullet"/>
      <w:lvlText w:val=""/>
      <w:lvlJc w:val="left"/>
      <w:pPr>
        <w:ind w:left="5040" w:hanging="360"/>
      </w:pPr>
      <w:rPr>
        <w:rFonts w:ascii="Symbol" w:hAnsi="Symbol" w:hint="default"/>
      </w:rPr>
    </w:lvl>
    <w:lvl w:ilvl="7" w:tplc="FC46BD84">
      <w:start w:val="1"/>
      <w:numFmt w:val="bullet"/>
      <w:lvlText w:val="o"/>
      <w:lvlJc w:val="left"/>
      <w:pPr>
        <w:ind w:left="5760" w:hanging="360"/>
      </w:pPr>
      <w:rPr>
        <w:rFonts w:ascii="Courier New" w:hAnsi="Courier New" w:hint="default"/>
      </w:rPr>
    </w:lvl>
    <w:lvl w:ilvl="8" w:tplc="26AE6B0E">
      <w:start w:val="1"/>
      <w:numFmt w:val="bullet"/>
      <w:lvlText w:val=""/>
      <w:lvlJc w:val="left"/>
      <w:pPr>
        <w:ind w:left="6480" w:hanging="360"/>
      </w:pPr>
      <w:rPr>
        <w:rFonts w:ascii="Wingdings" w:hAnsi="Wingdings" w:hint="default"/>
      </w:rPr>
    </w:lvl>
  </w:abstractNum>
  <w:abstractNum w:abstractNumId="6" w15:restartNumberingAfterBreak="0">
    <w:nsid w:val="7226B57F"/>
    <w:multiLevelType w:val="multilevel"/>
    <w:tmpl w:val="1A801EA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781B5A19"/>
    <w:multiLevelType w:val="multilevel"/>
    <w:tmpl w:val="F3F21DF4"/>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8" w15:restartNumberingAfterBreak="0">
    <w:nsid w:val="7A240372"/>
    <w:multiLevelType w:val="hybridMultilevel"/>
    <w:tmpl w:val="971A3CEC"/>
    <w:lvl w:ilvl="0" w:tplc="8446CFFA">
      <w:start w:val="1"/>
      <w:numFmt w:val="decimal"/>
      <w:lvlText w:val="%1."/>
      <w:lvlJc w:val="left"/>
      <w:pPr>
        <w:ind w:left="720" w:hanging="360"/>
      </w:pPr>
    </w:lvl>
    <w:lvl w:ilvl="1" w:tplc="68EA7318">
      <w:start w:val="1"/>
      <w:numFmt w:val="lowerLetter"/>
      <w:lvlText w:val="%2."/>
      <w:lvlJc w:val="left"/>
      <w:pPr>
        <w:ind w:left="1440" w:hanging="360"/>
      </w:pPr>
    </w:lvl>
    <w:lvl w:ilvl="2" w:tplc="DBAE5ECE">
      <w:start w:val="1"/>
      <w:numFmt w:val="lowerRoman"/>
      <w:lvlText w:val="%3."/>
      <w:lvlJc w:val="right"/>
      <w:pPr>
        <w:ind w:left="2160" w:hanging="180"/>
      </w:pPr>
    </w:lvl>
    <w:lvl w:ilvl="3" w:tplc="A37082BA">
      <w:start w:val="1"/>
      <w:numFmt w:val="decimal"/>
      <w:lvlText w:val="%4."/>
      <w:lvlJc w:val="left"/>
      <w:pPr>
        <w:ind w:left="2880" w:hanging="360"/>
      </w:pPr>
    </w:lvl>
    <w:lvl w:ilvl="4" w:tplc="AD2A9668">
      <w:start w:val="1"/>
      <w:numFmt w:val="lowerLetter"/>
      <w:lvlText w:val="%5."/>
      <w:lvlJc w:val="left"/>
      <w:pPr>
        <w:ind w:left="3600" w:hanging="360"/>
      </w:pPr>
    </w:lvl>
    <w:lvl w:ilvl="5" w:tplc="ABC6507C">
      <w:start w:val="1"/>
      <w:numFmt w:val="lowerRoman"/>
      <w:lvlText w:val="%6."/>
      <w:lvlJc w:val="right"/>
      <w:pPr>
        <w:ind w:left="4320" w:hanging="180"/>
      </w:pPr>
    </w:lvl>
    <w:lvl w:ilvl="6" w:tplc="1CAE8026">
      <w:start w:val="1"/>
      <w:numFmt w:val="decimal"/>
      <w:lvlText w:val="%7."/>
      <w:lvlJc w:val="left"/>
      <w:pPr>
        <w:ind w:left="5040" w:hanging="360"/>
      </w:pPr>
    </w:lvl>
    <w:lvl w:ilvl="7" w:tplc="C5840FAC">
      <w:start w:val="1"/>
      <w:numFmt w:val="lowerLetter"/>
      <w:lvlText w:val="%8."/>
      <w:lvlJc w:val="left"/>
      <w:pPr>
        <w:ind w:left="5760" w:hanging="360"/>
      </w:pPr>
    </w:lvl>
    <w:lvl w:ilvl="8" w:tplc="76C4D460">
      <w:start w:val="1"/>
      <w:numFmt w:val="lowerRoman"/>
      <w:lvlText w:val="%9."/>
      <w:lvlJc w:val="right"/>
      <w:pPr>
        <w:ind w:left="6480" w:hanging="180"/>
      </w:pPr>
    </w:lvl>
  </w:abstractNum>
  <w:num w:numId="1" w16cid:durableId="993797604">
    <w:abstractNumId w:val="8"/>
  </w:num>
  <w:num w:numId="2" w16cid:durableId="1590389807">
    <w:abstractNumId w:val="6"/>
  </w:num>
  <w:num w:numId="3" w16cid:durableId="1981836749">
    <w:abstractNumId w:val="0"/>
  </w:num>
  <w:num w:numId="4" w16cid:durableId="898326410">
    <w:abstractNumId w:val="2"/>
  </w:num>
  <w:num w:numId="5" w16cid:durableId="676543129">
    <w:abstractNumId w:val="7"/>
  </w:num>
  <w:num w:numId="6" w16cid:durableId="152457883">
    <w:abstractNumId w:val="3"/>
  </w:num>
  <w:num w:numId="7" w16cid:durableId="1795908588">
    <w:abstractNumId w:val="5"/>
  </w:num>
  <w:num w:numId="8" w16cid:durableId="536502181">
    <w:abstractNumId w:val="1"/>
  </w:num>
  <w:num w:numId="9" w16cid:durableId="2096903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D48EB1"/>
    <w:rsid w:val="00013CAA"/>
    <w:rsid w:val="00062CB8"/>
    <w:rsid w:val="000B2C8D"/>
    <w:rsid w:val="000B5417"/>
    <w:rsid w:val="00205F9D"/>
    <w:rsid w:val="002A02B3"/>
    <w:rsid w:val="002E58BD"/>
    <w:rsid w:val="00363A6C"/>
    <w:rsid w:val="00426410"/>
    <w:rsid w:val="004848A4"/>
    <w:rsid w:val="005442B1"/>
    <w:rsid w:val="005A15F8"/>
    <w:rsid w:val="006A3F15"/>
    <w:rsid w:val="00776AA7"/>
    <w:rsid w:val="007B348A"/>
    <w:rsid w:val="007B5F16"/>
    <w:rsid w:val="00805650"/>
    <w:rsid w:val="008470AD"/>
    <w:rsid w:val="008B278D"/>
    <w:rsid w:val="008D2E5A"/>
    <w:rsid w:val="008E35AE"/>
    <w:rsid w:val="008F594C"/>
    <w:rsid w:val="009307F0"/>
    <w:rsid w:val="0097037A"/>
    <w:rsid w:val="00A46128"/>
    <w:rsid w:val="00A81423"/>
    <w:rsid w:val="00AB7441"/>
    <w:rsid w:val="00AB7592"/>
    <w:rsid w:val="00B21C79"/>
    <w:rsid w:val="00B509B5"/>
    <w:rsid w:val="00CB729F"/>
    <w:rsid w:val="00D574D0"/>
    <w:rsid w:val="00D837A5"/>
    <w:rsid w:val="00E400D5"/>
    <w:rsid w:val="00E507FC"/>
    <w:rsid w:val="00E7024E"/>
    <w:rsid w:val="00EF2966"/>
    <w:rsid w:val="00EF672F"/>
    <w:rsid w:val="00F22B64"/>
    <w:rsid w:val="00FF7B96"/>
    <w:rsid w:val="01BA7B42"/>
    <w:rsid w:val="0285505A"/>
    <w:rsid w:val="047FA722"/>
    <w:rsid w:val="04BC5E98"/>
    <w:rsid w:val="07275A6F"/>
    <w:rsid w:val="08FBC3D0"/>
    <w:rsid w:val="09760980"/>
    <w:rsid w:val="0A13610F"/>
    <w:rsid w:val="0AE6837B"/>
    <w:rsid w:val="0B32296C"/>
    <w:rsid w:val="0BC1DCAF"/>
    <w:rsid w:val="0D26DA75"/>
    <w:rsid w:val="12FD8018"/>
    <w:rsid w:val="13BF2284"/>
    <w:rsid w:val="15304E10"/>
    <w:rsid w:val="15E2260B"/>
    <w:rsid w:val="16B10077"/>
    <w:rsid w:val="18EC2338"/>
    <w:rsid w:val="19352BA7"/>
    <w:rsid w:val="1B2101FE"/>
    <w:rsid w:val="1BC994E9"/>
    <w:rsid w:val="1ECD7958"/>
    <w:rsid w:val="1EEA7200"/>
    <w:rsid w:val="24959CEC"/>
    <w:rsid w:val="24B748F7"/>
    <w:rsid w:val="2620806B"/>
    <w:rsid w:val="2646539B"/>
    <w:rsid w:val="264D1F2E"/>
    <w:rsid w:val="27715A88"/>
    <w:rsid w:val="27ED96EB"/>
    <w:rsid w:val="27EDA91D"/>
    <w:rsid w:val="28C9BB92"/>
    <w:rsid w:val="29194C0C"/>
    <w:rsid w:val="2B55DF23"/>
    <w:rsid w:val="2C5022F7"/>
    <w:rsid w:val="2F66F734"/>
    <w:rsid w:val="3099A14D"/>
    <w:rsid w:val="31153AB0"/>
    <w:rsid w:val="323F43A2"/>
    <w:rsid w:val="3296B8F1"/>
    <w:rsid w:val="3405F7CC"/>
    <w:rsid w:val="34CA92BB"/>
    <w:rsid w:val="3572705B"/>
    <w:rsid w:val="36AE8B5C"/>
    <w:rsid w:val="389115ED"/>
    <w:rsid w:val="38D48EB1"/>
    <w:rsid w:val="3920C2BE"/>
    <w:rsid w:val="399ADCD9"/>
    <w:rsid w:val="3B80DAA4"/>
    <w:rsid w:val="3B9064D0"/>
    <w:rsid w:val="3D086E9A"/>
    <w:rsid w:val="3D2E2437"/>
    <w:rsid w:val="3D7D6F9B"/>
    <w:rsid w:val="3F77C1FC"/>
    <w:rsid w:val="3FB02958"/>
    <w:rsid w:val="40C32D91"/>
    <w:rsid w:val="42546981"/>
    <w:rsid w:val="42BC71BB"/>
    <w:rsid w:val="45499EDE"/>
    <w:rsid w:val="47045D87"/>
    <w:rsid w:val="470F348F"/>
    <w:rsid w:val="4AAA5A18"/>
    <w:rsid w:val="4ADBC4CF"/>
    <w:rsid w:val="4B8BE685"/>
    <w:rsid w:val="4EFB653F"/>
    <w:rsid w:val="4F0F4E44"/>
    <w:rsid w:val="508D17D1"/>
    <w:rsid w:val="510126C7"/>
    <w:rsid w:val="51DD93B5"/>
    <w:rsid w:val="52E069C0"/>
    <w:rsid w:val="53BEE295"/>
    <w:rsid w:val="57ABCABB"/>
    <w:rsid w:val="5901AD54"/>
    <w:rsid w:val="598DE2D0"/>
    <w:rsid w:val="5A705145"/>
    <w:rsid w:val="5CC11AE8"/>
    <w:rsid w:val="5CD1C288"/>
    <w:rsid w:val="5E41BD25"/>
    <w:rsid w:val="5E6D13C0"/>
    <w:rsid w:val="5F4AF29F"/>
    <w:rsid w:val="5FE1983E"/>
    <w:rsid w:val="60043D8B"/>
    <w:rsid w:val="626CF1A3"/>
    <w:rsid w:val="63918056"/>
    <w:rsid w:val="63C53AE4"/>
    <w:rsid w:val="6486E240"/>
    <w:rsid w:val="6594D446"/>
    <w:rsid w:val="65DE0792"/>
    <w:rsid w:val="65F4E8A6"/>
    <w:rsid w:val="661025B7"/>
    <w:rsid w:val="66A7E6E3"/>
    <w:rsid w:val="682F31C4"/>
    <w:rsid w:val="69BB6A1B"/>
    <w:rsid w:val="6AB8A542"/>
    <w:rsid w:val="6E178D50"/>
    <w:rsid w:val="6FD1E84A"/>
    <w:rsid w:val="709D8608"/>
    <w:rsid w:val="72E88D6E"/>
    <w:rsid w:val="779ADCE8"/>
    <w:rsid w:val="785EB43E"/>
    <w:rsid w:val="786868ED"/>
    <w:rsid w:val="7A44E0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13078"/>
  <w15:chartTrackingRefBased/>
  <w15:docId w15:val="{21B93E13-7222-4477-BDF0-3972E2C54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AB8A542"/>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63A6C"/>
    <w:rPr>
      <w:color w:val="467886" w:themeColor="hyperlink"/>
      <w:u w:val="single"/>
    </w:rPr>
  </w:style>
  <w:style w:type="character" w:styleId="UnresolvedMention">
    <w:name w:val="Unresolved Mention"/>
    <w:basedOn w:val="DefaultParagraphFont"/>
    <w:uiPriority w:val="99"/>
    <w:semiHidden/>
    <w:unhideWhenUsed/>
    <w:rsid w:val="00363A6C"/>
    <w:rPr>
      <w:color w:val="605E5C"/>
      <w:shd w:val="clear" w:color="auto" w:fill="E1DFDD"/>
    </w:rPr>
  </w:style>
  <w:style w:type="character" w:styleId="FollowedHyperlink">
    <w:name w:val="FollowedHyperlink"/>
    <w:basedOn w:val="DefaultParagraphFont"/>
    <w:uiPriority w:val="99"/>
    <w:semiHidden/>
    <w:unhideWhenUsed/>
    <w:rsid w:val="00AB75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yuix/SAW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hyuix/SAW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447007139@stu.bu.edu.sa" TargetMode="External"/><Relationship Id="rId11" Type="http://schemas.openxmlformats.org/officeDocument/2006/relationships/hyperlink" Target="https://www.figma.com/design/sUfzQYwlMIfq97aNy0BXbu/Sawn%C2%B7-Wireframes?node-id=0-1&amp;t=1VIIBII4ecNhfgrk-1" TargetMode="External"/><Relationship Id="rId5" Type="http://schemas.openxmlformats.org/officeDocument/2006/relationships/hyperlink" Target="mailto:445001246@stu.bu.edu.sa" TargetMode="External"/><Relationship Id="rId10" Type="http://schemas.openxmlformats.org/officeDocument/2006/relationships/hyperlink" Target="https://rag-simulator-sawn1.netlify.app/" TargetMode="External"/><Relationship Id="rId4" Type="http://schemas.openxmlformats.org/officeDocument/2006/relationships/webSettings" Target="webSettings.xml"/><Relationship Id="rId9" Type="http://schemas.openxmlformats.org/officeDocument/2006/relationships/hyperlink" Target="https://sawn-demo1.netlify.app/" TargetMode="External"/><Relationship Id="rId14" Type="http://schemas.openxmlformats.org/officeDocument/2006/relationships/hyperlink" Target="https://youtu.be/0P5f7jlFg7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2053</Words>
  <Characters>11376</Characters>
  <Application>Microsoft Office Word</Application>
  <DocSecurity>0</DocSecurity>
  <Lines>258</Lines>
  <Paragraphs>92</Paragraphs>
  <ScaleCrop>false</ScaleCrop>
  <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 Crescent</dc:creator>
  <cp:keywords/>
  <dc:description/>
  <cp:lastModifiedBy>shu ix</cp:lastModifiedBy>
  <cp:revision>34</cp:revision>
  <dcterms:created xsi:type="dcterms:W3CDTF">2026-08-16T08:50:00Z</dcterms:created>
  <dcterms:modified xsi:type="dcterms:W3CDTF">2026-08-31T09:38:00Z</dcterms:modified>
</cp:coreProperties>
</file>