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png" ContentType="image/png"/>
  <Override PartName="/word/media/rId61.png" ContentType="image/png"/>
  <Override PartName="/word/media/rId57.png" ContentType="image/png"/>
  <Override PartName="/word/media/rId20.png" ContentType="image/png"/>
  <Override PartName="/word/media/rId33.png" ContentType="image/png"/>
  <Override PartName="/word/media/rId25.png" ContentType="image/png"/>
  <Override PartName="/word/media/rId65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75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9392840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92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Works on phone and desktop.</w:t>
      </w:r>
      <w:r>
        <w:t xml:space="preserve"> </w:t>
      </w:r>
      <w:r>
        <w:t xml:space="preserve">The layout is responsive — wide tables scroll horizontally and controls stack on a phone, so everything is reachable on iPhone or a large screen.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24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§9).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1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(§9.2–9.3) to enable the AI digest and extra data cross-checks.</w:t>
      </w:r>
    </w:p>
    <w:p>
      <w:pPr>
        <w:numPr>
          <w:ilvl w:val="0"/>
          <w:numId w:val="1001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24"/>
    <w:bookmarkStart w:id="28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9397007"/>
            <wp:effectExtent b="0" l="0" r="0" t="0"/>
            <wp:docPr descr="Scarcity radar" title="" id="26" name="Picture"/>
            <a:graphic>
              <a:graphicData uri="http://schemas.openxmlformats.org/drawingml/2006/picture">
                <pic:pic>
                  <pic:nvPicPr>
                    <pic:cNvPr descr="img/radar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970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scarcity,</w:t>
      </w:r>
      <w:r>
        <w:t xml:space="preserve"> </w:t>
      </w:r>
      <w:r>
        <w:rPr>
          <w:bCs/>
          <w:b/>
        </w:rPr>
        <w:t xml:space="preserve">ranked by Opportunity Score — where the retail alpha is.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Opportunity†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0–100 structural-alpha score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Cs/>
                <w:i/>
              </w:rPr>
              <w:t xml:space="preserve">binds soon × durable × defensible ×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not yet priced</w:t>
            </w:r>
            <w:r>
              <w:t xml:space="preserve">. Priced-in is a multiplicative</w:t>
            </w:r>
            <w:r>
              <w:t xml:space="preserve"> </w:t>
            </w:r>
            <w:r>
              <w:rPr>
                <w:bCs/>
                <w:b/>
              </w:rPr>
              <w:t xml:space="preserve">gate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crowded</w:t>
            </w:r>
            <w:r>
              <w:t xml:space="preserve"> </w:t>
            </w:r>
            <w:r>
              <w:t xml:space="preserve">thesis scores ~0 however good the business, because there’s no alpha left in what’s priced. The gate blends the</w:t>
            </w:r>
            <w:r>
              <w:t xml:space="preserve"> </w:t>
            </w:r>
            <w:r>
              <w:rPr>
                <w:bCs/>
                <w:b/>
              </w:rPr>
              <w:t xml:space="preserve">human label (60%)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rPr>
                <w:bCs/>
                <w:b/>
              </w:rPr>
              <w:t xml:space="preserve">live price-derived crowding proxy (40%)</w:t>
            </w:r>
            <w:r>
              <w:t xml:space="preserve">, so it tracks the tape; a</w:t>
            </w:r>
            <w:r>
              <w:t xml:space="preserve"> </w:t>
            </w:r>
            <w:r>
              <w:rPr>
                <w:bCs/>
                <w:b/>
              </w:rPr>
              <w:t xml:space="preserve">↑tape / ↓tape</w:t>
            </w:r>
            <w:r>
              <w:t xml:space="preserve"> </w:t>
            </w:r>
            <w:r>
              <w:t xml:space="preserve">chip flags where the market disagrees with the label. Built from the source fields only — no curve-fitting.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 of the list = the best structural setups.</w:t>
            </w:r>
            <w:r>
              <w:t xml:space="preserve"> </w:t>
            </w:r>
            <w:r>
              <w:t xml:space="preserve">Top scores are graded as relative-outperformance forecasts.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scarcity may also carry an</w:t>
      </w:r>
      <w:r>
        <w:t xml:space="preserve"> </w:t>
      </w:r>
      <w:r>
        <w:rPr>
          <w:bCs/>
          <w:b/>
        </w:rPr>
        <w:t xml:space="preserve">alpha flag</w:t>
      </w:r>
      <w:r>
        <w:t xml:space="preserve">:</w:t>
      </w:r>
      <w:r>
        <w:t xml:space="preserve"> </w:t>
      </w:r>
      <w:r>
        <w:rPr>
          <w:bCs/>
          <w:b/>
        </w:rPr>
        <w:t xml:space="preserve">↓ de-rating</w:t>
      </w:r>
      <w:r>
        <w:t xml:space="preserve"> </w:t>
      </w:r>
      <w:r>
        <w:t xml:space="preserve">(a crowded thesis losing relative strength vs the AI-capex complex → reduce) or</w:t>
      </w:r>
      <w:r>
        <w:t xml:space="preserve"> </w:t>
      </w:r>
      <w:r>
        <w:rPr>
          <w:bCs/>
          <w:b/>
        </w:rPr>
        <w:t xml:space="preserve">↑ inflecting</w:t>
      </w:r>
      <w:r>
        <w:t xml:space="preserve"> </w:t>
      </w:r>
      <w:r>
        <w:t xml:space="preserve">(an under-priced thesis gaining → accumulate). This operationalizes the thesis’s core claim and is graded by the Track record over time.</w:t>
      </w:r>
    </w:p>
    <w:p>
      <w:pPr>
        <w:pStyle w:val="BodyText"/>
      </w:pPr>
      <w:r>
        <w:t xml:space="preserve">It may also carry a</w:t>
      </w:r>
      <w:r>
        <w:t xml:space="preserve"> </w:t>
      </w:r>
      <w:r>
        <w:rPr>
          <w:bCs/>
          <w:b/>
        </w:rPr>
        <w:t xml:space="preserve">forced-flow flag</w:t>
      </w:r>
      <w:r>
        <w:t xml:space="preserve"> </w:t>
      </w:r>
      <w:r>
        <w:t xml:space="preserve">(ALPHA.md Edge 3 — 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sell):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= the name is mechanically de-rated (off highs, below trend, falling)</w:t>
      </w:r>
      <w:r>
        <w:t xml:space="preserve"> </w:t>
      </w:r>
      <w:r>
        <w:rPr>
          <w:iCs/>
          <w:i/>
        </w:rPr>
        <w:t xml:space="preserve">while its</w:t>
      </w:r>
      <w:r>
        <w:rPr>
          <w:iCs/>
          <w:i/>
        </w:rPr>
        <w:t xml:space="preserve"> </w:t>
      </w:r>
      <w:r>
        <w:rPr>
          <w:iCs/>
          <w:i/>
        </w:rPr>
        <w:t xml:space="preserve">structural thesis is intact</w:t>
      </w:r>
      <w:r>
        <w:t xml:space="preserve"> </w:t>
      </w:r>
      <w:r>
        <w:t xml:space="preserve">— the footprint of forced/neglect selling. This flag is</w:t>
      </w:r>
      <w:r>
        <w:t xml:space="preserve"> </w:t>
      </w:r>
      <w:r>
        <w:rPr>
          <w:bCs/>
          <w:b/>
        </w:rPr>
        <w:t xml:space="preserve">regime-aware</w:t>
      </w:r>
      <w:r>
        <w:t xml:space="preserve">:</w:t>
      </w:r>
      <w:r>
        <w:t xml:space="preserve"> </w:t>
      </w:r>
      <w:r>
        <w:t xml:space="preserve">when the timing dial has the brakes on it shows</w:t>
      </w:r>
      <w:r>
        <w:t xml:space="preserve"> </w:t>
      </w:r>
      <w:r>
        <w:rPr>
          <w:bCs/>
          <w:b/>
        </w:rPr>
        <w:t xml:space="preserve">⏳ accumulate on trigger</w:t>
      </w:r>
      <w:r>
        <w:t xml:space="preserve"> </w:t>
      </w:r>
      <w:r>
        <w:t xml:space="preserve">— a</w:t>
      </w:r>
      <w:r>
        <w:t xml:space="preserve"> </w:t>
      </w:r>
      <w:r>
        <w:rPr>
          <w:iCs/>
          <w:i/>
        </w:rPr>
        <w:t xml:space="preserve">deploy-when-the-</w:t>
      </w:r>
      <w:r>
        <w:rPr>
          <w:iCs/>
          <w:i/>
        </w:rPr>
        <w:t xml:space="preserve"> </w:t>
      </w:r>
      <w:r>
        <w:rPr>
          <w:iCs/>
          <w:i/>
        </w:rPr>
        <w:t xml:space="preserve">drawdown-trigger-fires</w:t>
      </w:r>
      <w:r>
        <w:t xml:space="preserve"> </w:t>
      </w:r>
      <w:r>
        <w:t xml:space="preserve">priority,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buy-now call — so selection (what) and timing (when) never</w:t>
      </w:r>
      <w:r>
        <w:t xml:space="preserve"> </w:t>
      </w:r>
      <w:r>
        <w:t xml:space="preserve">contradict.</w:t>
      </w:r>
      <w:r>
        <w:t xml:space="preserve"> </w:t>
      </w:r>
      <w:r>
        <w:rPr>
          <w:bCs/>
          <w:b/>
        </w:rPr>
        <w:t xml:space="preserve">⚠ broken</w:t>
      </w:r>
      <w:r>
        <w:t xml:space="preserve"> </w:t>
      </w:r>
      <w:r>
        <w:t xml:space="preserve">= de-rated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thesis is weak → real deterioration, not an opportunity.</w:t>
      </w:r>
    </w:p>
    <w:p>
      <w:pPr>
        <w:pStyle w:val="BlockText"/>
      </w:pPr>
      <w:r>
        <w:rPr>
          <w:bCs/>
          <w:b/>
        </w:rPr>
        <w:t xml:space="preserve">Where does the alpha actually come from?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  <w:bCs/>
          <w:b/>
        </w:rPr>
        <w:t xml:space="preserve">ALPHA.md</w:t>
      </w:r>
      <w:r>
        <w:t xml:space="preserve"> </w:t>
      </w:r>
      <w:r>
        <w:t xml:space="preserve">— the research foundation. In short, a</w:t>
      </w:r>
      <w:r>
        <w:t xml:space="preserve"> </w:t>
      </w:r>
      <w:r>
        <w:t xml:space="preserve">retail investor can only beat the market where a</w:t>
      </w:r>
      <w:r>
        <w:t xml:space="preserve"> </w:t>
      </w:r>
      <w:r>
        <w:rPr>
          <w:iCs/>
          <w:i/>
        </w:rPr>
        <w:t xml:space="preserve">structural constraint</w:t>
      </w:r>
      <w:r>
        <w:t xml:space="preserve"> </w:t>
      </w:r>
      <w:r>
        <w:t xml:space="preserve">stops institutions from</w:t>
      </w:r>
      <w:r>
        <w:t xml:space="preserve"> </w:t>
      </w:r>
      <w:r>
        <w:t xml:space="preserve">doing so:</w:t>
      </w:r>
      <w:r>
        <w:t xml:space="preserve"> </w:t>
      </w:r>
      <w:r>
        <w:rPr>
          <w:bCs/>
          <w:b/>
        </w:rPr>
        <w:t xml:space="preserve">(1) time-horizon arbitrage</w:t>
      </w:r>
      <w:r>
        <w:t xml:space="preserve"> </w:t>
      </w:r>
      <w:r>
        <w:t xml:space="preserve">(you can wait 10 years; a quarterly-judged PM can’t),</w:t>
      </w:r>
      <w:r>
        <w:t xml:space="preserve"> </w:t>
      </w:r>
      <w:r>
        <w:rPr>
          <w:bCs/>
          <w:b/>
        </w:rPr>
        <w:t xml:space="preserve">(2) complexity/inaccessibility</w:t>
      </w:r>
      <w:r>
        <w:t xml:space="preserve"> </w:t>
      </w:r>
      <w:r>
        <w:t xml:space="preserve">(private/foreign/impaired chokepoints with no clean ETF — the</w:t>
      </w:r>
      <w:r>
        <w:t xml:space="preserve"> </w:t>
      </w:r>
      <w:r>
        <w:t xml:space="preserve">chokepoints tab),</w:t>
      </w:r>
      <w:r>
        <w:t xml:space="preserve"> </w:t>
      </w:r>
      <w:r>
        <w:rPr>
          <w:bCs/>
          <w:b/>
        </w:rPr>
        <w:t xml:space="preserve">(3) forced-flow/neglect</w:t>
      </w:r>
      <w:r>
        <w:t xml:space="preserve"> </w:t>
      </w:r>
      <w:r>
        <w:t xml:space="preserve">(buying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sell), and</w:t>
      </w:r>
      <w:r>
        <w:t xml:space="preserve"> </w:t>
      </w:r>
      <w:r>
        <w:rPr>
          <w:bCs/>
          <w:b/>
        </w:rPr>
        <w:t xml:space="preserve">(4) behavioral discipline</w:t>
      </w:r>
      <w:r>
        <w:t xml:space="preserve">. The Opportunity Score operationalizes #1; the rest are tracked in their</w:t>
      </w:r>
      <w:r>
        <w:t xml:space="preserve"> </w:t>
      </w:r>
      <w:r>
        <w:t xml:space="preserve">own panels. Everything is graded — an ungraded edge is just a story.</w:t>
      </w:r>
    </w:p>
    <w:p>
      <w:pPr>
        <w:pStyle w:val="FirstParagraph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2" w:name="timeline"/>
    <w:p>
      <w:pPr>
        <w:pStyle w:val="Heading2"/>
      </w:pPr>
      <w:r>
        <w:t xml:space="preserve">4. Timeline</w:t>
      </w:r>
    </w:p>
    <w:p>
      <w:pPr>
        <w:pStyle w:val="CaptionedFigure"/>
      </w:pPr>
      <w:r>
        <w:drawing>
          <wp:inline>
            <wp:extent cx="5334000" cy="5167312"/>
            <wp:effectExtent b="0" l="0" r="0" t="0"/>
            <wp:docPr descr="Timeline" title="" id="30" name="Picture"/>
            <a:graphic>
              <a:graphicData uri="http://schemas.openxmlformats.org/drawingml/2006/picture">
                <pic:pic>
                  <pic:nvPicPr>
                    <pic:cNvPr descr="img/timelin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67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Timeline</w:t>
      </w:r>
    </w:p>
    <w:p>
      <w:pPr>
        <w:pStyle w:val="BodyText"/>
      </w:pPr>
      <w:r>
        <w:t xml:space="preserve">The same scarcities,</w:t>
      </w:r>
      <w:r>
        <w:t xml:space="preserve"> </w:t>
      </w:r>
      <w:r>
        <w:rPr>
          <w:bCs/>
          <w:b/>
        </w:rPr>
        <w:t xml:space="preserve">bucketed by when they bind</w:t>
      </w:r>
      <w:r>
        <w:t xml:space="preserve"> </w:t>
      </w:r>
      <w:r>
        <w:t xml:space="preserve">(now → 2027 → 2028-29 → 2030+ → physics floor),</w:t>
      </w:r>
      <w:r>
        <w:t xml:space="preserve"> </w:t>
      </w:r>
      <w:r>
        <w:t xml:space="preserve">each tagged with its priced-in level. Use it to see</w:t>
      </w:r>
      <w:r>
        <w:t xml:space="preserve"> </w:t>
      </w:r>
      <w:r>
        <w:rPr>
          <w:iCs/>
          <w:i/>
        </w:rPr>
        <w:t xml:space="preserve">sequencing</w:t>
      </w:r>
      <w:r>
        <w:t xml:space="preserve"> </w:t>
      </w:r>
      <w:r>
        <w:t xml:space="preserve">— what bites first and what’s a</w:t>
      </w:r>
      <w:r>
        <w:t xml:space="preserve"> </w:t>
      </w:r>
      <w:r>
        <w:t xml:space="preserve">longer-dated, more certain deficit (e.g., copper).</w:t>
      </w:r>
    </w:p>
    <w:p>
      <w:r>
        <w:pict>
          <v:rect style="width:0;height:1.5pt" o:hralign="center" o:hrstd="t" o:hr="t"/>
        </w:pict>
      </w:r>
    </w:p>
    <w:bookmarkEnd w:id="32"/>
    <w:bookmarkStart w:id="46" w:name="portfolio-triggers"/>
    <w:p>
      <w:pPr>
        <w:pStyle w:val="Heading2"/>
      </w:pPr>
      <w:r>
        <w:t xml:space="preserve">5. Portfolio &amp; triggers</w:t>
      </w:r>
    </w:p>
    <w:p>
      <w:pPr>
        <w:pStyle w:val="CaptionedFigure"/>
      </w:pPr>
      <w:r>
        <w:drawing>
          <wp:inline>
            <wp:extent cx="5334000" cy="12730757"/>
            <wp:effectExtent b="0" l="0" r="0" t="0"/>
            <wp:docPr descr="Portfolio and triggers" title="" id="34" name="Picture"/>
            <a:graphic>
              <a:graphicData uri="http://schemas.openxmlformats.org/drawingml/2006/picture">
                <pic:pic>
                  <pic:nvPicPr>
                    <pic:cNvPr descr="img/portfolio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7307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bookmarkStart w:id="36" w:name="timing-posture-the-regime"/>
    <w:p>
      <w:pPr>
        <w:pStyle w:val="Heading3"/>
      </w:pPr>
      <w:r>
        <w:t xml:space="preserve">5.1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 The posture shows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 </w:t>
      </w:r>
      <w:r>
        <w:t xml:space="preserve">label (low/medium/high) and warns when the score sits near a band edge — it’s a coarse dial, not a precise number.</w:t>
      </w:r>
    </w:p>
    <w:p>
      <w:pPr>
        <w:pStyle w:val="BodyText"/>
      </w:pPr>
      <w:r>
        <w:rPr>
          <w:bCs/>
          <w:b/>
        </w:rPr>
        <w:t xml:space="preserve">v2 refinements:</w:t>
      </w:r>
      <w:r>
        <w:t xml:space="preserve"> </w:t>
      </w:r>
      <w:r>
        <w:t xml:space="preserve">the score is computed on the</w:t>
      </w:r>
      <w:r>
        <w:t xml:space="preserve"> </w:t>
      </w:r>
      <w:r>
        <w:rPr>
          <w:bCs/>
          <w:b/>
        </w:rPr>
        <w:t xml:space="preserve">theme ETFs</w:t>
      </w:r>
      <w:r>
        <w:t xml:space="preserve"> </w:t>
      </w:r>
      <w:r>
        <w:t xml:space="preserve">(a cleaner composite than averaging 19</w:t>
      </w:r>
      <w:r>
        <w:t xml:space="preserve"> </w:t>
      </w:r>
      <w:r>
        <w:t xml:space="preserve">noisy single names); 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</w:t>
      </w:r>
      <w:r>
        <w:t xml:space="preserve"> </w:t>
      </w:r>
      <w:r>
        <w:t xml:space="preserve">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posture); and it carries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Two overlays (Timing v2):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Macro-stress brake (exit-only).</w:t>
      </w:r>
      <w:r>
        <w:t xml:space="preserve"> </w:t>
      </w:r>
      <w:r>
        <w:t xml:space="preserve">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 risk signals fire</w:t>
      </w:r>
      <w:r>
        <w:rPr>
          <w:bCs/>
          <w:b/>
        </w:rP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VIX3M)</w:t>
      </w:r>
      <w:r>
        <w:t xml:space="preserve"> </w:t>
      </w:r>
      <w:r>
        <w:rPr>
          <w:bCs/>
          <w:b/>
        </w:rPr>
        <w:t xml:space="preserve">AND high-yield credit widens</w:t>
      </w:r>
      <w:r>
        <w:rPr>
          <w:bCs/>
          <w:b/>
        </w:rP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(HYG ~1-month return ≤ −3%). Requiring both makes false alarms rare; being exit-only means it</w:t>
      </w:r>
      <w:r>
        <w:t xml:space="preserve"> </w:t>
      </w:r>
      <w:r>
        <w:t xml:space="preserve">can only de-risk, never add. When it’s on, the posture note shows</w:t>
      </w:r>
      <w:r>
        <w:t xml:space="preserve"> </w:t>
      </w:r>
      <w:r>
        <w:rPr>
          <w:bCs/>
          <w:b/>
        </w:rPr>
        <w:t xml:space="preserve">MACRO-STRESS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20-DMA fast re-entry.</w:t>
      </w:r>
      <w:r>
        <w:t xml:space="preserve"> </w:t>
      </w:r>
      <w:r>
        <w:t xml:space="preserve">When ≥60% of holdings reclaim their 20-day average, the posture</w:t>
      </w:r>
      <w:r>
        <w:t xml:space="preserve"> </w:t>
      </w:r>
      <w:r>
        <w:rPr>
          <w:bCs/>
          <w:b/>
        </w:rPr>
        <w:t xml:space="preserve">re-risks</w:t>
      </w:r>
      <w:r>
        <w:rPr>
          <w:bCs/>
          <w:b/>
        </w:rPr>
        <w:t xml:space="preserve"> </w:t>
      </w:r>
      <w:r>
        <w:rPr>
          <w:bCs/>
          <w:b/>
        </w:rPr>
        <w:t xml:space="preserve">one notch</w:t>
      </w:r>
      <w:r>
        <w:t xml:space="preserve"> </w:t>
      </w:r>
      <w:r>
        <w:t xml:space="preserve">— so you don’t stay in cash too long after a V-shaped bottom (the momentum-crash fix). The</w:t>
      </w:r>
      <w:r>
        <w:t xml:space="preserve"> </w:t>
      </w:r>
      <w:r>
        <w:t xml:space="preserve">macro brake always wins over re-entry.</w:t>
      </w:r>
    </w:p>
    <w:bookmarkEnd w:id="36"/>
    <w:bookmarkStart w:id="37" w:name="a-dislocation-timing-v2.3-cross-check"/>
    <w:p>
      <w:pPr>
        <w:pStyle w:val="Heading3"/>
      </w:pPr>
      <w:r>
        <w:t xml:space="preserve">5.1a Dislocation timing + V2.3 cross-check</w:t>
      </w:r>
    </w:p>
    <w:p>
      <w:pPr>
        <w:pStyle w:val="FirstParagraph"/>
      </w:pPr>
      <w:r>
        <w:t xml:space="preserve">Just under the posture, the</w:t>
      </w:r>
      <w:r>
        <w:t xml:space="preserve"> </w:t>
      </w:r>
      <w:r>
        <w:rPr>
          <w:bCs/>
          <w:b/>
        </w:rPr>
        <w:t xml:space="preserve">Dislocation timing</w:t>
      </w:r>
      <w:r>
        <w:t xml:space="preserve"> </w:t>
      </w:r>
      <w:r>
        <w:t xml:space="preserve">card answers a single question:</w:t>
      </w:r>
      <w:r>
        <w:t xml:space="preserve"> </w:t>
      </w:r>
      <w:r>
        <w:rPr>
          <w:iCs/>
          <w:i/>
        </w:rPr>
        <w:t xml:space="preserve">when should I take</w:t>
      </w:r>
      <w:r>
        <w:rPr>
          <w:iCs/>
          <w:i/>
        </w:rPr>
        <w:t xml:space="preserve"> </w:t>
      </w:r>
      <w:r>
        <w:rPr>
          <w:iCs/>
          <w:i/>
        </w:rPr>
        <w:t xml:space="preserve">advantage of a dislocation?</w:t>
      </w:r>
      <w:r>
        <w:t xml:space="preserve"> </w:t>
      </w:r>
      <w:r>
        <w:t xml:space="preserve">A dislocation is a name mechanically sold off (off highs, below trend)</w:t>
      </w:r>
      <w:r>
        <w:t xml:space="preserve"> </w:t>
      </w:r>
      <w:r>
        <w:rPr>
          <w:bCs/>
          <w:b/>
        </w:rPr>
        <w:t xml:space="preserve">while its structural thesis is intact</w:t>
      </w:r>
      <w:r>
        <w:t xml:space="preserve"> </w:t>
      </w:r>
      <w:r>
        <w:t xml:space="preserve">(the forced-flow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flag). The danger is buying</w:t>
      </w:r>
      <w:r>
        <w:t xml:space="preserve"> </w:t>
      </w:r>
      <w:r>
        <w:t xml:space="preserve">one while it’s still falling — a falling knife. So the verdict is: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✅ ACT NOW</w:t>
      </w:r>
      <w:r>
        <w:t xml:space="preserve"> </w:t>
      </w:r>
      <w:r>
        <w:t xml:space="preserve">— a thesis-intact dislocation exists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timing has turned: the</w:t>
      </w:r>
      <w:r>
        <w:t xml:space="preserve"> </w:t>
      </w:r>
      <w:r>
        <w:rPr>
          <w:bCs/>
          <w:b/>
        </w:rPr>
        <w:t xml:space="preserve">drawdown trigger</w:t>
      </w:r>
      <w:r>
        <w:t xml:space="preserve"> </w:t>
      </w:r>
      <w:r>
        <w:t xml:space="preserve">fired, the</w:t>
      </w:r>
      <w:r>
        <w:t xml:space="preserve"> </w:t>
      </w:r>
      <w:r>
        <w:rPr>
          <w:bCs/>
          <w:b/>
        </w:rPr>
        <w:t xml:space="preserve">V2.3-style trend re-confirmed</w:t>
      </w:r>
      <w:r>
        <w:t xml:space="preserve"> </w:t>
      </w:r>
      <w:r>
        <w:t xml:space="preserve">(FULL on QQQ), or the</w:t>
      </w:r>
      <w:r>
        <w:t xml:space="preserve"> </w:t>
      </w:r>
      <w:r>
        <w:rPr>
          <w:bCs/>
          <w:b/>
        </w:rPr>
        <w:t xml:space="preserve">20-DMA fast re-entry</w:t>
      </w:r>
      <w:r>
        <w:t xml:space="preserve"> </w:t>
      </w:r>
      <w:r>
        <w:t xml:space="preserve">is firing.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⏳ WAIT</w:t>
      </w:r>
      <w:r>
        <w:t xml:space="preserve"> </w:t>
      </w:r>
      <w:r>
        <w:t xml:space="preserve">— the dislocation is real but timing is still defensive; wait for the turn.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— none</w:t>
      </w:r>
      <w:r>
        <w:t xml:space="preserve"> </w:t>
      </w:r>
      <w:r>
        <w:t xml:space="preserve">— nothing dislocated into an intact thesis right now.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V2.3 cross-check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faithful replica</w:t>
      </w:r>
      <w:r>
        <w:t xml:space="preserve"> </w:t>
      </w:r>
      <w:r>
        <w:t xml:space="preserve">of your F+C Thrust rule, recomputed on</w:t>
      </w:r>
      <w:r>
        <w:t xml:space="preserve"> </w:t>
      </w:r>
      <w:r>
        <w:rPr>
          <w:bCs/>
          <w:b/>
        </w:rPr>
        <w:t xml:space="preserve">QQQ</w:t>
      </w:r>
      <w:r>
        <w:t xml:space="preserve">, and</w:t>
      </w:r>
      <w:r>
        <w:t xml:space="preserve"> </w:t>
      </w:r>
      <w:r>
        <w:t xml:space="preserve">shows which instrument it holds (</w:t>
      </w:r>
      <w:r>
        <w:rPr>
          <w:bCs/>
          <w:b/>
        </w:rPr>
        <w:t xml:space="preserve">QLD</w:t>
      </w:r>
      <w:r>
        <w:t xml:space="preserve"> </w:t>
      </w:r>
      <w:r>
        <w:t xml:space="preserve">2× or</w:t>
      </w:r>
      <w:r>
        <w:t xml:space="preserve"> </w:t>
      </w:r>
      <w:r>
        <w:rPr>
          <w:bCs/>
          <w:b/>
        </w:rPr>
        <w:t xml:space="preserve">SGOV</w:t>
      </w:r>
      <w:r>
        <w:t xml:space="preserve">) next to Puck’s regime posture —</w:t>
      </w:r>
      <w:r>
        <w:t xml:space="preserve"> </w:t>
      </w:r>
      <w:r>
        <w:rPr>
          <w:bCs/>
          <w:b/>
        </w:rPr>
        <w:t xml:space="preserve">✓ agree</w:t>
      </w:r>
      <w:r>
        <w:t xml:space="preserve"> </w:t>
      </w:r>
      <w:r>
        <w:t xml:space="preserve">=</w:t>
      </w:r>
      <w:r>
        <w:t xml:space="preserve"> </w:t>
      </w:r>
      <w:r>
        <w:t xml:space="preserve">confirmation,</w:t>
      </w:r>
      <w:r>
        <w:t xml:space="preserve"> </w:t>
      </w:r>
      <w:r>
        <w:rPr>
          <w:bCs/>
          <w:b/>
        </w:rPr>
        <w:t xml:space="preserve">⚠ diverge</w:t>
      </w:r>
      <w:r>
        <w:t xml:space="preserve"> </w:t>
      </w:r>
      <w:r>
        <w:t xml:space="preserve">= look closer. The exact ladder (first match wins):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CRASH_OFF</w:t>
      </w:r>
      <w:r>
        <w:t xml:space="preserve"> </w:t>
      </w:r>
      <w:r>
        <w:t xml:space="preserve">(trailing 252-day return &lt; 0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60-day annualized vol &gt; 25%) →</w:t>
      </w:r>
      <w:r>
        <w:t xml:space="preserve"> </w:t>
      </w:r>
      <w:r>
        <w:rPr>
          <w:bCs/>
          <w:b/>
        </w:rPr>
        <w:t xml:space="preserve">SGOV</w:t>
      </w:r>
    </w:p>
    <w:p>
      <w:pPr>
        <w:numPr>
          <w:ilvl w:val="0"/>
          <w:numId w:val="1003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(close &gt; 200-DMA)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3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THRUST</w:t>
      </w:r>
      <w:r>
        <w:t xml:space="preserve"> </w:t>
      </w:r>
      <w:r>
        <w:t xml:space="preserve">(close &gt; 20-DMA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20-DMA is higher than 10 trading days ago)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3"/>
        </w:numPr>
        <w:pStyle w:val="Compact"/>
      </w:pPr>
      <w:r>
        <w:t xml:space="preserve">else →</w:t>
      </w:r>
      <w:r>
        <w:t xml:space="preserve"> </w:t>
      </w:r>
      <w:r>
        <w:rPr>
          <w:bCs/>
          <w:b/>
        </w:rPr>
        <w:t xml:space="preserve">SGOV</w:t>
      </w:r>
    </w:p>
    <w:p>
      <w:pPr>
        <w:pStyle w:val="FirstParagraph"/>
      </w:pPr>
      <w:r>
        <w:t xml:space="preserve">…with an</w:t>
      </w:r>
      <w:r>
        <w:t xml:space="preserve"> </w:t>
      </w:r>
      <w:r>
        <w:rPr>
          <w:bCs/>
          <w:b/>
        </w:rPr>
        <w:t xml:space="preserve">exit-only composite-stress overlay</w:t>
      </w:r>
      <w:r>
        <w:t xml:space="preserve">: if the ladder picked QLD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VIX/VIX3M ≥ 1.0 for 3</w:t>
      </w:r>
      <w:r>
        <w:t xml:space="preserve"> </w:t>
      </w:r>
      <w:r>
        <w:t xml:space="preserve">consecutive days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HY-velocity (20-day change in −log(HYG)) sits in the top 5% of its trailing</w:t>
      </w:r>
      <w:r>
        <w:t xml:space="preserve"> </w:t>
      </w:r>
      <w:r>
        <w:t xml:space="preserve">252-day distribution, it forces</w:t>
      </w:r>
      <w:r>
        <w:t xml:space="preserve"> </w:t>
      </w:r>
      <w:r>
        <w:rPr>
          <w:bCs/>
          <w:b/>
        </w:rPr>
        <w:t xml:space="preserve">SGOV</w:t>
      </w:r>
      <w:r>
        <w:t xml:space="preserve">. If any overlay input (</w:t>
      </w:r>
      <w:r>
        <w:rPr>
          <w:vertAlign w:val="superscript"/>
        </w:rPr>
        <w:t xml:space="preserve">VIX/</w:t>
      </w:r>
      <w:r>
        <w:t xml:space="preserve">VIX3M/HYG) is missing, the overlay</w:t>
      </w:r>
      <w:r>
        <w:t xml:space="preserve"> </w:t>
      </w:r>
      <w:r>
        <w:t xml:space="preserve">is suppressed (it won’t act on fake data).</w:t>
      </w:r>
      <w:r>
        <w:t xml:space="preserve"> </w:t>
      </w:r>
      <w:r>
        <w:rPr>
          <w:bCs/>
          <w:b/>
        </w:rPr>
        <w:t xml:space="preserve">Puck itself adds no leverage</w:t>
      </w:r>
      <w:r>
        <w:t xml:space="preserve"> </w:t>
      </w:r>
      <w:r>
        <w:t xml:space="preserve">— a 2× QLD sleeve would</w:t>
      </w:r>
      <w:r>
        <w:t xml:space="preserve"> </w:t>
      </w:r>
      <w:r>
        <w:t xml:space="preserve">breach the −35% max-drawdown objective unless gated by a full exit to cash.</w:t>
      </w:r>
    </w:p>
    <w:bookmarkEnd w:id="37"/>
    <w:bookmarkStart w:id="38" w:name="b-objective-scorecard"/>
    <w:p>
      <w:pPr>
        <w:pStyle w:val="Heading3"/>
      </w:pPr>
      <w:r>
        <w:t xml:space="preserve">5.1b Objective scorecard</w:t>
      </w:r>
    </w:p>
    <w:p>
      <w:pPr>
        <w:pStyle w:val="FirstParagraph"/>
      </w:pPr>
      <w:r>
        <w:t xml:space="preserve">The app’s goal is</w:t>
      </w:r>
      <w:r>
        <w:t xml:space="preserve"> </w:t>
      </w:r>
      <w:r>
        <w:rPr>
          <w:bCs/>
          <w:b/>
        </w:rPr>
        <w:t xml:space="preserve">max 10-year return with max drawdown &lt; 35%, and the best Calmar/Sortino.</w:t>
      </w:r>
      <w:r>
        <w:t xml:space="preserve"> </w:t>
      </w:r>
      <w:r>
        <w:t xml:space="preserve">This card</w:t>
      </w:r>
      <w:r>
        <w:t xml:space="preserve"> </w:t>
      </w:r>
      <w:r>
        <w:t xml:space="preserve">measures your</w:t>
      </w:r>
      <w:r>
        <w:t xml:space="preserve"> </w:t>
      </w:r>
      <w:r>
        <w:rPr>
          <w:bCs/>
          <w:b/>
        </w:rPr>
        <w:t xml:space="preserve">strategy basket</w:t>
      </w:r>
      <w:r>
        <w:t xml:space="preserve"> </w:t>
      </w:r>
      <w:r>
        <w:t xml:space="preserve">(target-weighted holdings) over the trailing window:</w:t>
      </w:r>
      <w:r>
        <w:t xml:space="preserve"> </w:t>
      </w:r>
      <w:r>
        <w:rPr>
          <w:bCs/>
          <w:b/>
        </w:rPr>
        <w:t xml:space="preserve">CAGR</w:t>
      </w:r>
      <w:r>
        <w:t xml:space="preserve">,</w:t>
      </w:r>
      <w:r>
        <w:t xml:space="preserve"> </w:t>
      </w:r>
      <w:r>
        <w:rPr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(turns ⚠ red if it breaches −35%),</w:t>
      </w:r>
      <w:r>
        <w:t xml:space="preserve"> </w:t>
      </w:r>
      <w:r>
        <w:rPr>
          <w:bCs/>
          <w:b/>
        </w:rPr>
        <w:t xml:space="preserve">Calmar</w:t>
      </w:r>
      <w:r>
        <w:t xml:space="preserve"> </w:t>
      </w:r>
      <w:r>
        <w:t xml:space="preserve">(CAGR ÷ maxDD), and</w:t>
      </w:r>
      <w:r>
        <w:t xml:space="preserve"> </w:t>
      </w:r>
      <w:r>
        <w:rPr>
          <w:bCs/>
          <w:b/>
        </w:rPr>
        <w:t xml:space="preserve">Sortino</w:t>
      </w:r>
      <w:r>
        <w:t xml:space="preserve"> </w:t>
      </w:r>
      <w:r>
        <w:t xml:space="preserve">(return ÷</w:t>
      </w:r>
      <w:r>
        <w:t xml:space="preserve"> </w:t>
      </w:r>
      <w:r>
        <w:t xml:space="preserve">downside risk). It’s a live check on whether the timing/risk layer is actually holding drawdown under the</w:t>
      </w:r>
      <w:r>
        <w:t xml:space="preserve"> </w:t>
      </w:r>
      <w:r>
        <w:t xml:space="preserve">limit while earning a good risk-adjusted return — a backward-looking proxy, not a forecast. A</w:t>
      </w:r>
      <w:r>
        <w:t xml:space="preserve"> </w:t>
      </w:r>
      <w:r>
        <w:rPr>
          <w:bCs/>
          <w:b/>
        </w:rPr>
        <w:t xml:space="preserve">trend-brake backtest</w:t>
      </w:r>
      <w:r>
        <w:t xml:space="preserve"> </w:t>
      </w:r>
      <w:r>
        <w:t xml:space="preserve">line below it shows, on this basket and with no look-ahead, whether a moving-average brake actually cut max-drawdown and improved Calmar vs. buy-and-hold (the dial’s premise, tested).</w:t>
      </w:r>
    </w:p>
    <w:bookmarkEnd w:id="38"/>
    <w:bookmarkStart w:id="39" w:name="c-track-record-self-grading"/>
    <w:p>
      <w:pPr>
        <w:pStyle w:val="Heading3"/>
      </w:pPr>
      <w:r>
        <w:t xml:space="preserve">5.1c Track record (self-grading)</w:t>
      </w:r>
    </w:p>
    <w:p>
      <w:pPr>
        <w:pStyle w:val="FirstParagraph"/>
      </w:pPr>
      <w:r>
        <w:t xml:space="preserve">Puck records every dated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(overweight → expect the stock up over ~21 days;</w:t>
      </w:r>
      <w:r>
        <w:t xml:space="preserve"> </w:t>
      </w:r>
      <w:r>
        <w:t xml:space="preserve">underweight → down) and, when the horizon matures,</w:t>
      </w:r>
      <w:r>
        <w:t xml:space="preserve"> </w:t>
      </w:r>
      <w:r>
        <w:rPr>
          <w:bCs/>
          <w:b/>
        </w:rPr>
        <w:t xml:space="preserve">resolves</w:t>
      </w:r>
      <w:r>
        <w:t xml:space="preserve"> </w:t>
      </w:r>
      <w:r>
        <w:t xml:space="preserve">it against the realized price into a</w:t>
      </w:r>
      <w:r>
        <w:t xml:space="preserve"> </w:t>
      </w:r>
      <w:r>
        <w:rPr>
          <w:bCs/>
          <w:b/>
        </w:rPr>
        <w:t xml:space="preserve">hit-rate</w:t>
      </w:r>
      <w:r>
        <w:t xml:space="preserve">. It starts empty and fills in over ~21 days. This is the accountability layer — the system</w:t>
      </w:r>
      <w:r>
        <w:t xml:space="preserve"> </w:t>
      </w:r>
      <w:r>
        <w:t xml:space="preserve">is graded on whether its calls came true, turning opinions into a verifiable, compounding record. A</w:t>
      </w:r>
      <w:r>
        <w:t xml:space="preserve"> </w:t>
      </w:r>
      <w:r>
        <w:t xml:space="preserve">hit-rate persistently below ~50% means the signal isn’t working (which is what you want to know).</w:t>
      </w:r>
    </w:p>
    <w:p>
      <w:pPr>
        <w:pStyle w:val="BodyText"/>
      </w:pPr>
      <w:r>
        <w:t xml:space="preserve">A second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grades the harder claim. Each</w:t>
      </w:r>
      <w:r>
        <w:t xml:space="preserve"> </w:t>
      </w:r>
      <w:r>
        <w:rPr>
          <w:bCs/>
          <w:b/>
        </w:rPr>
        <w:t xml:space="preserve">de-rating / inflecting</w:t>
      </w:r>
      <w:r>
        <w:t xml:space="preserve"> </w:t>
      </w:r>
      <w:r>
        <w:t xml:space="preserve">flag becomes a</w:t>
      </w:r>
      <w:r>
        <w:t xml:space="preserve"> </w:t>
      </w:r>
      <w:r>
        <w:t xml:space="preserve">42-day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forecast — does the flagged scarcity basket actually under/out-perform the AI-capex</w:t>
      </w:r>
      <w:r>
        <w:t xml:space="preserve"> </w:t>
      </w:r>
      <w:r>
        <w:t xml:space="preserve">complex (the theme ETFs)? That relative move, not raw direction, is the thesis’s real edge, so it is</w:t>
      </w:r>
      <w:r>
        <w:t xml:space="preserve"> </w:t>
      </w:r>
      <w:r>
        <w:t xml:space="preserve">scored separately (de-rating and inflecting buckets). It tells you whether the alpha signal earns its keep.</w:t>
      </w:r>
    </w:p>
    <w:bookmarkEnd w:id="39"/>
    <w:bookmarkStart w:id="40" w:name="Xb7007932d81fa9c8a5b8c657c4feb1edab6068e"/>
    <w:p>
      <w:pPr>
        <w:pStyle w:val="Heading3"/>
      </w:pPr>
      <w:r>
        <w:t xml:space="preserve">5.1d Factor attribution — alpha or just beta? (G1, the honesty gate’s teeth)</w:t>
      </w:r>
    </w:p>
    <w:p>
      <w:pPr>
        <w:pStyle w:val="FirstParagraph"/>
      </w:pPr>
      <w:r>
        <w:t xml:space="preserve">The most important sanity check in the app. A rising basket or a good hit-rate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proof of skill —</w:t>
      </w:r>
      <w:r>
        <w:t xml:space="preserve"> </w:t>
      </w:r>
      <w:r>
        <w:t xml:space="preserve">the book could simply be loaded on factors anyone can buy cheaply. So Puck regresses the basket’s daily</w:t>
      </w:r>
      <w:r>
        <w:t xml:space="preserve"> </w:t>
      </w:r>
      <w:r>
        <w:t xml:space="preserve">return on a small set of</w:t>
      </w:r>
      <w:r>
        <w:t xml:space="preserve"> </w:t>
      </w:r>
      <w:r>
        <w:rPr>
          <w:bCs/>
          <w:b/>
        </w:rPr>
        <w:t xml:space="preserve">tradeable factors: market (SPY), momentum (MTUM), and — crucially — a thematic</w:t>
      </w:r>
      <w:r>
        <w:rPr>
          <w:bCs/>
          <w:b/>
        </w:rPr>
        <w:t xml:space="preserve"> </w:t>
      </w:r>
      <w:r>
        <w:rPr>
          <w:bCs/>
          <w:b/>
        </w:rPr>
        <w:t xml:space="preserve">proxy (QQQ).</w:t>
      </w:r>
      <w:r>
        <w:t xml:space="preserve"> </w:t>
      </w:r>
      <w:r>
        <w:t xml:space="preserve">The regression’s</w:t>
      </w:r>
      <w:r>
        <w:t xml:space="preserve"> </w:t>
      </w:r>
      <w:r>
        <w:rPr>
          <w:bCs/>
          <w:b/>
        </w:rPr>
        <w:t xml:space="preserve">intercept is the residual alpha</w:t>
      </w:r>
      <w:r>
        <w:t xml:space="preserve">: the return left</w:t>
      </w:r>
      <w:r>
        <w:t xml:space="preserve"> </w:t>
      </w:r>
      <w:r>
        <w:rPr>
          <w:iCs/>
          <w:i/>
        </w:rPr>
        <w:t xml:space="preserve">after</w:t>
      </w:r>
      <w:r>
        <w:t xml:space="preserve"> </w:t>
      </w:r>
      <w:r>
        <w:t xml:space="preserve">market,</w:t>
      </w:r>
      <w:r>
        <w:t xml:space="preserve"> </w:t>
      </w:r>
      <w:r>
        <w:t xml:space="preserve">momentum, and the AI/tech theme are accounted for.</w:t>
      </w:r>
      <w:r>
        <w:t xml:space="preserve"> </w:t>
      </w:r>
      <w:r>
        <w:rPr>
          <w:bCs/>
          <w:b/>
        </w:rPr>
        <w:t xml:space="preserve">Including the theme leg is the whole point</w:t>
      </w:r>
      <w:r>
        <w:t xml:space="preserve"> </w:t>
      </w:r>
      <w:r>
        <w:t xml:space="preserve">— without</w:t>
      </w:r>
      <w:r>
        <w:t xml:space="preserve"> </w:t>
      </w:r>
      <w:r>
        <w:t xml:space="preserve">it, this single-factor AI-capex book’s beta would masquerade as alpha (exactly the trap an adversarial</w:t>
      </w:r>
      <w:r>
        <w:t xml:space="preserve"> </w:t>
      </w:r>
      <w:r>
        <w:t xml:space="preserve">review flagged).</w:t>
      </w:r>
    </w:p>
    <w:p>
      <w:pPr>
        <w:pStyle w:val="BodyText"/>
      </w:pPr>
      <w:r>
        <w:t xml:space="preserve">The verdict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genuine alpha</w:t>
      </w:r>
      <w:r>
        <w:rPr>
          <w:bCs/>
          <w:b/>
        </w:rPr>
        <w:t xml:space="preserve">”</w:t>
      </w:r>
      <w:r>
        <w:t xml:space="preserve"> </w:t>
      </w:r>
      <w:r>
        <w:t xml:space="preserve">only when that residual is positive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statistically significant</w:t>
      </w:r>
      <w:r>
        <w:t xml:space="preserve"> </w:t>
      </w:r>
      <w:r>
        <w:t xml:space="preserve">(|t| ≥ 2); otherwise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factor/beta — not alpha,</w:t>
      </w:r>
      <w:r>
        <w:rPr>
          <w:bCs/>
          <w:b/>
        </w:rPr>
        <w:t xml:space="preserve">”</w:t>
      </w:r>
      <w:r>
        <w:t xml:space="preserve"> </w:t>
      </w:r>
      <w:r>
        <w:t xml:space="preserve">and the app says so plainly rather than flattering</w:t>
      </w:r>
      <w:r>
        <w:t xml:space="preserve"> </w:t>
      </w:r>
      <w:r>
        <w:t xml:space="preserve">itself. It also shows the blunt absolute check: did the basket beat simply buying</w:t>
      </w:r>
      <w:r>
        <w:t xml:space="preserve"> </w:t>
      </w:r>
      <w:r>
        <w:rPr>
          <w:bCs/>
          <w:b/>
        </w:rPr>
        <w:t xml:space="preserve">QQQ</w:t>
      </w:r>
      <w:r>
        <w:t xml:space="preserve">?</w:t>
      </w:r>
      <w:r>
        <w:t xml:space="preserve"> </w:t>
      </w:r>
      <w:r>
        <w:rPr>
          <w:iCs/>
          <w:i/>
        </w:rPr>
        <w:t xml:space="preserve">Caveat:</w:t>
      </w:r>
      <w:r>
        <w:t xml:space="preserve"> </w:t>
      </w:r>
      <w:r>
        <w:t xml:space="preserve">with</w:t>
      </w:r>
      <w:r>
        <w:t xml:space="preserve"> </w:t>
      </w:r>
      <w:r>
        <w:t xml:space="preserve">limited, partly-foreign history the estimate is noisy for a while (small sample, wide error band) — early</w:t>
      </w:r>
      <w:r>
        <w:t xml:space="preserve"> </w:t>
      </w:r>
      <w:r>
        <w:t xml:space="preserve">readings are indicative, not verdicts. This is the layer that keeps the whole</w:t>
      </w:r>
      <w:r>
        <w:t xml:space="preserve"> </w:t>
      </w:r>
      <w:r>
        <w:t xml:space="preserve">“</w:t>
      </w:r>
      <w:r>
        <w:t xml:space="preserve">alpha</w:t>
      </w:r>
      <w:r>
        <w:t xml:space="preserve">”</w:t>
      </w:r>
      <w:r>
        <w:t xml:space="preserve"> </w:t>
      </w:r>
      <w:r>
        <w:t xml:space="preserve">claim falsifiable.</w:t>
      </w:r>
    </w:p>
    <w:bookmarkEnd w:id="40"/>
    <w:bookmarkStart w:id="41" w:name="summary-cards"/>
    <w:p>
      <w:pPr>
        <w:pStyle w:val="Heading3"/>
      </w:pPr>
      <w:r>
        <w:t xml:space="preserve">5.2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§11).</w:t>
      </w:r>
    </w:p>
    <w:bookmarkEnd w:id="41"/>
    <w:bookmarkStart w:id="42" w:name="triggers"/>
    <w:p>
      <w:pPr>
        <w:pStyle w:val="Heading3"/>
      </w:pPr>
      <w:r>
        <w:t xml:space="preserve">5.3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(§11).</w:t>
      </w:r>
    </w:p>
    <w:bookmarkEnd w:id="42"/>
    <w:bookmarkStart w:id="43" w:name="holdings-table"/>
    <w:p>
      <w:pPr>
        <w:pStyle w:val="Heading3"/>
      </w:pPr>
      <w:r>
        <w:t xml:space="preserve">5.4 Holdings table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bCs/>
          <w:b/>
        </w:rPr>
        <w:t xml:space="preserve">target plan</w:t>
      </w:r>
      <w:r>
        <w:t xml:space="preserve">: account, target $, weight,</w:t>
      </w:r>
      <w:r>
        <w:t xml:space="preserve"> </w:t>
      </w:r>
      <w:r>
        <w:rPr>
          <w:bCs/>
          <w:b/>
        </w:rPr>
        <w:t xml:space="preserve">tier</w:t>
      </w:r>
      <w:r>
        <w:t xml:space="preserve"> </w:t>
      </w:r>
      <w:r>
        <w:t xml:space="preserve">(deployment pace), live price, YTD,</w:t>
      </w:r>
      <w:r>
        <w:t xml:space="preserve"> </w:t>
      </w:r>
      <w:r>
        <w:rPr>
          <w:bCs/>
          <w:b/>
        </w:rPr>
        <w:t xml:space="preserve">% off high</w:t>
      </w:r>
      <w:r>
        <w:t xml:space="preserve">,</w:t>
      </w:r>
      <w:r>
        <w:t xml:space="preserve"> </w:t>
      </w:r>
      <w:r>
        <w:rPr>
          <w:bCs/>
          <w:b/>
        </w:rPr>
        <w:t xml:space="preserve">vs 200-DMA</w:t>
      </w:r>
      <w:r>
        <w:t xml:space="preserve"> </w:t>
      </w:r>
      <w:r>
        <w:t xml:space="preserve">(trend), and</w:t>
      </w:r>
      <w:r>
        <w:t xml:space="preserve"> </w:t>
      </w:r>
      <w:r>
        <w:rPr>
          <w:bCs/>
          <w:b/>
        </w:rPr>
        <w:t xml:space="preserve">Fwd P/E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went up a lot ≠ expensive</w:t>
      </w:r>
      <w:r>
        <w:t xml:space="preserve">”</w:t>
      </w:r>
      <w:r>
        <w:t xml:space="preserve"> </w:t>
      </w:r>
      <w:r>
        <w:t xml:space="preserve">check; skipped</w:t>
      </w:r>
      <w:r>
        <w:t xml:space="preserve"> </w:t>
      </w:r>
      <w:r>
        <w:t xml:space="preserve">for ETFs). A</w:t>
      </w:r>
      <w:r>
        <w:t xml:space="preserve"> </w:t>
      </w:r>
      <w:r>
        <w:rPr>
          <w:bCs/>
          <w:b/>
        </w:rPr>
        <w:t xml:space="preserve">⚠</w:t>
      </w:r>
      <w:r>
        <w:t xml:space="preserve"> </w:t>
      </w:r>
      <w:r>
        <w:t xml:space="preserve">next to a ticker means a data-quality flag (divergent sources, a big jump, or a stale</w:t>
      </w:r>
      <w:r>
        <w:t xml:space="preserve"> </w:t>
      </w:r>
      <w:r>
        <w:t xml:space="preserve">quote — hover to see why).</w:t>
      </w:r>
    </w:p>
    <w:p>
      <w:pPr>
        <w:pStyle w:val="BodyText"/>
      </w:pPr>
      <w:r>
        <w:rPr>
          <w:bCs/>
          <w:b/>
        </w:rPr>
        <w:t xml:space="preserve">Tiers:</w:t>
      </w:r>
      <w:r>
        <w:t xml:space="preserve"> </w:t>
      </w:r>
      <w:r>
        <w:t xml:space="preserve">A = 100% now · B = 50% now + months 1–3 · C = 25% now + DCA to month 9 · D = small option</w:t>
      </w:r>
      <w:r>
        <w:t xml:space="preserve"> </w:t>
      </w:r>
      <w:r>
        <w:t xml:space="preserve">sleeve · DRY = cash held for triggers.</w:t>
      </w:r>
    </w:p>
    <w:bookmarkEnd w:id="43"/>
    <w:bookmarkStart w:id="44" w:name="your-holdings-live"/>
    <w:p>
      <w:pPr>
        <w:pStyle w:val="Heading3"/>
      </w:pPr>
      <w:r>
        <w:t xml:space="preserve">5.5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44"/>
    <w:bookmarkStart w:id="45" w:name="dca-progress"/>
    <w:p>
      <w:pPr>
        <w:pStyle w:val="Heading3"/>
      </w:pPr>
      <w:r>
        <w:t xml:space="preserve">5.6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45"/>
    <w:bookmarkEnd w:id="46"/>
    <w:bookmarkStart w:id="50" w:name="Xb1e0b37cd2cec0cdc4f078d3157da65985b98c8"/>
    <w:p>
      <w:pPr>
        <w:pStyle w:val="Heading2"/>
      </w:pPr>
      <w:r>
        <w:t xml:space="preserve">5b. Chokepoints (inaccessible / differentiated alpha)</w:t>
      </w:r>
    </w:p>
    <w:p>
      <w:pPr>
        <w:pStyle w:val="FirstParagraph"/>
      </w:pPr>
      <w:r>
        <w:t xml:space="preserve">The sharpest thesis idea:</w:t>
      </w:r>
      <w:r>
        <w:t xml:space="preserve"> </w:t>
      </w:r>
      <w:r>
        <w:rPr>
          <w:bCs/>
          <w:b/>
        </w:rPr>
        <w:t xml:space="preserve">the best chokepoints have no clean ETF</w:t>
      </w:r>
      <w:r>
        <w:t xml:space="preserve"> </w:t>
      </w:r>
      <w:r>
        <w:t xml:space="preserve">— they’re private (SpaceX, Physical</w:t>
      </w:r>
      <w:r>
        <w:t xml:space="preserve"> </w:t>
      </w:r>
      <w:r>
        <w:t xml:space="preserve">Intelligence), foreign (ASML, Ajinomoto, Harmonic Drive), or impaired. The app</w:t>
      </w:r>
      <w:r>
        <w:t xml:space="preserve"> </w:t>
      </w:r>
      <w:r>
        <w:rPr>
          <w:bCs/>
          <w:b/>
        </w:rPr>
        <w:t xml:space="preserve">discovers the public</w:t>
      </w:r>
      <w:r>
        <w:rPr>
          <w:bCs/>
          <w:b/>
        </w:rPr>
        <w:t xml:space="preserve"> </w:t>
      </w:r>
      <w:r>
        <w:rPr>
          <w:bCs/>
          <w:b/>
        </w:rPr>
        <w:t xml:space="preserve">proxies</w:t>
      </w:r>
      <w:r>
        <w:t xml:space="preserve"> </w:t>
      </w:r>
      <w:r>
        <w:t xml:space="preserve">exposed to each by searching</w:t>
      </w:r>
      <w: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for who mentions the entity (customers/suppliers/</w:t>
      </w:r>
      <w:r>
        <w:t xml:space="preserve"> </w:t>
      </w:r>
      <w:r>
        <w:t xml:space="preserve">partners). They’re ranked by</w:t>
      </w:r>
      <w:r>
        <w:t xml:space="preserve"> </w:t>
      </w:r>
      <w:r>
        <w:rPr>
          <w:bCs/>
          <w:b/>
        </w:rPr>
        <w:t xml:space="preserve">specificity</w:t>
      </w:r>
      <w:r>
        <w:t xml:space="preserve"> </w:t>
      </w:r>
      <w:r>
        <w:t xml:space="preserve">(a TF-IDF score, 0–1) rather than raw mention count: a</w:t>
      </w:r>
      <w:r>
        <w:t xml:space="preserve"> </w:t>
      </w:r>
      <w:r>
        <w:t xml:space="preserve">diversified megacap that mentions everything once in boilerplate — and shows up across many chokepoints —</w:t>
      </w:r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t xml:space="preserve">proxy, so it’s dimmed and flagged</w:t>
      </w:r>
      <w:r>
        <w:t xml:space="preserve"> </w:t>
      </w:r>
      <w:r>
        <w:rPr>
          <w:bCs/>
          <w:b/>
        </w:rPr>
        <w:t xml:space="preserve">⚠ generic</w:t>
      </w:r>
      <w:r>
        <w:t xml:space="preserve">, while a concentrated pure-play is surfaced</w:t>
      </w:r>
      <w:r>
        <w:t xml:space="preserve"> </w:t>
      </w:r>
      <w:r>
        <w:t xml:space="preserve">first. The app also shows a</w:t>
      </w:r>
      <w:r>
        <w:t xml:space="preserve"> </w:t>
      </w:r>
      <w:r>
        <w:rPr>
          <w:bCs/>
          <w:b/>
        </w:rPr>
        <w:t xml:space="preserve">heat</w:t>
      </w:r>
      <w:r>
        <w:t xml:space="preserve"> </w:t>
      </w:r>
      <w:r>
        <w:t xml:space="preserve">(attention + proxy momentum) and the proxies’ relative strength vs</w:t>
      </w:r>
      <w:r>
        <w:t xml:space="preserve"> </w:t>
      </w:r>
      <w:r>
        <w:t xml:space="preserve">the AI-capex complex. A</w:t>
      </w:r>
      <w:r>
        <w:t xml:space="preserve"> </w:t>
      </w:r>
      <w:r>
        <w:rPr>
          <w:bCs/>
          <w:b/>
        </w:rPr>
        <w:t xml:space="preserve">🕸 Cross-chokepoint hubs</w:t>
      </w:r>
      <w:r>
        <w:t xml:space="preserve"> </w:t>
      </w:r>
      <w:r>
        <w:t xml:space="preserve">panel maps</w:t>
      </w:r>
      <w:r>
        <w:t xml:space="preserve"> </w:t>
      </w:r>
      <w:r>
        <w:rPr>
          <w:iCs/>
          <w:i/>
        </w:rPr>
        <w:t xml:space="preserve">second-order</w:t>
      </w:r>
      <w:r>
        <w:t xml:space="preserve"> </w:t>
      </w:r>
      <w:r>
        <w:t xml:space="preserve">exposure: public names</w:t>
      </w:r>
      <w:r>
        <w:t xml:space="preserve"> </w:t>
      </w:r>
      <w:r>
        <w:t xml:space="preserve">that appear across</w:t>
      </w:r>
      <w:r>
        <w:t xml:space="preserve"> </w:t>
      </w:r>
      <w:r>
        <w:rPr>
          <w:bCs/>
          <w:b/>
        </w:rPr>
        <w:t xml:space="preserve">multiple</w:t>
      </w:r>
      <w:r>
        <w:t xml:space="preserve"> </w:t>
      </w:r>
      <w:r>
        <w:t xml:space="preserve">bottlenecks (×degree) — a</w:t>
      </w:r>
      <w:r>
        <w:t xml:space="preserve"> </w:t>
      </w:r>
      <w:r>
        <w:rPr>
          <w:bCs/>
          <w:b/>
        </w:rPr>
        <w:t xml:space="preserve">hub</w:t>
      </w:r>
      <w:r>
        <w:t xml:space="preserve"> </w:t>
      </w:r>
      <w:r>
        <w:t xml:space="preserve">(≥3) is a diversified</w:t>
      </w:r>
      <w:r>
        <w:t xml:space="preserve"> </w:t>
      </w:r>
      <w:r>
        <w:t xml:space="preserve">“</w:t>
      </w:r>
      <w:r>
        <w:t xml:space="preserve">picks-and-shovels</w:t>
      </w:r>
      <w:r>
        <w:t xml:space="preserve">”</w:t>
      </w:r>
      <w:r>
        <w:t xml:space="preserve"> </w:t>
      </w:r>
      <w:r>
        <w:t xml:space="preserve">way to play the whole complex, a degree-1 name is a concentrated pure play. All</w:t>
      </w:r>
      <w:r>
        <w:t xml:space="preserve"> </w:t>
      </w:r>
      <w:r>
        <w:t xml:space="preserve">data-derived (no hand-picked lists); discovered names are research leads, not recommendations.</w:t>
      </w:r>
    </w:p>
    <w:bookmarkStart w:id="47" w:name="stress-test"/>
    <w:p>
      <w:pPr>
        <w:pStyle w:val="Heading3"/>
      </w:pPr>
      <w:r>
        <w:t xml:space="preserve">5.7 Stress test</w:t>
      </w:r>
    </w:p>
    <w:p>
      <w:pPr>
        <w:pStyle w:val="FirstParagraph"/>
      </w:pPr>
      <w:r>
        <w:t xml:space="preserve">Applies the thesis’s named shocks to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sleeve and shows the drawdown vs the</w:t>
      </w:r>
      <w:r>
        <w:t xml:space="preserve"> </w:t>
      </w:r>
      <w:r>
        <w:rPr>
          <w:bCs/>
          <w:b/>
        </w:rPr>
        <w:t xml:space="preserve">−35% objective</w:t>
      </w:r>
      <w:r>
        <w:rPr>
          <w:bCs/>
          <w:b/>
        </w:rPr>
        <w:t xml:space="preserve"> </w:t>
      </w:r>
      <w:r>
        <w:rPr>
          <w:bCs/>
          <w:b/>
        </w:rPr>
        <w:t xml:space="preserve">limit</w:t>
      </w:r>
      <w:r>
        <w:t xml:space="preserve">: 2027–28 AI-capex digestion, a 2022-style rate shock, a broad recession, and a China</w:t>
      </w:r>
      <w:r>
        <w:t xml:space="preserve"> </w:t>
      </w:r>
      <w:r>
        <w:t xml:space="preserve">rare-earth</w:t>
      </w:r>
      <w:r>
        <w:t xml:space="preserve"> </w:t>
      </w:r>
      <w:r>
        <w:t xml:space="preserve">“</w:t>
      </w:r>
      <w:r>
        <w:t xml:space="preserve">peace.</w:t>
      </w:r>
      <w:r>
        <w:t xml:space="preserve">”</w:t>
      </w:r>
      <w:r>
        <w:t xml:space="preserve"> </w:t>
      </w:r>
      <w:r>
        <w:t xml:space="preserve">Coarse, documented high-beta shock vectors (not fitted) — a feel for tail risk.</w:t>
      </w:r>
      <w:r>
        <w:t xml:space="preserve"> </w:t>
      </w:r>
      <w:r>
        <w:t xml:space="preserve">Runs entirely in your browser on your stored positions.</w:t>
      </w:r>
    </w:p>
    <w:bookmarkEnd w:id="47"/>
    <w:bookmarkStart w:id="48" w:name="suggested-ira-tilts"/>
    <w:p>
      <w:pPr>
        <w:pStyle w:val="Heading3"/>
      </w:pPr>
      <w:r>
        <w:t xml:space="preserve">5.8 Suggested IRA tilts</w:t>
      </w:r>
    </w:p>
    <w:p>
      <w:pPr>
        <w:pStyle w:val="FirstParagraph"/>
      </w:pPr>
      <w:r>
        <w:t xml:space="preserve">The last mile from analysis to allocation: per-name</w:t>
      </w:r>
      <w:r>
        <w:t xml:space="preserve"> </w:t>
      </w:r>
      <w:r>
        <w:rPr>
          <w:bCs/>
          <w:b/>
        </w:rPr>
        <w:t xml:space="preserve">TSMOM tilt × regime</w:t>
      </w:r>
      <w:r>
        <w:t xml:space="preserve"> </w:t>
      </w:r>
      <w:r>
        <w:t xml:space="preserve">→ concrete, bounded (±25%)</w:t>
      </w:r>
      <w:r>
        <w:t xml:space="preserve"> </w:t>
      </w:r>
      <w:r>
        <w:t xml:space="preserve">weight deltas.</w:t>
      </w:r>
      <w:r>
        <w:t xml:space="preserve"> </w:t>
      </w:r>
      <w:r>
        <w:rPr>
          <w:bCs/>
          <w:b/>
        </w:rPr>
        <w:t xml:space="preserve">Add</w:t>
      </w:r>
      <w:r>
        <w:t xml:space="preserve"> </w:t>
      </w:r>
      <w:r>
        <w:t xml:space="preserve">overweights only in a risk-on regime;</w:t>
      </w:r>
      <w:r>
        <w:t xml:space="preserve"> </w:t>
      </w:r>
      <w:r>
        <w:rPr>
          <w:bCs/>
          <w:b/>
        </w:rPr>
        <w:t xml:space="preserve">trim</w:t>
      </w:r>
      <w:r>
        <w:t xml:space="preserve"> </w:t>
      </w:r>
      <w:r>
        <w:t xml:space="preserve">underweights in any regime;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 buy-and-hold. Graded over time by the Track record. Not advice.</w:t>
      </w:r>
    </w:p>
    <w:bookmarkEnd w:id="48"/>
    <w:bookmarkStart w:id="49" w:name="Xbceddce322048c5d80798aee7cf845116272575"/>
    <w:p>
      <w:pPr>
        <w:pStyle w:val="Heading3"/>
      </w:pPr>
      <w:r>
        <w:t xml:space="preserve">5.9 Rebalance plan (G3 — volatility-tilted target weights → buy/sell)</w:t>
      </w:r>
    </w:p>
    <w:p>
      <w:pPr>
        <w:pStyle w:val="FirstParagraph"/>
      </w:pPr>
      <w:r>
        <w:t xml:space="preserve">The fuller allocation engine: it builds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target-weight vectors and turns each into a concrete</w:t>
      </w:r>
      <w:r>
        <w:t xml:space="preserve"> </w:t>
      </w:r>
      <w:r>
        <w:rPr>
          <w:bCs/>
          <w:b/>
        </w:rPr>
        <w:t xml:space="preserve">buy/sell dollar plan</w:t>
      </w:r>
      <w:r>
        <w:t xml:space="preserve">, shown side by side so you can see how the signals move your book: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Research plan</w:t>
      </w:r>
      <w:r>
        <w:t xml:space="preserve"> </w:t>
      </w:r>
      <w:r>
        <w:t xml:space="preserve">— your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weights nudged only by a</w:t>
      </w:r>
      <w:r>
        <w:t xml:space="preserve"> </w:t>
      </w:r>
      <w:r>
        <w:rPr>
          <w:bCs/>
          <w:b/>
        </w:rPr>
        <w:t xml:space="preserve">light ±15% inverse-volatility</w:t>
      </w:r>
      <w:r>
        <w:rPr>
          <w:bCs/>
          <w:b/>
        </w:rPr>
        <w:t xml:space="preserve"> </w:t>
      </w:r>
      <w:r>
        <w:rPr>
          <w:bCs/>
          <w:b/>
        </w:rPr>
        <w:t xml:space="preserve">tilt</w:t>
      </w:r>
      <w:r>
        <w:t xml:space="preserve">, so high-vol names (COPX/LEU/MP) don’t silently dominate. Your conviction stays primary.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Signal plan</w:t>
      </w:r>
      <w:r>
        <w:t xml:space="preserve"> </w:t>
      </w:r>
      <w:r>
        <w:t xml:space="preserve">— the research weight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moved by the</w:t>
      </w:r>
      <w:r>
        <w:t xml:space="preserve"> </w:t>
      </w:r>
      <w:r>
        <w:rPr>
          <w:bCs/>
          <w:b/>
        </w:rPr>
        <w:t xml:space="preserve">thesis Opportunity</w:t>
      </w:r>
      <w:r>
        <w:t xml:space="preserve"> </w:t>
      </w:r>
      <w:r>
        <w:t xml:space="preserve">(the human</w:t>
      </w:r>
      <w:r>
        <w:t xml:space="preserve"> </w:t>
      </w:r>
      <w:r>
        <w:t xml:space="preserve">priced-in label × durability,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the price-momentum part — momentum enters only once, via the regime</w:t>
      </w:r>
      <w:r>
        <w:t xml:space="preserve"> </w:t>
      </w:r>
      <w:r>
        <w:t xml:space="preserve">tilt) and the</w:t>
      </w:r>
      <w:r>
        <w:t xml:space="preserve"> </w:t>
      </w:r>
      <w:r>
        <w:rPr>
          <w:bCs/>
          <w:b/>
        </w:rPr>
        <w:t xml:space="preserve">regime tilt</w:t>
      </w:r>
      <w:r>
        <w:t xml:space="preserve">. A research-committee</w:t>
      </w:r>
      <w:r>
        <w:t xml:space="preserve"> </w:t>
      </w:r>
      <w:r>
        <w:t xml:space="preserve">“</w:t>
      </w:r>
      <w:r>
        <w:t xml:space="preserve">crowded</w:t>
      </w:r>
      <w:r>
        <w:t xml:space="preserve">”</w:t>
      </w:r>
      <w:r>
        <w:t xml:space="preserve"> </w:t>
      </w:r>
      <w:r>
        <w:t xml:space="preserve">downgrade lowers a name’s thesis</w:t>
      </w:r>
      <w:r>
        <w:t xml:space="preserve"> </w:t>
      </w:r>
      <w:r>
        <w:t xml:space="preserve">Opportunity → shrinks its weight here → surfaces a trim. This</w:t>
      </w:r>
      <w:r>
        <w:t xml:space="preserve"> </w:t>
      </w:r>
      <w:r>
        <w:rPr>
          <w:bCs/>
          <w:b/>
        </w:rPr>
        <w:t xml:space="preserve">closes the thesis→allocation link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Funding rules (so the plan is realistic, not just ideal weights):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IRA</w:t>
      </w:r>
      <w:r>
        <w:t xml:space="preserve"> </w:t>
      </w:r>
      <w:r>
        <w:t xml:space="preserve">(tax-free)</w:t>
      </w:r>
      <w:r>
        <w:t xml:space="preserve"> </w:t>
      </w:r>
      <w:r>
        <w:rPr>
          <w:bCs/>
          <w:b/>
        </w:rPr>
        <w:t xml:space="preserve">self-funds</w:t>
      </w:r>
      <w:r>
        <w:t xml:space="preserve"> </w:t>
      </w:r>
      <w:r>
        <w:t xml:space="preserve">— trims pay for buys within the sleeve (buys ≈ sells exactly).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</w:t>
      </w:r>
      <w:r>
        <w:t xml:space="preserve"> </w:t>
      </w:r>
      <w:r>
        <w:rPr>
          <w:bCs/>
          <w:b/>
        </w:rPr>
        <w:t xml:space="preserve">buy-and-hold anchors</w:t>
      </w:r>
      <w:r>
        <w:t xml:space="preserve">: a taxable</w:t>
      </w:r>
      <w:r>
        <w:t xml:space="preserve"> </w:t>
      </w:r>
      <w:r>
        <w:rPr>
          <w:bCs/>
          <w:b/>
        </w:rPr>
        <w:t xml:space="preserve">trim is only actioned above a higher</w:t>
      </w:r>
      <w:r>
        <w:rPr>
          <w:bCs/>
          <w:b/>
        </w:rPr>
        <w:t xml:space="preserve"> </w:t>
      </w:r>
      <w:r>
        <w:rPr>
          <w:bCs/>
          <w:b/>
        </w:rPr>
        <w:t xml:space="preserve">bar — the cost-basis trim rule</w:t>
      </w:r>
      <w:r>
        <w:t xml:space="preserve"> </w:t>
      </w:r>
      <w:r>
        <w:t xml:space="preserve">(&gt;2× cost AND &gt;50× forward). A signal-driven taxable sell is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automated (selling into a dislocation can invert the forced-flow edge and realizes tax) — it needs your</w:t>
      </w:r>
      <w:r>
        <w:t xml:space="preserve"> </w:t>
      </w:r>
      <w:r>
        <w:t xml:space="preserve">decision. Otherwise the ideal weight is shown but held, reported as</w:t>
      </w:r>
      <w:r>
        <w:t xml:space="preserve"> </w:t>
      </w:r>
      <w:r>
        <w:rPr>
          <w:rStyle w:val="VerbatimChar"/>
        </w:rPr>
        <w:t xml:space="preserve">anchor-trim held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needs new cash</w:t>
      </w:r>
      <w:r>
        <w:t xml:space="preserve"> </w:t>
      </w:r>
      <w:r>
        <w:t xml:space="preserve">— when buys in a sleeve exceed its available sells + dry powder, the shortfall is</w:t>
      </w:r>
      <w:r>
        <w:t xml:space="preserve"> </w:t>
      </w:r>
      <w:r>
        <w:t xml:space="preserve">surfaced explicitly rather than implying free money.</w:t>
      </w:r>
    </w:p>
    <w:p>
      <w:pPr>
        <w:pStyle w:val="BodyText"/>
      </w:pPr>
      <w:r>
        <w:rPr>
          <w:bCs/>
          <w:b/>
        </w:rPr>
        <w:t xml:space="preserve">Honest scope + accountability.</w:t>
      </w:r>
      <w:r>
        <w:t xml:space="preserve"> </w:t>
      </w:r>
      <w:r>
        <w:t xml:space="preserve">This is a</w:t>
      </w:r>
      <w:r>
        <w:t xml:space="preserve"> </w:t>
      </w:r>
      <w:r>
        <w:rPr>
          <w:bCs/>
          <w:b/>
        </w:rPr>
        <w:t xml:space="preserve">volatility</w:t>
      </w:r>
      <w:r>
        <w:t xml:space="preserve"> </w:t>
      </w:r>
      <w:r>
        <w:t xml:space="preserve">tilt,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correlation/covariance-aware —</w:t>
      </w:r>
      <w:r>
        <w:t xml:space="preserve"> </w:t>
      </w:r>
      <w:r>
        <w:t xml:space="preserve">on a ~1.0-correlated book a standalone-vol tilt does little for portfolio drawdown, so true equal-risk</w:t>
      </w:r>
      <w:r>
        <w:t xml:space="preserve"> </w:t>
      </w:r>
      <w:r>
        <w:t xml:space="preserve">sizing waits on a genuinely uncorrelated 2nd axis (G2). The tilt is also</w:t>
      </w:r>
      <w:r>
        <w:t xml:space="preserve"> </w:t>
      </w:r>
      <w:r>
        <w:rPr>
          <w:bCs/>
          <w:b/>
        </w:rPr>
        <w:t xml:space="preserve">graded</w:t>
      </w:r>
      <w:r>
        <w:t xml:space="preserve">: each scan records a</w:t>
      </w:r>
      <w:r>
        <w:t xml:space="preserve"> </w:t>
      </w:r>
      <w:r>
        <w:t xml:space="preserve">falsifiable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signal weights beat the research baseline</w:t>
      </w:r>
      <w:r>
        <w:rPr>
          <w:iCs/>
          <w:i/>
        </w:rPr>
        <w:t xml:space="preserve">”</w:t>
      </w:r>
      <w:r>
        <w:t xml:space="preserve"> </w:t>
      </w:r>
      <w:r>
        <w:t xml:space="preserve">claim into the Track record and resolves it at</w:t>
      </w:r>
      <w:r>
        <w:t xml:space="preserve"> </w:t>
      </w:r>
      <w:r>
        <w:t xml:space="preserve">~42 days — the header shows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ungraded (recording…)</w:t>
      </w:r>
      <w:r>
        <w:rPr>
          <w:bCs/>
          <w:b/>
        </w:rPr>
        <w:t xml:space="preserve">”</w:t>
      </w:r>
      <w:r>
        <w:t xml:space="preserve"> </w:t>
      </w:r>
      <w:r>
        <w:t xml:space="preserve">until the first resolves, then the live hit-rate.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it rebalances</w:t>
      </w:r>
      <w:r>
        <w:t xml:space="preserve"> </w:t>
      </w:r>
      <w:r>
        <w:rPr>
          <w:bCs/>
          <w:b/>
        </w:rPr>
        <w:t xml:space="preserve">what you actually hold</w:t>
      </w:r>
      <w:r>
        <w:t xml:space="preserve">; without it, it shows the ideal</w:t>
      </w:r>
      <w:r>
        <w:t xml:space="preserve"> </w:t>
      </w:r>
      <w:r>
        <w:t xml:space="preserve">weighting vs your static plan.</w:t>
      </w:r>
      <w:r>
        <w:t xml:space="preserve"> </w:t>
      </w:r>
      <w:r>
        <w:rPr>
          <w:bCs/>
          <w:b/>
        </w:rPr>
        <w:t xml:space="preserve">Advisory only</w:t>
      </w:r>
      <w:r>
        <w:t xml:space="preserve"> </w:t>
      </w:r>
      <w:r>
        <w:t xml:space="preserve">— it never edits your portfolio or places trades. Not advice.</w:t>
      </w:r>
    </w:p>
    <w:bookmarkEnd w:id="49"/>
    <w:bookmarkEnd w:id="50"/>
    <w:bookmarkStart w:id="51" w:name="c.-research-llm-proposals-you-approve"/>
    <w:p>
      <w:pPr>
        <w:pStyle w:val="Heading2"/>
      </w:pPr>
      <w:r>
        <w:t xml:space="preserve">5c. Research (LLM proposals you approve)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surfaces the monthly research engine’s proposed reassessments. The engine runs the</w:t>
      </w:r>
      <w:r>
        <w:t xml:space="preserve"> </w:t>
      </w:r>
      <w:r>
        <w:t xml:space="preserve">free LLMs (deep-dive → cross-model red-team → synthesis) over</w:t>
      </w:r>
      <w:r>
        <w:t xml:space="preserve"> </w:t>
      </w:r>
      <w:r>
        <w:rPr>
          <w:bCs/>
          <w:b/>
        </w:rPr>
        <w:t xml:space="preserve">deep evidence</w:t>
      </w:r>
      <w:r>
        <w:t xml:space="preserve"> </w:t>
      </w:r>
      <w:r>
        <w:t xml:space="preserve">— multi-angle news</w:t>
      </w:r>
      <w:r>
        <w:t xml:space="preserve"> </w:t>
      </w:r>
      <w:r>
        <w:rPr>
          <w:iCs/>
          <w:i/>
        </w:rPr>
        <w:t xml:space="preserve">article excerpts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SEC filing passages</w:t>
      </w:r>
      <w:r>
        <w:t xml:space="preserve"> </w:t>
      </w:r>
      <w:r>
        <w:t xml:space="preserve">+ the live de-rating / forced-flow / opportunity signals —</w:t>
      </w:r>
      <w:r>
        <w:t xml:space="preserve"> </w:t>
      </w:r>
      <w:r>
        <w:t xml:space="preserve">and proposes updates to each scarcity’s</w:t>
      </w:r>
      <w:r>
        <w:t xml:space="preserve"> </w:t>
      </w:r>
      <w:r>
        <w:rPr>
          <w:bCs/>
          <w:b/>
        </w:rPr>
        <w:t xml:space="preserve">priced-in / bind-window / non-consensus</w:t>
      </w:r>
      <w:r>
        <w:t xml:space="preserve"> </w:t>
      </w:r>
      <w:r>
        <w:t xml:space="preserve">fields only.</w:t>
      </w:r>
    </w:p>
    <w:p>
      <w:pPr>
        <w:pStyle w:val="BodyText"/>
      </w:pPr>
      <w:r>
        <w:t xml:space="preserve">Each card shows the</w:t>
      </w:r>
      <w:r>
        <w:t xml:space="preserve"> </w:t>
      </w:r>
      <w:r>
        <w:rPr>
          <w:bCs/>
          <w:b/>
        </w:rPr>
        <w:t xml:space="preserve">before→after</w:t>
      </w:r>
      <w:r>
        <w:t xml:space="preserve"> </w:t>
      </w:r>
      <w:r>
        <w:t xml:space="preserve">change, the LLM’s rationale, its sources, and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</w:t>
      </w:r>
      <w:r>
        <w:t xml:space="preserve"> </w:t>
      </w:r>
      <w:r>
        <w:t xml:space="preserve">opens a GitHub pull request containing</w:t>
      </w:r>
      <w:r>
        <w:t xml:space="preserve"> </w:t>
      </w:r>
      <w:r>
        <w:rPr>
          <w:iCs/>
          <w:i/>
        </w:rPr>
        <w:t xml:space="preserve">just that one change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then merge. Needs a token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with write access —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Pull requests</w:t>
      </w:r>
      <w:r>
        <w:t xml:space="preserve"> </w:t>
      </w:r>
      <w:r>
        <w:t xml:space="preserve">both read/write. (A 404/403 on a public repo means the token can read but not</w:t>
      </w:r>
      <w:r>
        <w:t xml:space="preserve"> </w:t>
      </w:r>
      <w:r>
        <w:t xml:space="preserve">write — usually the classic</w:t>
      </w:r>
      <w:r>
        <w:t xml:space="preserve"> </w:t>
      </w:r>
      <w:r>
        <w:rPr>
          <w:rStyle w:val="VerbatimChar"/>
        </w:rPr>
        <w:t xml:space="preserve">repo</w:t>
      </w:r>
      <w:r>
        <w:t xml:space="preserve"> </w:t>
      </w:r>
      <w:r>
        <w:t xml:space="preserve">scope wasn’t ticked.)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bot only</w:t>
      </w:r>
      <w:r>
        <w:t xml:space="preserve"> </w:t>
      </w:r>
      <w:r>
        <w:rPr>
          <w:iCs/>
          <w:i/>
        </w:rPr>
        <w:t xml:space="preserve">proposes</w:t>
      </w:r>
      <w:r>
        <w:t xml:space="preserve">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, and it can</w:t>
      </w:r>
      <w:r>
        <w:t xml:space="preserve"> </w:t>
      </w:r>
      <w:r>
        <w:rPr>
          <w:bCs/>
          <w:b/>
        </w:rPr>
        <w:t xml:space="preserve">only ever</w:t>
      </w:r>
      <w:r>
        <w:t xml:space="preserve"> </w:t>
      </w:r>
      <w:r>
        <w:t xml:space="preserve">touch those three fields — never the</w:t>
      </w:r>
      <w:r>
        <w:t xml:space="preserve"> </w:t>
      </w:r>
      <w:r>
        <w:t xml:space="preserve">thesis or tickers (the F9 ownership rule, enforced in the browser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scanner). Not advice.</w:t>
      </w:r>
    </w:p>
    <w:bookmarkEnd w:id="51"/>
    <w:bookmarkStart w:id="52" w:name="d.-scout-finding-new-scarcities"/>
    <w:p>
      <w:pPr>
        <w:pStyle w:val="Heading2"/>
      </w:pPr>
      <w:r>
        <w:t xml:space="preserve">5d. Scout (finding NEW scarcities)</w:t>
      </w:r>
    </w:p>
    <w:p>
      <w:pPr>
        <w:pStyle w:val="FirstParagraph"/>
      </w:pPr>
      <w:r>
        <w:t xml:space="preserve">The Research tab re-scores the</w:t>
      </w:r>
      <w:r>
        <w:t xml:space="preserve"> </w:t>
      </w:r>
      <w:r>
        <w:rPr>
          <w:iCs/>
          <w:i/>
        </w:rPr>
        <w:t xml:space="preserve">known</w:t>
      </w:r>
      <w:r>
        <w:t xml:space="preserve"> </w:t>
      </w:r>
      <w:r>
        <w:t xml:space="preserve">scarcities;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hunts for</w:t>
      </w:r>
      <w:r>
        <w:t xml:space="preserve"> </w:t>
      </w:r>
      <w:r>
        <w:rPr>
          <w:iCs/>
          <w:i/>
        </w:rPr>
        <w:t xml:space="preserve">new</w:t>
      </w:r>
      <w:r>
        <w:t xml:space="preserve"> </w:t>
      </w:r>
      <w:r>
        <w:t xml:space="preserve">ones — the</w:t>
      </w:r>
      <w:r>
        <w:t xml:space="preserve"> </w:t>
      </w:r>
      <w:r>
        <w:t xml:space="preserve">alpha-generation frontier. It is deliberately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trend-finder: by the time something reads as a</w:t>
      </w:r>
      <w:r>
        <w:t xml:space="preserve"> </w:t>
      </w:r>
      <w:r>
        <w:t xml:space="preserve">trend it’s already priced, and</w:t>
      </w:r>
      <w:r>
        <w:t xml:space="preserve"> </w:t>
      </w:r>
      <w:r>
        <w:rPr>
          <w:bCs/>
          <w:b/>
        </w:rPr>
        <w:t xml:space="preserve">ALPHA.md</w:t>
      </w:r>
      <w:r>
        <w:t xml:space="preserve"> </w:t>
      </w:r>
      <w:r>
        <w:t xml:space="preserve">is explicit that there’s no edge in what’s priced. Instead</w:t>
      </w:r>
      <w:r>
        <w:t xml:space="preserve"> </w:t>
      </w:r>
      <w:r>
        <w:t xml:space="preserve">the scout looks for the</w:t>
      </w:r>
      <w:r>
        <w:t xml:space="preserve"> </w:t>
      </w:r>
      <w:r>
        <w:rPr>
          <w:bCs/>
          <w:b/>
        </w:rPr>
        <w:t xml:space="preserve">fingerprint of a binding constraint before anyone names it.</w:t>
      </w:r>
    </w:p>
    <w:p>
      <w:pPr>
        <w:pStyle w:val="BodyText"/>
      </w:pPr>
      <w:r>
        <w:rPr>
          <w:bCs/>
          <w:b/>
        </w:rPr>
        <w:t xml:space="preserve">How it works (constraint-shadow):</w:t>
      </w:r>
      <w:r>
        <w:t xml:space="preserve"> </w:t>
      </w:r>
      <w:r>
        <w:t xml:space="preserve">a real shortage shows up first as downstream companies</w:t>
      </w:r>
      <w:r>
        <w:t xml:space="preserve"> </w:t>
      </w:r>
      <w:r>
        <w:rPr>
          <w:iCs/>
          <w:i/>
        </w:rPr>
        <w:t xml:space="preserve">complaining</w:t>
      </w:r>
      <w:r>
        <w:t xml:space="preserve"> </w:t>
      </w:r>
      <w:r>
        <w:t xml:space="preserve">in their SEC filings —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lead times extended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unable to secure allocation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qualified a</w:t>
      </w:r>
      <w:r>
        <w:rPr>
          <w:iCs/>
          <w:i/>
        </w:rPr>
        <w:t xml:space="preserve"> </w:t>
      </w:r>
      <w:r>
        <w:rPr>
          <w:iCs/>
          <w:i/>
        </w:rPr>
        <w:t xml:space="preserve">second source</w:t>
      </w:r>
      <w:r>
        <w:rPr>
          <w:iCs/>
          <w:i/>
        </w:rPr>
        <w:t xml:space="preserve">”</w:t>
      </w:r>
      <w:r>
        <w:t xml:space="preserve">. The scout searches that complaint language across all filers,</w:t>
      </w:r>
      <w:r>
        <w:t xml:space="preserve"> </w:t>
      </w:r>
      <w:r>
        <w:rPr>
          <w:bCs/>
          <w:b/>
        </w:rPr>
        <w:t xml:space="preserve">clusters which companies</w:t>
      </w:r>
      <w:r>
        <w:rPr>
          <w:bCs/>
          <w:b/>
        </w:rPr>
        <w:t xml:space="preserve"> </w:t>
      </w:r>
      <w:r>
        <w:rPr>
          <w:bCs/>
          <w:b/>
        </w:rPr>
        <w:t xml:space="preserve">are under broad supply stress</w:t>
      </w:r>
      <w:r>
        <w:t xml:space="preserve"> </w:t>
      </w:r>
      <w:r>
        <w:t xml:space="preserve">(a filer griping under many distinct constraint phrases is a strong</w:t>
      </w:r>
      <w:r>
        <w:t xml:space="preserve"> </w:t>
      </w:r>
      <w:r>
        <w:t xml:space="preserve">lead), and infers the candidate chokepoint from the</w:t>
      </w:r>
      <w:r>
        <w:t xml:space="preserve"> </w:t>
      </w:r>
      <w:r>
        <w:rPr>
          <w:iCs/>
          <w:i/>
        </w:rPr>
        <w:t xml:space="preserve">pattern of who’s complaining</w:t>
      </w:r>
      <w:r>
        <w:t xml:space="preserve"> </w:t>
      </w:r>
      <w:r>
        <w:t xml:space="preserve">— not from a headline.</w:t>
      </w:r>
      <w:r>
        <w:t xml:space="preserve"> </w:t>
      </w:r>
      <w:r>
        <w:t xml:space="preserve">Filers already explained by a known scarcity are dropped (novelty filter); candidates already discussed</w:t>
      </w:r>
      <w:r>
        <w:t xml:space="preserve"> </w:t>
      </w:r>
      <w:r>
        <w:t xml:space="preserve">widely in financial media are down-weighted (the edge is being early, not loud).</w:t>
      </w:r>
    </w:p>
    <w:p>
      <w:pPr>
        <w:pStyle w:val="BodyText"/>
      </w:pPr>
      <w:r>
        <w:rPr>
          <w:bCs/>
          <w:b/>
        </w:rPr>
        <w:t xml:space="preserve">The same committee vets it — fully.</w:t>
      </w:r>
      <w:r>
        <w:t xml:space="preserve"> </w:t>
      </w:r>
      <w:r>
        <w:t xml:space="preserve">Each lead is synthesized into a draft scarcity and run through</w:t>
      </w:r>
      <w:r>
        <w:t xml:space="preserve"> </w:t>
      </w:r>
      <w:r>
        <w:t xml:space="preserve">the identical pipeline that scores the known 24:</w:t>
      </w:r>
      <w:r>
        <w:t xml:space="preserve"> </w:t>
      </w:r>
      <w:r>
        <w:rPr>
          <w:bCs/>
          <w:b/>
        </w:rPr>
        <w:t xml:space="preserve">Bull / Bear / Skeptic → CIO</w:t>
      </w:r>
      <w:r>
        <w:t xml:space="preserve">, then the</w:t>
      </w:r>
      <w:r>
        <w:t xml:space="preserve"> </w:t>
      </w:r>
      <w:r>
        <w:rPr>
          <w:bCs/>
          <w:b/>
        </w:rPr>
        <w:t xml:space="preserve">deterministic</w:t>
      </w:r>
      <w:r>
        <w:rPr>
          <w:bCs/>
          <w:b/>
        </w:rPr>
        <w:t xml:space="preserve"> </w:t>
      </w:r>
      <w:r>
        <w:rPr>
          <w:bCs/>
          <w:b/>
        </w:rPr>
        <w:t xml:space="preserve">verification gate</w:t>
      </w:r>
      <w:r>
        <w:t xml:space="preserve"> </w:t>
      </w:r>
      <w:r>
        <w:t xml:space="preserve">(thin-evidence / ticker-sanity checks) and the</w:t>
      </w:r>
      <w:r>
        <w:t xml:space="preserve"> </w:t>
      </w:r>
      <w:r>
        <w:rPr>
          <w:bCs/>
          <w:b/>
        </w:rPr>
        <w:t xml:space="preserve">CRO risk review</w:t>
      </w:r>
      <w:r>
        <w:t xml:space="preserve"> </w:t>
      </w:r>
      <w:r>
        <w:t xml:space="preserve">(which catches</w:t>
      </w:r>
      <w:r>
        <w:t xml:space="preserve"> </w:t>
      </w:r>
      <w:r>
        <w:t xml:space="preserve">hallucinated or misattributed tickers — important, since the scout’s tickers come from fuzzy filing</w:t>
      </w:r>
      <w:r>
        <w:t xml:space="preserve"> </w:t>
      </w:r>
      <w:r>
        <w:t xml:space="preserve">discovery). So you only ever review</w:t>
      </w:r>
      <w:r>
        <w:t xml:space="preserve"> </w:t>
      </w:r>
      <w:r>
        <w:rPr>
          <w:iCs/>
          <w:i/>
        </w:rPr>
        <w:t xml:space="preserve">adversarially-vetted</w:t>
      </w:r>
      <w:r>
        <w:t xml:space="preserve"> </w:t>
      </w:r>
      <w:r>
        <w:t xml:space="preserve">candidates, never raw noise. Each card also</w:t>
      </w:r>
      <w:r>
        <w:t xml:space="preserve"> </w:t>
      </w:r>
      <w:r>
        <w:t xml:space="preserve">carries a</w:t>
      </w:r>
      <w:r>
        <w:t xml:space="preserve"> </w:t>
      </w:r>
      <w:r>
        <w:rPr>
          <w:bCs/>
          <w:b/>
        </w:rPr>
        <w:t xml:space="preserve">legibility tag</w:t>
      </w:r>
      <w:r>
        <w:t xml:space="preserve"> </w:t>
      </w:r>
      <w:r>
        <w:t xml:space="preserve">— 🟢</w:t>
      </w:r>
      <w:r>
        <w:t xml:space="preserve"> </w:t>
      </w:r>
      <w:r>
        <w:rPr>
          <w:iCs/>
          <w:i/>
        </w:rPr>
        <w:t xml:space="preserve">early/contrarian</w:t>
      </w:r>
      <w:r>
        <w:t xml:space="preserve"> </w:t>
      </w:r>
      <w:r>
        <w:t xml:space="preserve">(little mainstream coverage; where the edge is) vs</w:t>
      </w:r>
      <w:r>
        <w:t xml:space="preserve"> </w:t>
      </w:r>
      <w:r>
        <w:t xml:space="preserve">🟡</w:t>
      </w:r>
      <w:r>
        <w:t xml:space="preserve"> </w:t>
      </w:r>
      <w:r>
        <w:rPr>
          <w:iCs/>
          <w:i/>
        </w:rPr>
        <w:t xml:space="preserve">already-legible</w:t>
      </w:r>
      <w:r>
        <w:t xml:space="preserve"> </w:t>
      </w:r>
      <w:r>
        <w:t xml:space="preserve">(heavily covered, likely already priced) — and legible candidates are down-weighted.</w:t>
      </w:r>
    </w:p>
    <w:p>
      <w:pPr>
        <w:pStyle w:val="BodyText"/>
      </w:pPr>
      <w:r>
        <w:t xml:space="preserve">Each card shows the inferred scarcity, the</w:t>
      </w:r>
      <w:r>
        <w:t xml:space="preserve"> </w:t>
      </w:r>
      <w:r>
        <w:rPr>
          <w:bCs/>
          <w:b/>
        </w:rPr>
        <w:t xml:space="preserve">filer that flagged it</w:t>
      </w:r>
      <w:r>
        <w:t xml:space="preserve"> </w:t>
      </w:r>
      <w:r>
        <w:t xml:space="preserve">+ the constraint phrases that fired,</w:t>
      </w:r>
      <w:r>
        <w:t xml:space="preserve"> </w:t>
      </w:r>
      <w:r>
        <w:t xml:space="preserve">the proposed fields, and the committee’s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 (add scarcity)</w:t>
      </w:r>
      <w:r>
        <w:t xml:space="preserve"> </w:t>
      </w:r>
      <w:r>
        <w:t xml:space="preserve">opens a pull request that</w:t>
      </w:r>
      <w:r>
        <w:t xml:space="preserve"> </w:t>
      </w:r>
      <w:r>
        <w:rPr>
          <w:iCs/>
          <w:i/>
        </w:rPr>
        <w:t xml:space="preserve">adds</w:t>
      </w:r>
      <w:r>
        <w:t xml:space="preserve"> </w:t>
      </w:r>
      <w:r>
        <w:t xml:space="preserve">the new 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merge. Same token requirement as the Research tab.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scout runs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and never edits the watchlist itself — it only proposes;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 </w:t>
      </w:r>
      <w:r>
        <w:t xml:space="preserve">admission (F9). Not advice; every candidate is a lead to investigate, and most should fail the committee.</w:t>
      </w:r>
    </w:p>
    <w:p>
      <w:pPr>
        <w:pStyle w:val="BodyText"/>
      </w:pPr>
      <w:r>
        <w:rPr>
          <w:bCs/>
          <w:b/>
        </w:rPr>
        <w:t xml:space="preserve">Constraint phrases (what the scout searches for).</w:t>
      </w:r>
      <w:r>
        <w:t xml:space="preserve"> </w:t>
      </w:r>
      <w:r>
        <w:t xml:space="preserve">The search phrases are themselves</w:t>
      </w:r>
      <w:r>
        <w:t xml:space="preserve"> </w:t>
      </w:r>
      <w:r>
        <w:rPr>
          <w:bCs/>
          <w:b/>
        </w:rPr>
        <w:t xml:space="preserve">LLM-generated and human-vetted</w:t>
      </w:r>
      <w:r>
        <w:t xml:space="preserve">: run the scout workflow in</w:t>
      </w:r>
      <w:r>
        <w:t xml:space="preserve"> </w:t>
      </w:r>
      <w:r>
        <w:rPr>
          <w:rStyle w:val="VerbatimChar"/>
        </w:rPr>
        <w:t xml:space="preserve">generate-phrases</w:t>
      </w:r>
      <w:r>
        <w:t xml:space="preserve"> </w:t>
      </w:r>
      <w:r>
        <w:t xml:space="preserve">mode and the frontier</w:t>
      </w:r>
      <w:r>
        <w:t xml:space="preserve"> </w:t>
      </w:r>
      <w:r>
        <w:t xml:space="preserve">model proposes candidate complaint phrases, which land</w:t>
      </w:r>
      <w:r>
        <w:t xml:space="preserve"> </w:t>
      </w:r>
      <w:r>
        <w:rPr>
          <w:bCs/>
          <w:b/>
        </w:rPr>
        <w:t xml:space="preserve">pending</w:t>
      </w:r>
      <w:r>
        <w:t xml:space="preserve"> </w:t>
      </w:r>
      <w:r>
        <w:t xml:space="preserve">on this tab. A generated phrase is</w:t>
      </w:r>
      <w:r>
        <w:t xml:space="preserve"> </w:t>
      </w:r>
      <w:r>
        <w:rPr>
          <w:bCs/>
          <w:b/>
        </w:rPr>
        <w:t xml:space="preserve">never searched until you approve it</w:t>
      </w:r>
      <w:r>
        <w:t xml:space="preserve"> </w:t>
      </w:r>
      <w:r>
        <w:t xml:space="preserve">— click</w:t>
      </w:r>
      <w:r>
        <w:t xml:space="preserve"> </w:t>
      </w:r>
      <w:r>
        <w:rPr>
          <w:bCs/>
          <w:b/>
        </w:rPr>
        <w:t xml:space="preserve">✓ Approve pending phrases → open PR</w:t>
      </w:r>
      <w:r>
        <w:t xml:space="preserve"> </w:t>
      </w:r>
      <w:r>
        <w:t xml:space="preserve">to vet them</w:t>
      </w:r>
      <w:r>
        <w:t xml:space="preserve"> </w:t>
      </w:r>
      <w:r>
        <w:t xml:space="preserve">(it opens a PR updating</w:t>
      </w:r>
      <w:r>
        <w:t xml:space="preserve"> </w:t>
      </w:r>
      <w:r>
        <w:rPr>
          <w:rStyle w:val="VerbatimChar"/>
        </w:rPr>
        <w:t xml:space="preserve">scout-phrases.json</w:t>
      </w:r>
      <w:r>
        <w:t xml:space="preserve">; after merge the weekly sweep searches them). Until any are</w:t>
      </w:r>
      <w:r>
        <w:t xml:space="preserve"> </w:t>
      </w:r>
      <w:r>
        <w:t xml:space="preserve">approved, the scout falls back to a built-in seed list, so it always works.</w:t>
      </w:r>
    </w:p>
    <w:bookmarkEnd w:id="52"/>
    <w:bookmarkStart w:id="56" w:name="filings-news"/>
    <w:p>
      <w:pPr>
        <w:pStyle w:val="Heading2"/>
      </w:pPr>
      <w:r>
        <w:t xml:space="preserve">6. Filings &amp; news</w:t>
      </w:r>
    </w:p>
    <w:p>
      <w:pPr>
        <w:pStyle w:val="CaptionedFigure"/>
      </w:pPr>
      <w:r>
        <w:drawing>
          <wp:inline>
            <wp:extent cx="5334000" cy="6813351"/>
            <wp:effectExtent b="0" l="0" r="0" t="0"/>
            <wp:docPr descr="Filings and news" title="" id="54" name="Picture"/>
            <a:graphic>
              <a:graphicData uri="http://schemas.openxmlformats.org/drawingml/2006/picture">
                <pic:pic>
                  <pic:nvPicPr>
                    <pic:cNvPr descr="img/catalysts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133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56"/>
    <w:bookmarkStart w:id="60" w:name="options-check-fair-value-before-you-buy"/>
    <w:p>
      <w:pPr>
        <w:pStyle w:val="Heading2"/>
      </w:pPr>
      <w:r>
        <w:t xml:space="preserve">7.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58" name="Picture"/>
            <a:graphic>
              <a:graphicData uri="http://schemas.openxmlformats.org/drawingml/2006/picture">
                <pic:pic>
                  <pic:nvPicPr>
                    <pic:cNvPr descr="img/options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fair value at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edge</w:t>
      </w:r>
      <w:r>
        <w:rPr>
          <w:bCs/>
          <w:b/>
        </w:rPr>
        <w:t xml:space="preserve"> </w:t>
      </w:r>
      <w:r>
        <w:rPr>
          <w:bCs/>
          <w:b/>
        </w:rPr>
        <w:t xml:space="preserve">vs fair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60"/>
    <w:bookmarkStart w:id="64" w:name="agent-digest"/>
    <w:p>
      <w:pPr>
        <w:pStyle w:val="Heading2"/>
      </w:pPr>
      <w:r>
        <w:t xml:space="preserve">8. Agent digest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Agent digest" title="" id="62" name="Picture"/>
            <a:graphic>
              <a:graphicData uri="http://schemas.openxmlformats.org/drawingml/2006/picture">
                <pic:pic>
                  <pic:nvPicPr>
                    <pic:cNvPr descr="img/digest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 LLM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summary of what materially changed (quotes, filings, news,</w:t>
      </w:r>
      <w:r>
        <w:t xml:space="preserve"> </w:t>
      </w:r>
      <w:r>
        <w:t xml:space="preserve">regime) and whether any trigger looks 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free 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</w:t>
      </w:r>
      <w:r>
        <w:t xml:space="preserve"> </w:t>
      </w:r>
      <w:r>
        <w:t xml:space="preserve">analyst on one model, the red-team on another — so it isn’t a model grading itself.</w:t>
      </w:r>
    </w:p>
    <w:p>
      <w:pPr>
        <w:pStyle w:val="BodyText"/>
      </w:pPr>
      <w:r>
        <w:t xml:space="preserve">It uses the</w:t>
      </w:r>
      <w:r>
        <w:t xml:space="preserve"> </w:t>
      </w:r>
      <w:r>
        <w:rPr>
          <w:bCs/>
          <w:b/>
        </w:rPr>
        <w:t xml:space="preserve">latest free thinking models</w:t>
      </w:r>
      <w:r>
        <w:t xml:space="preserve"> </w:t>
      </w:r>
      <w:r>
        <w:t xml:space="preserve">by default — Gemini 3.5 Flash and Groq’s gpt-oss-120b — so</w:t>
      </w:r>
      <w:r>
        <w:t xml:space="preserve"> </w:t>
      </w:r>
      <w:r>
        <w:t xml:space="preserve">the analysis actually reasons rather than pattern-matches. Both are overridable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GROQ_MODEL</w:t>
      </w:r>
      <w:r>
        <w:t xml:space="preserve"> </w:t>
      </w:r>
      <w:r>
        <w:t xml:space="preserve">repo variables when newer models ship, so a model retirement needs no code change. If a</w:t>
      </w:r>
      <w:r>
        <w:t xml:space="preserve"> </w:t>
      </w:r>
      <w:r>
        <w:t xml:space="preserve">model is unreachable (retired/blocked/rate-limited) the run now says so</w:t>
      </w:r>
      <w:r>
        <w:t xml:space="preserve"> </w:t>
      </w:r>
      <w:r>
        <w:rPr>
          <w:bCs/>
          <w:b/>
        </w:rPr>
        <w:t xml:space="preserve">loudly</w:t>
      </w:r>
      <w:r>
        <w:t xml:space="preserve"> </w:t>
      </w:r>
      <w:r>
        <w:t xml:space="preserve">in its report</w:t>
      </w:r>
      <w:r>
        <w:t xml:space="preserve"> </w:t>
      </w:r>
      <w:r>
        <w:t xml:space="preserve">instead of silently producing nothing.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4"/>
    <w:bookmarkStart w:id="70" w:name="settings-onboarding"/>
    <w:p>
      <w:pPr>
        <w:pStyle w:val="Heading2"/>
      </w:pPr>
      <w:r>
        <w:t xml:space="preserve">9. ⚙ Settings &amp; onboarding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Settings" title="" id="66" name="Picture"/>
            <a:graphic>
              <a:graphicData uri="http://schemas.openxmlformats.org/drawingml/2006/picture">
                <pic:pic>
                  <pic:nvPicPr>
                    <pic:cNvPr descr="img/settings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68" w:name="your-holdings-per-account"/>
    <w:p>
      <w:pPr>
        <w:pStyle w:val="Heading3"/>
      </w:pPr>
      <w:r>
        <w:t xml:space="preserve">9.1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(IRA/Roth or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</w:t>
      </w:r>
      <w:r>
        <w:rPr>
          <w:bCs/>
          <w:b/>
        </w:rPr>
        <w:t xml:space="preserve"> </w:t>
      </w:r>
      <w:r>
        <w:rPr>
          <w:bCs/>
          <w:b/>
        </w:rPr>
        <w:t xml:space="preserve">cash</w:t>
      </w:r>
      <w:r>
        <w:t xml:space="preserve">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68"/>
    <w:bookmarkStart w:id="69" w:name="admin-credentials-configuration"/>
    <w:p>
      <w:pPr>
        <w:pStyle w:val="Heading3"/>
      </w:pPr>
      <w:r>
        <w:t xml:space="preserve">9.2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(§10).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 + research review</w:t>
      </w:r>
      <w:r>
        <w:t xml:space="preserve"> </w:t>
      </w:r>
      <w:r>
        <w:t xml:space="preserve">(what the automated scanner uses, and what approves research</w:t>
      </w:r>
      <w:r>
        <w:t xml:space="preserve"> </w:t>
      </w:r>
      <w:r>
        <w:t xml:space="preserve">proposals).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iCs/>
          <w:i/>
        </w:rPr>
        <w:t xml:space="preserve">Contents + Pull requests</w:t>
      </w:r>
      <w:r>
        <w:t xml:space="preserve"> </w:t>
      </w:r>
      <w:r>
        <w:t xml:space="preserve">(read/write, for accepting proposals on the</w:t>
      </w:r>
      <w:r>
        <w:t xml:space="preserve"> </w:t>
      </w:r>
      <w:r>
        <w:t xml:space="preserve">Research tab) plus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 </w:t>
      </w:r>
      <w:r>
        <w:t xml:space="preserve">(for the config check).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rPr>
          <w:bCs/>
          <w:b/>
        </w:rPr>
        <w:t xml:space="preserve">Optional: price-history database (Supabase).</w:t>
      </w:r>
      <w:r>
        <w:t xml:space="preserve"> </w:t>
      </w:r>
      <w:r>
        <w:t xml:space="preserve">The app persists daily price history to a Postgres</w:t>
      </w:r>
      <w:r>
        <w:t xml:space="preserve"> </w:t>
      </w:r>
      <w:r>
        <w:t xml:space="preserve">database so backtests, the objective metrics, and the V2.3 cross-check can use a growing record</w:t>
      </w:r>
      <w:r>
        <w:t xml:space="preserve"> </w:t>
      </w:r>
      <w:r>
        <w:t xml:space="preserve">instead of re-fetching 1–2 years from Yahoo each run. To enable it:</w:t>
      </w:r>
      <w:r>
        <w:t xml:space="preserve"> </w:t>
      </w:r>
      <w:r>
        <w:t xml:space="preserve">1. Create a free</w:t>
      </w:r>
      <w:r>
        <w:t xml:space="preserve"> </w:t>
      </w:r>
      <w:r>
        <w:rPr>
          <w:bCs/>
          <w:b/>
        </w:rPr>
        <w:t xml:space="preserve">Supabase</w:t>
      </w:r>
      <w:r>
        <w:t xml:space="preserve"> </w:t>
      </w:r>
      <w:r>
        <w:t xml:space="preserve">project; in the SQL Editor, run</w:t>
      </w:r>
      <w:r>
        <w:t xml:space="preserve"> </w:t>
      </w:r>
      <w:r>
        <w:rPr>
          <w:rStyle w:val="VerbatimChar"/>
          <w:bCs/>
          <w:b/>
        </w:rPr>
        <w:t xml:space="preserve">db/schema.sql</w:t>
      </w:r>
      <w:r>
        <w:t xml:space="preserve"> </w:t>
      </w:r>
      <w:r>
        <w:t xml:space="preserve">(creates the</w:t>
      </w:r>
      <w:r>
        <w:t xml:space="preserve"> </w:t>
      </w:r>
      <w:r>
        <w:rPr>
          <w:rStyle w:val="VerbatimChar"/>
        </w:rPr>
        <w:t xml:space="preserve">price_history</w:t>
      </w:r>
      <w:r>
        <w:t xml:space="preserve"> </w:t>
      </w:r>
      <w:r>
        <w:t xml:space="preserve">table with row-level security on).</w:t>
      </w:r>
      <w:r>
        <w:t xml:space="preserve"> </w:t>
      </w:r>
      <w:r>
        <w:t xml:space="preserve">2. In</w:t>
      </w:r>
      <w:r>
        <w:t xml:space="preserve"> </w:t>
      </w:r>
      <w:r>
        <w:rPr>
          <w:bCs/>
          <w:b/>
        </w:rPr>
        <w:t xml:space="preserve">Admin</w:t>
      </w:r>
      <w:r>
        <w:t xml:space="preserve">, set</w:t>
      </w:r>
      <w:r>
        <w:t xml:space="preserve"> </w:t>
      </w:r>
      <w:r>
        <w:rPr>
          <w:bCs/>
          <w:b/>
        </w:rPr>
        <w:t xml:space="preserve">SUPABASE_URL</w:t>
      </w:r>
      <w:r>
        <w:t xml:space="preserve"> </w:t>
      </w:r>
      <w:r>
        <w:t xml:space="preserve">(your project URL) and</w:t>
      </w:r>
      <w:r>
        <w:t xml:space="preserve"> </w:t>
      </w:r>
      <w:r>
        <w:rPr>
          <w:bCs/>
          <w:b/>
        </w:rPr>
        <w:t xml:space="preserve">Save variables to GitHub</w:t>
      </w:r>
      <w:r>
        <w:t xml:space="preserve">.</w:t>
      </w:r>
      <w:r>
        <w:t xml:space="preserve"> </w:t>
      </w:r>
      <w:r>
        <w:t xml:space="preserve">3. In GitHub repo</w:t>
      </w:r>
      <w:r>
        <w:t xml:space="preserve"> </w:t>
      </w:r>
      <w:r>
        <w:rPr>
          <w:bCs/>
          <w:b/>
        </w:rPr>
        <w:t xml:space="preserve">Settings → Secrets</w:t>
      </w:r>
      <w:r>
        <w:t xml:space="preserve">, add</w:t>
      </w:r>
      <w:r>
        <w:t xml:space="preserve"> </w:t>
      </w:r>
      <w:r>
        <w:rPr>
          <w:bCs/>
          <w:b/>
        </w:rPr>
        <w:t xml:space="preserve">SUPABASE_SERVICE_KEY</w:t>
      </w:r>
      <w:r>
        <w:t xml:space="preserve"> </w:t>
      </w:r>
      <w:r>
        <w:t xml:space="preserve">= your project’s</w:t>
      </w:r>
      <w:r>
        <w:t xml:space="preserve"> </w:t>
      </w:r>
      <w:r>
        <w:rPr>
          <w:iCs/>
          <w:i/>
        </w:rPr>
        <w:t xml:space="preserve">service_role</w:t>
      </w:r>
      <w:r>
        <w:t xml:space="preserve"> </w:t>
      </w:r>
      <w:r>
        <w:t xml:space="preserve">key (it’s a secret, so it can’t be set from this page).</w:t>
      </w:r>
    </w:p>
    <w:p>
      <w:pPr>
        <w:pStyle w:val="BodyText"/>
      </w:pPr>
      <w:r>
        <w:t xml:space="preserve">That’s it — the daily scanner starts accumulating history. The</w:t>
      </w:r>
      <w:r>
        <w:t xml:space="preserve"> </w:t>
      </w:r>
      <w:r>
        <w:rPr>
          <w:bCs/>
          <w:b/>
        </w:rPr>
        <w:t xml:space="preserve">service_role key is used only by the</w:t>
      </w:r>
      <w:r>
        <w:rPr>
          <w:bCs/>
          <w:b/>
        </w:rPr>
        <w:t xml:space="preserve"> </w:t>
      </w:r>
      <w:r>
        <w:rPr>
          <w:bCs/>
          <w:b/>
        </w:rPr>
        <w:t xml:space="preserve">scanner (server-side)</w:t>
      </w:r>
      <w:r>
        <w:t xml:space="preserve">; the dashboard never touches the database, and</w:t>
      </w:r>
      <w:r>
        <w:t xml:space="preserve"> </w:t>
      </w:r>
      <w:r>
        <w:rPr>
          <w:bCs/>
          <w:b/>
        </w:rPr>
        <w:t xml:space="preserve">nothing breaks if you skip</w:t>
      </w:r>
      <w:r>
        <w:rPr>
          <w:bCs/>
          <w:b/>
        </w:rPr>
        <w:t xml:space="preserve"> </w:t>
      </w:r>
      <w:r>
        <w:rPr>
          <w:bCs/>
          <w:b/>
        </w:rPr>
        <w:t xml:space="preserve">this</w:t>
      </w:r>
      <w:r>
        <w:t xml:space="preserve"> </w:t>
      </w:r>
      <w:r>
        <w:t xml:space="preserve">(history persistence is simply disabled). For a one-time deep backfill, run the scan workflow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argument (fetches each ticker’s full available history once).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refresh-on-demand-scan"/>
    <w:p>
      <w:pPr>
        <w:pStyle w:val="Heading2"/>
      </w:pPr>
      <w:r>
        <w:t xml:space="preserve">10.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1"/>
    <w:bookmarkStart w:id="72" w:name="Xd2ac6c3d014752893f0670853f643e7f7a007f6"/>
    <w:p>
      <w:pPr>
        <w:pStyle w:val="Heading2"/>
      </w:pPr>
      <w:r>
        <w:t xml:space="preserve">11.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(§9.3) for stronger corroboration.</w:t>
      </w:r>
    </w:p>
    <w:p>
      <w:r>
        <w:pict>
          <v:rect style="width:0;height:1.5pt" o:hralign="center" o:hrstd="t" o:hr="t"/>
        </w:pict>
      </w:r>
    </w:p>
    <w:bookmarkEnd w:id="72"/>
    <w:bookmarkStart w:id="73" w:name="glossary"/>
    <w:p>
      <w:pPr>
        <w:pStyle w:val="Heading2"/>
      </w:pPr>
      <w:r>
        <w:t xml:space="preserve">12. Glossary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73"/>
    <w:bookmarkStart w:id="74" w:name="faq-troubleshooting"/>
    <w:p>
      <w:pPr>
        <w:pStyle w:val="Heading2"/>
      </w:pPr>
      <w:r>
        <w:t xml:space="preserve">13. FAQ &amp; troubleshooting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Accept → open PR fails (branch 404/403).</w:t>
      </w:r>
      <w:r>
        <w:t xml:space="preserve"> </w:t>
      </w:r>
      <w:r>
        <w:t xml:space="preserve">The admin token can read but not write. Give it write</w:t>
      </w:r>
      <w:r>
        <w:t xml:space="preserve"> </w:t>
      </w:r>
      <w:r>
        <w:t xml:space="preserve">access: a classic token needs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 ticked, or a fine-grained token needs</w:t>
      </w:r>
      <w:r>
        <w:t xml:space="preserve"> </w:t>
      </w:r>
      <w:r>
        <w:rPr>
          <w:bCs/>
          <w:b/>
        </w:rPr>
        <w:t xml:space="preserve">Contents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Pull requests</w:t>
      </w:r>
      <w:r>
        <w:t xml:space="preserve"> </w:t>
      </w:r>
      <w:r>
        <w:t xml:space="preserve">read/write on this repo.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§6–§7.</w:t>
      </w:r>
    </w:p>
    <w:bookmarkEnd w:id="74"/>
    <w:bookmarkEnd w:id="7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3" Target="media/rId53.png" /><Relationship Type="http://schemas.openxmlformats.org/officeDocument/2006/relationships/image" Id="rId61" Target="media/rId61.png" /><Relationship Type="http://schemas.openxmlformats.org/officeDocument/2006/relationships/image" Id="rId57" Target="media/rId57.png" /><Relationship Type="http://schemas.openxmlformats.org/officeDocument/2006/relationships/image" Id="rId20" Target="media/rId20.png" /><Relationship Type="http://schemas.openxmlformats.org/officeDocument/2006/relationships/image" Id="rId33" Target="media/rId33.png" /><Relationship Type="http://schemas.openxmlformats.org/officeDocument/2006/relationships/image" Id="rId25" Target="media/rId25.png" /><Relationship Type="http://schemas.openxmlformats.org/officeDocument/2006/relationships/image" Id="rId65" Target="media/rId65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2026-06-01T12:04:55Z</dcterms:created>
  <dcterms:modified xsi:type="dcterms:W3CDTF">2026-06-01T12:04:55Z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