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2234862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34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 The brake now runs at the</w:t>
      </w:r>
      <w:r>
        <w:t xml:space="preserve"> </w:t>
      </w:r>
      <w:r>
        <w:rPr>
          <w:bCs/>
          <w:b/>
        </w:rPr>
        <w:t xml:space="preserve">live 200-day MA</w:t>
      </w:r>
      <w:r>
        <w:t xml:space="preserve"> </w:t>
      </w:r>
      <w:r>
        <w:t xml:space="preserve">and the line includes the</w:t>
      </w:r>
      <w:r>
        <w:t xml:space="preserve"> </w:t>
      </w:r>
      <w:r>
        <w:rPr>
          <w:bCs/>
          <w:b/>
        </w:rPr>
        <w:t xml:space="preserve">turnover cost</w:t>
      </w:r>
      <w:r>
        <w:t xml:space="preserve"> </w:t>
      </w:r>
      <w:r>
        <w:t xml:space="preserve">charged for switching in/out of cash (so its Calmar isn’t overstated). When the basket lacks enough history to test the 200-day brake honestly, the line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unproven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showing a number. A separate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Brake proof</w:t>
      </w:r>
      <w:r>
        <w:rPr>
          <w:bCs/>
          <w:b/>
        </w:rPr>
        <w:t xml:space="preserve">”</w:t>
      </w:r>
      <w:r>
        <w:t xml:space="preserve"> </w:t>
      </w:r>
      <w:r>
        <w:t xml:space="preserve">block then runs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200-day brake on</w:t>
      </w:r>
      <w:r>
        <w:t xml:space="preserve"> </w:t>
      </w:r>
      <w:r>
        <w:rPr>
          <w:bCs/>
          <w:b/>
        </w:rPr>
        <w:t xml:space="preserve">deep history pulled from the accumulated database</w:t>
      </w:r>
      <w:r>
        <w:t xml:space="preserve"> </w:t>
      </w:r>
      <w:r>
        <w:t xml:space="preserve">(QQQ + the deepest semis holdings MU/SMH, back through 2000/2008/2020/2022) so the dial’s tail claim is tested against real crashes — showing, per instrument, whether the brake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improved</w:t>
      </w:r>
      <w:r>
        <w:t xml:space="preserve"> </w:t>
      </w:r>
      <w:r>
        <w:t xml:space="preserve">Calmar (✓/✗), its CAGR cost, and a per-crash list where ⚠ marks a crash the brake</w:t>
      </w:r>
      <w:r>
        <w:t xml:space="preserve"> </w:t>
      </w:r>
      <w:r>
        <w:rPr>
          <w:bCs/>
          <w:b/>
        </w:rPr>
        <w:t xml:space="preserve">whipsawed</w:t>
      </w:r>
      <w:r>
        <w:t xml:space="preserve"> </w:t>
      </w:r>
      <w:r>
        <w:t xml:space="preserve">instead of cutting.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Fast re-entry proof</w:t>
      </w:r>
      <w:r>
        <w:rPr>
          <w:bCs/>
          <w:b/>
        </w:rPr>
        <w:t xml:space="preserve">”</w:t>
      </w:r>
      <w:r>
        <w:t xml:space="preserve"> </w:t>
      </w:r>
      <w:r>
        <w:t xml:space="preserve">block tests the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side: the breadth-based fast-entry overlay (re-risk when ≥60% of names reclaim their 20-DMA) vs a plain brake, with a</w:t>
      </w:r>
      <w:r>
        <w:t xml:space="preserve"> </w:t>
      </w:r>
      <w:r>
        <w:rPr>
          <w:bCs/>
          <w:b/>
        </w:rPr>
        <w:t xml:space="preserve">worth it / not worth it</w:t>
      </w:r>
      <w:r>
        <w:t xml:space="preserve"> </w:t>
      </w:r>
      <w:r>
        <w:t xml:space="preserve">verdict on whether re-entering early captures more recovery without giving back the drawdown protection. Both are methodology evidence,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backtest of your exact book.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2026-06-03T03:13:36Z</dcterms:created>
  <dcterms:modified xsi:type="dcterms:W3CDTF">2026-06-03T03:13:36Z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