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06880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six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(grouped by sleeve, IRA tilts folded into its signal column)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💰 Tax &amp; asset location</w:t>
      </w:r>
      <w:r>
        <w:t xml:space="preserve"> </w:t>
      </w:r>
      <w:r>
        <w:t xml:space="preserve">— which account (Roth / Traditional / taxable) each name should sit in to maximize after-tax terminal value.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asset-location-roth-traditional-taxable"/>
    <w:p>
      <w:pPr>
        <w:pStyle w:val="Heading3"/>
      </w:pPr>
      <w:r>
        <w:t xml:space="preserve">4.10 Asset location (Roth / Traditional / taxable)</w:t>
      </w:r>
    </w:p>
    <w:p>
      <w:pPr>
        <w:pStyle w:val="FirstParagraph"/>
      </w:pPr>
      <w:r>
        <w:t xml:space="preserve">Same holdings, smarter</w:t>
      </w:r>
      <w:r>
        <w:t xml:space="preserve"> </w:t>
      </w:r>
      <w:r>
        <w:rPr>
          <w:bCs/>
          <w:b/>
        </w:rPr>
        <w:t xml:space="preserve">accounts</w:t>
      </w:r>
      <w:r>
        <w:t xml:space="preserve"> </w:t>
      </w:r>
      <w:r>
        <w:t xml:space="preserve">— where a name sits changes its</w:t>
      </w:r>
      <w:r>
        <w:t xml:space="preserve"> </w:t>
      </w:r>
      <w:r>
        <w:rPr>
          <w:bCs/>
          <w:b/>
        </w:rPr>
        <w:t xml:space="preserve">after-tax terminal value</w:t>
      </w:r>
      <w:r>
        <w:t xml:space="preserve">. This</w:t>
      </w:r>
      <w:r>
        <w:t xml:space="preserve"> </w:t>
      </w:r>
      <w:r>
        <w:t xml:space="preserve">suggests the account for each name on 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tax drag</w:t>
      </w:r>
      <w:r>
        <w:t xml:space="preserve"> </w:t>
      </w:r>
      <w:r>
        <w:t xml:space="preserve">(high</w:t>
      </w:r>
      <w:r>
        <w:t xml:space="preserve"> </w:t>
      </w:r>
      <w:r>
        <w:t xml:space="preserve">dividend-yield / high-turnover names → a tax-advantaged account; tax-efficient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, where</w:t>
      </w:r>
      <w:r>
        <w:t xml:space="preserve"> </w:t>
      </w:r>
      <w:r>
        <w:t xml:space="preserve">they get qualified rates, step-up at death, and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 the</w:t>
      </w:r>
      <w:r>
        <w:t xml:space="preserve"> </w:t>
      </w:r>
      <w:r>
        <w:rPr>
          <w:bCs/>
          <w:b/>
        </w:rPr>
        <w:t xml:space="preserve">highest-growth</w:t>
      </w:r>
      <w:r>
        <w:t xml:space="preserve"> </w:t>
      </w:r>
      <w:r>
        <w:t xml:space="preserve">names go to</w:t>
      </w:r>
      <w:r>
        <w:t xml:space="preserve"> </w:t>
      </w:r>
      <w:r>
        <w:rPr>
          <w:bCs/>
          <w:b/>
        </w:rPr>
        <w:t xml:space="preserve">Roth</w:t>
      </w:r>
      <w:r>
        <w:t xml:space="preserve"> </w:t>
      </w:r>
      <w:r>
        <w:t xml:space="preserve">(the biggest balance compounds tax-free forever), income/lower-</w:t>
      </w:r>
      <w:r>
        <w:t xml:space="preserve"> </w:t>
      </w:r>
      <w:r>
        <w:t xml:space="preserve">growth to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Enter your</w:t>
      </w:r>
      <w:r>
        <w:t xml:space="preserve"> </w:t>
      </w:r>
      <w:r>
        <w:rPr>
          <w:bCs/>
          <w:b/>
        </w:rPr>
        <w:t xml:space="preserve">Roth / Traditional / taxable balances</w:t>
      </w:r>
      <w:r>
        <w:t xml:space="preserve"> </w:t>
      </w:r>
      <w:r>
        <w:t xml:space="preserve">+ marginal rate + horizon in the inline inputs. Until</w:t>
      </w:r>
      <w:r>
        <w:t xml:space="preserve"> </w:t>
      </w:r>
      <w:r>
        <w:t xml:space="preserve">you split Roth vs Traditional it runs a</w:t>
      </w:r>
      <w:r>
        <w:t xml:space="preserve"> </w:t>
      </w:r>
      <w:r>
        <w:rPr>
          <w:bCs/>
          <w:b/>
        </w:rPr>
        <w:t xml:space="preserve">2-way</w:t>
      </w:r>
      <w:r>
        <w:t xml:space="preserve"> </w:t>
      </w:r>
      <w:r>
        <w:t xml:space="preserve">(tax-advantaged vs taxable) split and says so. The table</w:t>
      </w:r>
      <w:r>
        <w:t xml:space="preserve"> </w:t>
      </w:r>
      <w:r>
        <w:t xml:space="preserve">shows each name’s current vs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account (rows to move are highlighted), its yield, and the</w:t>
      </w:r>
      <w:r>
        <w:t xml:space="preserve"> </w:t>
      </w:r>
      <w:r>
        <w:rPr>
          <w:bCs/>
          <w:b/>
        </w:rPr>
        <w:t xml:space="preserve">tax drag avoided per year</w:t>
      </w:r>
      <w:r>
        <w:t xml:space="preserve"> </w:t>
      </w:r>
      <w:r>
        <w:t xml:space="preserve">by sheltering it — summed and compounded over your horizon. Growth (build-out</w:t>
      </w:r>
      <w:r>
        <w:t xml:space="preserve"> </w:t>
      </w:r>
      <w:r>
        <w:t xml:space="preserve">~9%, defensive ~4%) and yield use per-axis defaults where live data is absent.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2026-06-02T04:43:47Z</dcterms:created>
  <dcterms:modified xsi:type="dcterms:W3CDTF">2026-06-02T04:43:47Z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