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09796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09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13964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13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1693128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693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 — what to buy &amp; where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single tax-located buy/rebalance plan</w:t>
      </w:r>
      <w:r>
        <w:t xml:space="preserve"> </w:t>
      </w:r>
      <w:r>
        <w:t xml:space="preserve">that deploys your cash across Roth / Traditional / taxable (the old standalone Holdings-plan and generic Rebalance-plan tables were folded into this one), plus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Regime instruments panel.</w:t>
      </w:r>
      <w:r>
        <w:t xml:space="preserve"> </w:t>
      </w:r>
      <w:r>
        <w:t xml:space="preserve">Under the posture, a small table shows the daily technicals the timing layer</w:t>
      </w:r>
      <w:r>
        <w:t xml:space="preserve"> </w:t>
      </w:r>
      <w:r>
        <w:t xml:space="preserve">actually reads on the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complex —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(the regime’s reference underlying) plus</w:t>
      </w:r>
      <w:r>
        <w:t xml:space="preserve"> </w:t>
      </w:r>
      <w:r>
        <w:rPr>
          <w:bCs/>
          <w:b/>
        </w:rPr>
        <w:t xml:space="preserve">TQQQ / SQQQ</w:t>
      </w:r>
      <w:r>
        <w:t xml:space="preserve"> </w:t>
      </w:r>
      <w:r>
        <w:t xml:space="preserve">(the</w:t>
      </w:r>
      <w:r>
        <w:t xml:space="preserve"> </w:t>
      </w:r>
      <w:r>
        <w:t xml:space="preserve">3× long / 3× short proxies, the actionable risk-on / brake instruments):</w:t>
      </w:r>
      <w:r>
        <w:t xml:space="preserve"> </w:t>
      </w:r>
      <w:r>
        <w:rPr>
          <w:bCs/>
          <w:b/>
        </w:rPr>
        <w:t xml:space="preserve">price, RSI-14, % vs the 200-DMA</w:t>
      </w:r>
      <w:r>
        <w:rPr>
          <w:bCs/>
          <w:b/>
        </w:rPr>
        <w:t xml:space="preserve"> </w:t>
      </w:r>
      <w:r>
        <w:rPr>
          <w:bCs/>
          <w:b/>
        </w:rPr>
        <w:t xml:space="preserve">(green above / red below), % off the 52-week high, 12-month &amp; 1-month momentum, and realized vol</w:t>
      </w:r>
      <w:r>
        <w:t xml:space="preserve">, refreshed</w:t>
      </w:r>
      <w:r>
        <w:t xml:space="preserve"> </w:t>
      </w:r>
      <w:r>
        <w:t xml:space="preserve">every scan. RSI &gt; 70 reads overbought, &lt; 30 oversold.</w:t>
      </w:r>
      <w:r>
        <w:t xml:space="preserve"> </w:t>
      </w:r>
      <w:r>
        <w:rPr>
          <w:bCs/>
          <w:b/>
        </w:rPr>
        <w:t xml:space="preserve">TQQQ/SQQQ are leveraged — tactical only, their value</w:t>
      </w:r>
      <w:r>
        <w:rPr>
          <w:bCs/>
          <w:b/>
        </w:rPr>
        <w:t xml:space="preserve"> </w:t>
      </w:r>
      <w:r>
        <w:rPr>
          <w:bCs/>
          <w:b/>
        </w:rPr>
        <w:t xml:space="preserve">decays over time; they are not buy-and-hold.</w:t>
      </w:r>
      <w:r>
        <w:t xml:space="preserve"> </w:t>
      </w:r>
      <w:r>
        <w:t xml:space="preserve">It’s its own card beneath the posture. Technicals are computed</w:t>
      </w:r>
      <w:r>
        <w:t xml:space="preserve"> </w:t>
      </w:r>
      <w:r>
        <w:t xml:space="preserve">from the</w:t>
      </w:r>
      <w:r>
        <w:t xml:space="preserve"> </w:t>
      </w:r>
      <w:r>
        <w:rPr>
          <w:bCs/>
          <w:b/>
        </w:rPr>
        <w:t xml:space="preserve">deep price-history DB</w:t>
      </w:r>
      <w:r>
        <w:t xml:space="preserve"> </w:t>
      </w:r>
      <w:r>
        <w:t xml:space="preserve">(2.2y → real 12-month momentum), not a shallow 1-year fetch; the columns</w:t>
      </w:r>
      <w:r>
        <w:t xml:space="preserve"> </w:t>
      </w:r>
      <w:r>
        <w:t xml:space="preserve">adapt — a metric only appears once it has data, so a freshly-added instrument with no DB history yet (TQQQ/SQQQ</w:t>
      </w:r>
      <w:r>
        <w:t xml:space="preserve"> </w:t>
      </w:r>
      <w:r>
        <w:t xml:space="preserve">until the one-time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runs) simply omits 12m rather than showing a blank column, and the footnote</w:t>
      </w:r>
      <w:r>
        <w:t xml:space="preserve"> </w:t>
      </w:r>
      <w:r>
        <w:t xml:space="preserve">calls out any instrument still on the 1-year fetch. QQQ (already in the DB) shows the full set immediately.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 The brake now runs at the</w:t>
      </w:r>
      <w:r>
        <w:t xml:space="preserve"> </w:t>
      </w:r>
      <w:r>
        <w:rPr>
          <w:bCs/>
          <w:b/>
        </w:rPr>
        <w:t xml:space="preserve">live 200-day MA</w:t>
      </w:r>
      <w:r>
        <w:t xml:space="preserve"> </w:t>
      </w:r>
      <w:r>
        <w:t xml:space="preserve">and the line includes the</w:t>
      </w:r>
      <w:r>
        <w:t xml:space="preserve"> </w:t>
      </w:r>
      <w:r>
        <w:rPr>
          <w:bCs/>
          <w:b/>
        </w:rPr>
        <w:t xml:space="preserve">turnover cost</w:t>
      </w:r>
      <w:r>
        <w:t xml:space="preserve"> </w:t>
      </w:r>
      <w:r>
        <w:t xml:space="preserve">charged for switching in/out of cash (so its Calmar isn’t overstated). When the basket lacks enough history to test the 200-day brake honestly, the line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unproven</w:t>
      </w:r>
      <w:r>
        <w:rPr>
          <w:bCs/>
          <w:b/>
        </w:rPr>
        <w:t xml:space="preserve">”</w:t>
      </w:r>
      <w:r>
        <w:t xml:space="preserve"> </w:t>
      </w:r>
      <w:r>
        <w:t xml:space="preserve">instead of showing a number — see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p>
      <w:pPr>
        <w:pStyle w:val="BodyText"/>
      </w:pPr>
      <w:r>
        <w:rPr>
          <w:bCs/>
          <w:b/>
        </w:rPr>
        <w:t xml:space="preserve">Auto-relabel (G1 follow-up).</w:t>
      </w:r>
      <w:r>
        <w:t xml:space="preserve"> </w:t>
      </w:r>
      <w:r>
        <w:t xml:space="preserve">This verdict is now joined directly onto the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above it:</w:t>
      </w:r>
      <w:r>
        <w:t xml:space="preserve"> </w:t>
      </w:r>
      <w:r>
        <w:t xml:space="preserve">that line is auto-stamped</w:t>
      </w:r>
      <w:r>
        <w:t xml:space="preserve"> </w:t>
      </w:r>
      <w:r>
        <w:rPr>
          <w:bCs/>
          <w:b/>
        </w:rPr>
        <w:t xml:space="preserve">factor-adjusted: alpha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beta — NOT alpha</w:t>
      </w:r>
      <w:r>
        <w:t xml:space="preserve">. Previously you had to eyeball</w:t>
      </w:r>
      <w:r>
        <w:t xml:space="preserve"> </w:t>
      </w:r>
      <w:r>
        <w:t xml:space="preserve">the two lines and connect them; now a strong forward hit-rate is</w:t>
      </w:r>
      <w:r>
        <w:t xml:space="preserve"> </w:t>
      </w:r>
      <w:r>
        <w:rPr>
          <w:iCs/>
          <w:i/>
        </w:rPr>
        <w:t xml:space="preserve">automatically</w:t>
      </w:r>
      <w:r>
        <w:t xml:space="preserve"> </w:t>
      </w:r>
      <w:r>
        <w:t xml:space="preserve">shown as</w:t>
      </w:r>
      <w:r>
        <w:t xml:space="preserve"> </w:t>
      </w:r>
      <w:r>
        <w:rPr>
          <w:bCs/>
          <w:b/>
        </w:rPr>
        <w:t xml:space="preserve">beta</w:t>
      </w:r>
      <w:r>
        <w:t xml:space="preserve"> </w:t>
      </w:r>
      <w:r>
        <w:t xml:space="preserve">whenever</w:t>
      </w:r>
      <w:r>
        <w:t xml:space="preserve"> </w:t>
      </w:r>
      <w:r>
        <w:t xml:space="preserve">the factor regression says the return is explained by market + momentum + theme — so a good track record</w:t>
      </w:r>
      <w:r>
        <w:t xml:space="preserve"> </w:t>
      </w:r>
      <w:r>
        <w:t xml:space="preserve">can never masquerade as skill on screen.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rPr>
          <w:bCs/>
          <w:b/>
        </w:rPr>
        <w:t xml:space="preserve">Catalyst watch — the manual triggers are now auto-monitored.</w:t>
      </w:r>
      <w:r>
        <w:t xml:space="preserve"> </w:t>
      </w:r>
      <w:r>
        <w:t xml:space="preserve">Each policy trigger carries a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spec</w:t>
      </w:r>
      <w:r>
        <w:t xml:space="preserve"> </w:t>
      </w:r>
      <w:r>
        <w:t xml:space="preserve">(news/filing queries); every scan the</w:t>
      </w:r>
      <w:r>
        <w:t xml:space="preserve"> </w:t>
      </w:r>
      <w:r>
        <w:rPr>
          <w:bCs/>
          <w:b/>
        </w:rPr>
        <w:t xml:space="preserve">committee</w:t>
      </w:r>
      <w:r>
        <w:t xml:space="preserve"> </w:t>
      </w:r>
      <w:r>
        <w:t xml:space="preserve">judges whether its condition is met from fresh</w:t>
      </w:r>
      <w:r>
        <w:t xml:space="preserve"> </w:t>
      </w:r>
      <w:r>
        <w:rPr>
          <w:bCs/>
          <w:b/>
        </w:rPr>
        <w:t xml:space="preserve">news +</w:t>
      </w:r>
      <w:r>
        <w:rPr>
          <w:bCs/>
          <w:b/>
        </w:rP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and assigns a status —</w:t>
      </w:r>
      <w:r>
        <w:t xml:space="preserve"> </w:t>
      </w:r>
      <w:r>
        <w:rPr>
          <w:bCs/>
          <w:b/>
        </w:rPr>
        <w:t xml:space="preserve">monitoring → approaching → likely-met → fired</w:t>
      </w:r>
      <w:r>
        <w:t xml:space="preserve"> </w:t>
      </w:r>
      <w:r>
        <w:t xml:space="preserve">— with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it cited, and a drafted</w:t>
      </w:r>
      <w:r>
        <w:t xml:space="preserve"> </w:t>
      </w:r>
      <w:r>
        <w:rPr>
          <w:bCs/>
          <w:b/>
        </w:rPr>
        <w:t xml:space="preserve">⇒ suggested action</w:t>
      </w:r>
      <w:r>
        <w:t xml:space="preserve"> </w:t>
      </w:r>
      <w:r>
        <w:t xml:space="preserve">(portfolio- and tax-aware, grounded on the</w:t>
      </w:r>
      <w:r>
        <w:t xml:space="preserve"> </w:t>
      </w:r>
      <w:r>
        <w:t xml:space="preserve">canned policy action). It only reaches</w:t>
      </w:r>
      <w:r>
        <w:t xml:space="preserve"> </w:t>
      </w:r>
      <w:r>
        <w:rPr>
          <w:iCs/>
          <w:i/>
        </w:rPr>
        <w:t xml:space="preserve">fired</w:t>
      </w:r>
      <w:r>
        <w:t xml:space="preserve"> </w:t>
      </w:r>
      <w:r>
        <w:t xml:space="preserve">when</w:t>
      </w:r>
      <w:r>
        <w:t xml:space="preserve"> </w:t>
      </w:r>
      <w:r>
        <w:rPr>
          <w:bCs/>
          <w:b/>
        </w:rPr>
        <w:t xml:space="preserve">≥2 different models independently</w:t>
      </w:r>
      <w:r>
        <w:t xml:space="preserve"> </w:t>
      </w:r>
      <w:r>
        <w:t xml:space="preserve">judge it met, it’s</w:t>
      </w:r>
      <w:r>
        <w:t xml:space="preserve"> </w:t>
      </w:r>
      <w:r>
        <w:rPr>
          <w:bCs/>
          <w:b/>
        </w:rPr>
        <w:t xml:space="preserve">corroborated by the</w:t>
      </w:r>
      <w:r>
        <w:rPr>
          <w:bCs/>
          <w:b/>
        </w:rPr>
        <w:t xml:space="preserve"> </w:t>
      </w:r>
      <w:r>
        <w:rPr>
          <w:bCs/>
          <w:b/>
        </w:rPr>
        <w:t xml:space="preserve">real fetched evidence</w:t>
      </w:r>
      <w:r>
        <w:t xml:space="preserve"> </w:t>
      </w:r>
      <w:r>
        <w:t xml:space="preserve">(an actual SEC filing, or ≥2 distinct news sources — the model’s self-reported</w:t>
      </w:r>
      <w:r>
        <w:t xml:space="preserve"> </w:t>
      </w:r>
      <w:r>
        <w:t xml:space="preserve">citations are shown but never trusted to gate it),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it’s confirmed on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— the</w:t>
      </w:r>
      <w:r>
        <w:t xml:space="preserve"> </w:t>
      </w:r>
      <w:r>
        <w:t xml:space="preserve">same fail-safe as the auto triggers. Evidence is treated as</w:t>
      </w:r>
      <w:r>
        <w:t xml:space="preserve"> </w:t>
      </w:r>
      <w:r>
        <w:rPr>
          <w:bCs/>
          <w:b/>
        </w:rPr>
        <w:t xml:space="preserve">untrusted</w:t>
      </w:r>
      <w:r>
        <w:t xml:space="preserve"> </w:t>
      </w:r>
      <w:r>
        <w:t xml:space="preserve">text in the prompt (it can’t</w:t>
      </w:r>
      <w:r>
        <w:t xml:space="preserve"> </w:t>
      </w:r>
      <w:r>
        <w:t xml:space="preserve">instruct the judge). Once you act (the cut/trim PR merges and the name leaves the plan), the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 stops being offered so you can’t open a duplicate.</w:t>
      </w:r>
      <w:r>
        <w:t xml:space="preserve"> </w:t>
      </w:r>
      <w:r>
        <w:t xml:space="preserve">Commodity-price legs (e.g. NdPr &lt; $80/kg, memory pricing) have no free feed, so they’re judged</w:t>
      </w:r>
      <w:r>
        <w:t xml:space="preserve"> </w:t>
      </w:r>
      <w:r>
        <w:rPr>
          <w:iCs/>
          <w:i/>
        </w:rPr>
        <w:t xml:space="preserve">news-inferred</w:t>
      </w:r>
      <w:r>
        <w:t xml:space="preserve"> </w:t>
      </w:r>
      <w:r>
        <w:t xml:space="preserve">and flagged as such.</w:t>
      </w:r>
      <w:r>
        <w:t xml:space="preserve"> </w:t>
      </w:r>
      <w:r>
        <w:rPr>
          <w:bCs/>
          <w:b/>
        </w:rPr>
        <w:t xml:space="preserve">Advisory only — Puck never trades or edits your book; you confirm and act.</w:t>
      </w:r>
      <w:r>
        <w:t xml:space="preserve"> </w:t>
      </w:r>
      <w:r>
        <w:rPr>
          <w:iCs/>
          <w:i/>
        </w:rPr>
        <w:t xml:space="preserve">(Needs an</w:t>
      </w:r>
      <w:r>
        <w:rPr>
          <w:iCs/>
          <w:i/>
        </w:rPr>
        <w:t xml:space="preserve"> </w:t>
      </w:r>
      <w:r>
        <w:rPr>
          <w:iCs/>
          <w:i/>
        </w:rPr>
        <w:t xml:space="preserve">LLM key; without one the manual triggers fall back to plain monitor reminders.)</w:t>
      </w:r>
    </w:p>
    <w:p>
      <w:pPr>
        <w:pStyle w:val="BodyText"/>
      </w:pPr>
      <w:r>
        <w:t xml:space="preserve">When a plan-editing catalyst (a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trim</w:t>
      </w:r>
      <w:r>
        <w:t xml:space="preserve">) is</w:t>
      </w:r>
      <w:r>
        <w:t xml:space="preserve"> </w:t>
      </w:r>
      <w:r>
        <w:rPr>
          <w:iCs/>
          <w:i/>
        </w:rPr>
        <w:t xml:space="preserve">fired</w:t>
      </w:r>
      <w:r>
        <w:t xml:space="preserve">, the card shows a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button: it</w:t>
      </w:r>
      <w:r>
        <w:t xml:space="preserve"> </w:t>
      </w:r>
      <w:r>
        <w:t xml:space="preserve">opens a pull request that applies the edit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(cut → drop the name; trim → reduce it a third)</w:t>
      </w:r>
      <w:r>
        <w:t xml:space="preserve"> </w:t>
      </w:r>
      <w:r>
        <w:t xml:space="preserve">and renormalizes the plan, with the evidence + drafted action in the PR body.</w:t>
      </w:r>
      <w:r>
        <w:t xml:space="preserve"> </w:t>
      </w:r>
      <w:r>
        <w:rPr>
          <w:bCs/>
          <w:b/>
        </w:rPr>
        <w:t xml:space="preserve">Nothing is auto-merged</w:t>
      </w:r>
      <w:r>
        <w:t xml:space="preserve"> </w:t>
      </w:r>
      <w:r>
        <w:t xml:space="preserve">—</w:t>
      </w:r>
      <w:r>
        <w:t xml:space="preserve"> </w:t>
      </w:r>
      <w:r>
        <w:t xml:space="preserve">you review the weights, adjust, and merge (needs a write token in Settings → Admin), exactly like the</w:t>
      </w:r>
      <w:r>
        <w:t xml:space="preserve"> </w:t>
      </w:r>
      <w:r>
        <w:t xml:space="preserve">diversifier</w:t>
      </w:r>
      <w:r>
        <w:t xml:space="preserve"> </w:t>
      </w:r>
      <w:r>
        <w:t xml:space="preserve">“</w:t>
      </w:r>
      <w:r>
        <w:t xml:space="preserve">Accept</w:t>
      </w:r>
      <w:r>
        <w:t xml:space="preserve">”</w:t>
      </w:r>
      <w:r>
        <w:t xml:space="preserve"> </w:t>
      </w:r>
      <w:r>
        <w:t xml:space="preserve">flow.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-folded-into-the-buy-plan"/>
    <w:p>
      <w:pPr>
        <w:pStyle w:val="Heading3"/>
      </w:pPr>
      <w:r>
        <w:t xml:space="preserve">4.4 Holdings table → folded into the buy plan</w:t>
      </w:r>
    </w:p>
    <w:p>
      <w:pPr>
        <w:pStyle w:val="FirstParagraph"/>
      </w:pPr>
      <w:r>
        <w:t xml:space="preserve">The standalone Holdings-plan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to keep the Portfolio page to one actionable plan. The</w:t>
      </w:r>
      <w:r>
        <w:t xml:space="preserve"> </w:t>
      </w:r>
      <w:r>
        <w:t xml:space="preserve">target plan’s names/weights now flow directly into the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(§4.10), which shows what</w:t>
      </w:r>
      <w:r>
        <w:t xml:space="preserve"> </w:t>
      </w:r>
      <w:r>
        <w:t xml:space="preserve">to buy of each and in which account.</w:t>
      </w:r>
      <w:r>
        <w:t xml:space="preserve"> </w:t>
      </w:r>
      <w:r>
        <w:rPr>
          <w:bCs/>
          <w:b/>
        </w:rPr>
        <w:t xml:space="preserve">Tiers</w:t>
      </w:r>
      <w:r>
        <w:t xml:space="preserve"> </w:t>
      </w:r>
      <w:r>
        <w:t xml:space="preserve">(deployment pace) still drive the DCA calendar (§4.6):</w:t>
      </w:r>
      <w:r>
        <w:t xml:space="preserve"> </w:t>
      </w:r>
      <w:r>
        <w:t xml:space="preserve">A = 100% now · B = 50% now + months 1–3 · C = 25% now + DCA to month 9 · D = small option sleeve · DRY = cash.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6c904b39a438a4d1ae019f77a5ea06af858fe8c"/>
    <w:p>
      <w:pPr>
        <w:pStyle w:val="Heading3"/>
      </w:pPr>
      <w:r>
        <w:t xml:space="preserve">4.9 Rebalance plan → folded into the tax-located plan</w:t>
      </w:r>
    </w:p>
    <w:p>
      <w:pPr>
        <w:pStyle w:val="FirstParagraph"/>
      </w:pPr>
      <w:r>
        <w:t xml:space="preserve">The standalone Rebalance-plan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— the single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 is now the</w:t>
      </w:r>
      <w:r>
        <w:t xml:space="preserve"> </w:t>
      </w:r>
      <w:r>
        <w:t xml:space="preserve">one buy/rebalance view. The scanner still computes the underlying weight/funding engine (below) and emits 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 </w:t>
      </w:r>
      <w:r>
        <w:t xml:space="preserve">for the record; the dashboard just no longer renders it as a separate table.</w:t>
      </w:r>
    </w:p>
    <w:p>
      <w:pPr>
        <w:pStyle w:val="BodyText"/>
      </w:pPr>
      <w:r>
        <w:rPr>
          <w:iCs/>
          <w:i/>
        </w:rPr>
        <w:t xml:space="preserve">(Engine, for reference — how the target weights are derived:)</w:t>
      </w:r>
      <w:r>
        <w:t xml:space="preserve"> </w:t>
      </w:r>
      <w:r>
        <w:t xml:space="preserve">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X2db9e1faedf142c4f69c88c9dc437354b7ebe80"/>
    <w:p>
      <w:pPr>
        <w:pStyle w:val="Heading3"/>
      </w:pPr>
      <w:r>
        <w:t xml:space="preserve">4.10 Tax-located buy/rebalance plan (Roth / Traditional / taxable)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bCs/>
          <w:b/>
        </w:rPr>
        <w:t xml:space="preserve">🎯 Suggestions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buy/rebalance view (the old Holdings-plan and Rebalance-plan</w:t>
      </w:r>
      <w:r>
        <w:t xml:space="preserve"> </w:t>
      </w:r>
      <w:r>
        <w:t xml:space="preserve">tables fold into this one). It takes the committee’s suggested holdings (build-out + the diversifier</w:t>
      </w:r>
      <w:r>
        <w:t xml:space="preserve"> </w:t>
      </w:r>
      <w:r>
        <w:t xml:space="preserve">sleeve), targets each name’s weight against your</w:t>
      </w:r>
      <w:r>
        <w:t xml:space="preserve"> </w:t>
      </w:r>
      <w:r>
        <w:rPr>
          <w:bCs/>
          <w:b/>
        </w:rPr>
        <w:t xml:space="preserve">total account balances</w:t>
      </w:r>
      <w:r>
        <w:t xml:space="preserve">, and</w:t>
      </w:r>
      <w:r>
        <w:t xml:space="preserve"> </w:t>
      </w:r>
      <w:r>
        <w:rPr>
          <w:bCs/>
          <w:b/>
        </w:rPr>
        <w:t xml:space="preserve">places every dollar in</w:t>
      </w:r>
      <w:r>
        <w:rPr>
          <w:bCs/>
          <w:b/>
        </w:rPr>
        <w:t xml:space="preserve"> </w:t>
      </w:r>
      <w:r>
        <w:rPr>
          <w:bCs/>
          <w:b/>
        </w:rPr>
        <w:t xml:space="preserve">the account that maximizes after-tax terminal value</w:t>
      </w:r>
      <w:r>
        <w:t xml:space="preserve"> </w:t>
      </w:r>
      <w:r>
        <w:t xml:space="preserve">— grouped by account. Each name’s dollars can</w:t>
      </w:r>
      <w:r>
        <w:t xml:space="preserve"> </w:t>
      </w:r>
      <w:r>
        <w:rPr>
          <w:bCs/>
          <w:b/>
        </w:rPr>
        <w:t xml:space="preserve">split</w:t>
      </w:r>
      <w:r>
        <w:rPr>
          <w:bCs/>
          <w:b/>
        </w:rPr>
        <w:t xml:space="preserve"> </w:t>
      </w:r>
      <w:r>
        <w:rPr>
          <w:bCs/>
          <w:b/>
        </w:rPr>
        <w:t xml:space="preserve">across accounts</w:t>
      </w:r>
      <w:r>
        <w:t xml:space="preserve"> </w:t>
      </w:r>
      <w:r>
        <w:t xml:space="preserve">so capacity is filled exactly.</w:t>
      </w:r>
    </w:p>
    <w:p>
      <w:pPr>
        <w:pStyle w:val="BodyText"/>
      </w:pPr>
      <w:r>
        <w:rPr>
          <w:bCs/>
          <w:b/>
        </w:rPr>
        <w:t xml:space="preserve">Each row shows its sleeve</w:t>
      </w:r>
      <w:r>
        <w:t xml:space="preserve"> </w:t>
      </w:r>
      <w:r>
        <w:t xml:space="preserve">with a colored tag (matching the overview-diagram colors): a green</w:t>
      </w:r>
      <w: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pill (the alpha engine, ~85%) or a purple</w:t>
      </w:r>
      <w:r>
        <w:t xml:space="preserve"> </w:t>
      </w:r>
      <w:r>
        <w:rPr>
          <w:bCs/>
          <w:b/>
        </w:rPr>
        <w:t xml:space="preserve">◇ Diversifier</w:t>
      </w:r>
      <w:r>
        <w:t xml:space="preserve"> </w:t>
      </w:r>
      <w:r>
        <w:t xml:space="preserve">pill (the drawdown hedge, ~15%),</w:t>
      </w:r>
      <w:r>
        <w:t xml:space="preserve"> </w:t>
      </w:r>
      <w:r>
        <w:t xml:space="preserve">plus a subtle left accent so you can scan which sleeve a name belongs to even though rows are grouped by</w:t>
      </w:r>
      <w:r>
        <w:t xml:space="preserve"> </w:t>
      </w:r>
      <w:r>
        <w:t xml:space="preserve">account. A small legend sits above the table.</w:t>
      </w:r>
    </w:p>
    <w:p>
      <w:pPr>
        <w:pStyle w:val="BodyText"/>
      </w:pPr>
      <w:r>
        <w:rPr>
          <w:bCs/>
          <w:b/>
        </w:rPr>
        <w:t xml:space="preserve">Per-name entry timing (is it a good time to buy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</w:t>
      </w:r>
      <w:r>
        <w:rPr>
          <w:bCs/>
          <w:b/>
        </w:rPr>
        <w:t xml:space="preserve"> </w:t>
      </w:r>
      <w:r>
        <w:rPr>
          <w:bCs/>
          <w:b/>
        </w:rPr>
        <w:t xml:space="preserve">name?).</w:t>
      </w:r>
      <w:r>
        <w:t xml:space="preserve"> </w:t>
      </w:r>
      <w:r>
        <w:t xml:space="preserve">The composite Dislocation card says</w:t>
      </w:r>
      <w:r>
        <w:t xml:space="preserve"> </w:t>
      </w:r>
      <w:r>
        <w:t xml:space="preserve">“</w:t>
      </w:r>
      <w:r>
        <w:t xml:space="preserve">deploy in general</w:t>
      </w:r>
      <w:r>
        <w:t xml:space="preserve">”</w:t>
      </w:r>
      <w:r>
        <w:t xml:space="preserve">; each buy row also carries its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read —</w:t>
      </w:r>
      <w:r>
        <w:t xml:space="preserve"> </w:t>
      </w:r>
      <w:r>
        <w:rPr>
          <w:bCs/>
          <w:b/>
        </w:rPr>
        <w:t xml:space="preserve">good entry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fair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—</w:t>
      </w:r>
      <w:r>
        <w:t xml:space="preserve"> </w:t>
      </w:r>
      <w:r>
        <w:t xml:space="preserve">blending</w:t>
      </w:r>
      <w:r>
        <w:t xml:space="preserve"> </w:t>
      </w:r>
      <w:r>
        <w:rPr>
          <w:bCs/>
          <w:b/>
        </w:rPr>
        <w:t xml:space="preserve">dislocation</w:t>
      </w:r>
      <w:r>
        <w:t xml:space="preserve"> </w:t>
      </w:r>
      <w:r>
        <w:t xml:space="preserve">(% off the 52-week high),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(vs the 200-DMA, a gate not a reward),</w:t>
      </w:r>
      <w:r>
        <w:t xml:space="preserve"> </w:t>
      </w:r>
      <w:r>
        <w:rPr>
          <w:bCs/>
          <w:b/>
        </w:rPr>
        <w:t xml:space="preserve">momentum</w:t>
      </w:r>
      <w:r>
        <w:t xml:space="preserve"> </w:t>
      </w:r>
      <w:r>
        <w:t xml:space="preserve">(12-month, inverted-U — see below),</w:t>
      </w:r>
      <w:r>
        <w:t xml:space="preserve"> </w:t>
      </w:r>
      <w:r>
        <w:rPr>
          <w:bCs/>
          <w:b/>
        </w:rPr>
        <w:t xml:space="preserve">relative strength</w:t>
      </w:r>
      <w:r>
        <w:t xml:space="preserve"> </w:t>
      </w:r>
      <w:r>
        <w:t xml:space="preserve">(its scarcity basket de-rating − vs</w:t>
      </w:r>
      <w:r>
        <w:t xml:space="preserve"> </w:t>
      </w:r>
      <w:r>
        <w:t xml:space="preserve">inflecting + against the build-out complex — the alpha signal, per name), and</w:t>
      </w:r>
      <w:r>
        <w:t xml:space="preserve"> </w:t>
      </w:r>
      <w:r>
        <w:rPr>
          <w:bCs/>
          <w:b/>
        </w:rPr>
        <w:t xml:space="preserve">valuation</w:t>
      </w:r>
      <w:r>
        <w:t xml:space="preserve">. A</w:t>
      </w:r>
      <w:r>
        <w:t xml:space="preserve"> </w:t>
      </w:r>
      <w:r>
        <w:rPr>
          <w:iCs/>
          <w:i/>
        </w:rPr>
        <w:t xml:space="preserve">stretched</w:t>
      </w:r>
      <w:r>
        <w:t xml:space="preserve"> </w:t>
      </w:r>
      <w:r>
        <w:t xml:space="preserve">name is</w:t>
      </w:r>
      <w:r>
        <w:t xml:space="preserve"> </w:t>
      </w:r>
      <w:r>
        <w:rPr>
          <w:bCs/>
          <w:b/>
        </w:rPr>
        <w:t xml:space="preserve">staged</w:t>
      </w:r>
      <w:r>
        <w:t xml:space="preserve">: only part deploys now and the rest is</w:t>
      </w:r>
      <w:r>
        <w:t xml:space="preserve"> </w:t>
      </w:r>
      <w:r>
        <w:rPr>
          <w:bCs/>
          <w:b/>
        </w:rPr>
        <w:t xml:space="preserve">DCA’d</w:t>
      </w:r>
      <w:r>
        <w:t xml:space="preserve"> </w:t>
      </w:r>
      <w:r>
        <w:t xml:space="preserve">(shown as</w:t>
      </w:r>
      <w:r>
        <w:t xml:space="preserve"> </w:t>
      </w:r>
      <w:r>
        <w:t xml:space="preserve">“</w:t>
      </w:r>
      <w:r>
        <w:t xml:space="preserve">$X now · DCA $Y</w:t>
      </w:r>
      <w:r>
        <w:t xml:space="preserve">”</w:t>
      </w:r>
      <w:r>
        <w:t xml:space="preserve">),</w:t>
      </w:r>
      <w:r>
        <w:t xml:space="preserve"> </w:t>
      </w:r>
      <w:r>
        <w:t xml:space="preserve">so a lump-sum doesn’t buy the top; the header totals</w:t>
      </w:r>
      <w:r>
        <w:t xml:space="preserve"> </w:t>
      </w:r>
      <w:r>
        <w:t xml:space="preserve">“</w:t>
      </w:r>
      <w:r>
        <w:t xml:space="preserve">deploy now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DCA’d.</w:t>
      </w:r>
      <w:r>
        <w:t xml:space="preserve">”</w:t>
      </w:r>
      <w:r>
        <w:t xml:space="preserve"> </w:t>
      </w:r>
      <w:r>
        <w:t xml:space="preserve">Hover a pill for its reasons +</w:t>
      </w:r>
      <w:r>
        <w:t xml:space="preserve"> </w:t>
      </w:r>
      <w:r>
        <w:t xml:space="preserve">0–100 score.</w:t>
      </w:r>
      <w:r>
        <w:t xml:space="preserve"> </w:t>
      </w:r>
      <w:r>
        <w:rPr>
          <w:bCs/>
          <w:b/>
        </w:rPr>
        <w:t xml:space="preserve">Valuation is trailing P/E corroborated across two sources — SEC EDGAR XBRL (authoritative</w:t>
      </w:r>
      <w:r>
        <w:rPr>
          <w:bCs/>
          <w:b/>
        </w:rPr>
        <w:t xml:space="preserve"> </w:t>
      </w:r>
      <w:r>
        <w:rPr>
          <w:bCs/>
          <w:b/>
        </w:rPr>
        <w:t xml:space="preserve">reported earnings) and Tiingo</w:t>
      </w:r>
      <w:r>
        <w:t xml:space="preserve"> </w:t>
      </w:r>
      <w:r>
        <w:t xml:space="preserve">— flagged single-source when one is missing, exactly like price</w:t>
      </w:r>
      <w:r>
        <w:t xml:space="preserve"> </w:t>
      </w:r>
      <w:r>
        <w:t xml:space="preserve">corroboration.</w:t>
      </w:r>
      <w:r>
        <w:t xml:space="preserve"> </w:t>
      </w:r>
      <w:r>
        <w:rPr>
          <w:iCs/>
          <w:i/>
        </w:rPr>
        <w:t xml:space="preserve">Forward</w:t>
      </w:r>
      <w:r>
        <w:t xml:space="preserve"> </w:t>
      </w:r>
      <w:r>
        <w:t xml:space="preserve">P/E isn’t used because no keyless source provides it (Yahoo’s endpoint is</w:t>
      </w:r>
      <w:r>
        <w:t xml:space="preserve"> </w:t>
      </w:r>
      <w:r>
        <w:t xml:space="preserve">crumb-gated); the valuation leg fills in once the daily scan resolves it.</w:t>
      </w:r>
    </w:p>
    <w:p>
      <w:pPr>
        <w:pStyle w:val="BodyText"/>
      </w:pPr>
      <w:r>
        <w:t xml:space="preserve">Because it’s</w:t>
      </w:r>
      <w:r>
        <w:t xml:space="preserve"> </w:t>
      </w:r>
      <w:r>
        <w:rPr>
          <w:iCs/>
          <w:i/>
        </w:rPr>
        <w:t xml:space="preserve">trailing</w:t>
      </w:r>
      <w:r>
        <w:t xml:space="preserve">, the P/E is</w:t>
      </w:r>
      <w:r>
        <w:t xml:space="preserve"> </w:t>
      </w:r>
      <w:r>
        <w:rPr>
          <w:bCs/>
          <w:b/>
        </w:rPr>
        <w:t xml:space="preserve">growth-aware</w:t>
      </w:r>
      <w:r>
        <w:t xml:space="preserve">: a high trailing multiple backed by strong revenue</w:t>
      </w:r>
      <w:r>
        <w:t xml:space="preserve"> </w:t>
      </w:r>
      <w:r>
        <w:t xml:space="preserve">growth (a recovering cyclical like</w:t>
      </w:r>
      <w:r>
        <w:t xml:space="preserve"> </w:t>
      </w:r>
      <w:r>
        <w:rPr>
          <w:bCs/>
          <w:b/>
        </w:rPr>
        <w:t xml:space="preserve">MU</w:t>
      </w:r>
      <w:r>
        <w:t xml:space="preserve"> </w:t>
      </w:r>
      <w:r>
        <w:t xml:space="preserve">— optically ~50× trailing but ~10–12×</w:t>
      </w:r>
      <w:r>
        <w:t xml:space="preserve"> </w:t>
      </w:r>
      <w:r>
        <w:rPr>
          <w:iCs/>
          <w:i/>
        </w:rPr>
        <w:t xml:space="preserve">forward</w:t>
      </w:r>
      <w:r>
        <w:t xml:space="preserve">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tagged</w:t>
      </w:r>
      <w:r>
        <w:t xml:space="preserve"> </w:t>
      </w:r>
      <w:r>
        <w:t xml:space="preserve">“</w:t>
      </w:r>
      <w:r>
        <w:t xml:space="preserve">rich</w:t>
      </w:r>
      <w:r>
        <w:t xml:space="preserve">”</w:t>
      </w:r>
      <w:r>
        <w:t xml:space="preserve"> </w:t>
      </w:r>
      <w:r>
        <w:t xml:space="preserve">— it reads</w:t>
      </w:r>
      <w:r>
        <w:t xml:space="preserve"> </w:t>
      </w:r>
      <w:r>
        <w:t xml:space="preserve">“</w:t>
      </w:r>
      <w:r>
        <w:t xml:space="preserve">fair (rich on trailing, but +X% rev → forward lower),</w:t>
      </w:r>
      <w:r>
        <w:t xml:space="preserve">”</w:t>
      </w:r>
      <w:r>
        <w:t xml:space="preserve"> </w:t>
      </w:r>
      <w:r>
        <w:t xml:space="preserve">so the</w:t>
      </w:r>
      <w:r>
        <w:t xml:space="preserve"> </w:t>
      </w:r>
      <w:r>
        <w:t xml:space="preserve">“</w:t>
      </w:r>
      <w:r>
        <w:t xml:space="preserve">went-up-a-lot ≠ expensive</w:t>
      </w:r>
      <w:r>
        <w:t xml:space="preserve">”</w:t>
      </w:r>
      <w:r>
        <w:t xml:space="preserve"> </w:t>
      </w:r>
      <w:r>
        <w:t xml:space="preserve">correction holds.</w:t>
      </w:r>
    </w:p>
    <w:p>
      <w:pPr>
        <w:pStyle w:val="BodyText"/>
      </w:pPr>
      <w:r>
        <w:t xml:space="preserve">Momentum is an</w:t>
      </w:r>
      <w:r>
        <w:t xml:space="preserve"> </w:t>
      </w:r>
      <w:r>
        <w:rPr>
          <w:bCs/>
          <w:b/>
        </w:rPr>
        <w:t xml:space="preserve">inverted-U</w:t>
      </w:r>
      <w:r>
        <w:t xml:space="preserve">, not</w:t>
      </w:r>
      <w:r>
        <w:t xml:space="preserve"> </w:t>
      </w:r>
      <w:r>
        <w:t xml:space="preserve">“</w:t>
      </w:r>
      <w:r>
        <w:t xml:space="preserve">more is better</w:t>
      </w:r>
      <w:r>
        <w:t xml:space="preserve">”</w:t>
      </w:r>
      <w:r>
        <w:t xml:space="preserve">: a healthy uptrend is a good entry, but a</w:t>
      </w:r>
      <w:r>
        <w:t xml:space="preserve"> </w:t>
      </w:r>
      <w:r>
        <w:rPr>
          <w:bCs/>
          <w:b/>
        </w:rPr>
        <w:t xml:space="preserve">parabolic</w:t>
      </w:r>
      <w:r>
        <w:rPr>
          <w:bCs/>
          <w:b/>
        </w:rPr>
        <w:t xml:space="preserve"> </w:t>
      </w:r>
      <w:r>
        <w:rPr>
          <w:bCs/>
          <w:b/>
        </w:rPr>
        <w:t xml:space="preserve">blow-off</w:t>
      </w:r>
      <w:r>
        <w:t xml:space="preserve"> </w:t>
      </w:r>
      <w:r>
        <w:t xml:space="preserve">— a name that’s doubled in a month or run up many-fold in a year, sitting at its all-time high — is</w:t>
      </w:r>
      <w:r>
        <w:t xml:space="preserve"> </w:t>
      </w:r>
      <w:r>
        <w:rPr>
          <w:bCs/>
          <w:b/>
        </w:rPr>
        <w:t xml:space="preserve">overbought</w:t>
      </w:r>
      <w:r>
        <w:t xml:space="preserve">, so it reads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and gets</w:t>
      </w:r>
      <w:r>
        <w:t xml:space="preserve"> </w:t>
      </w:r>
      <w:r>
        <w:rPr>
          <w:bCs/>
          <w:b/>
        </w:rPr>
        <w:t xml:space="preserve">staged/DCA’d</w:t>
      </w:r>
      <w:r>
        <w:t xml:space="preserve"> </w:t>
      </w:r>
      <w:r>
        <w:t xml:space="preserve">rather than lump-summed. (That’s why a</w:t>
      </w:r>
      <w:r>
        <w:t xml:space="preserve"> </w:t>
      </w:r>
      <w:r>
        <w:t xml:space="preserve">high-conviction name like MU can be a great</w:t>
      </w:r>
      <w:r>
        <w:t xml:space="preserve"> </w:t>
      </w:r>
      <w:r>
        <w:rPr>
          <w:iCs/>
          <w:i/>
        </w:rPr>
        <w:t xml:space="preserve">holding</w:t>
      </w:r>
      <w:r>
        <w:t xml:space="preserve"> </w:t>
      </w:r>
      <w:r>
        <w:t xml:space="preserve">yet a poor</w:t>
      </w:r>
      <w:r>
        <w:t xml:space="preserve"> </w:t>
      </w:r>
      <w:r>
        <w:rPr>
          <w:iCs/>
          <w:i/>
        </w:rPr>
        <w:t xml:space="preserve">entry</w:t>
      </w:r>
      <w:r>
        <w:t xml:space="preserve"> </w:t>
      </w:r>
      <w:r>
        <w:t xml:space="preserve">today: conviction in the thesis ≠</w:t>
      </w:r>
      <w:r>
        <w:t xml:space="preserve"> </w:t>
      </w:r>
      <w:r>
        <w:t xml:space="preserve">buying the top of a vertical move.) This also makes the score robust to a bad data print — an absurd value</w:t>
      </w:r>
      <w:r>
        <w:t xml:space="preserve"> </w:t>
      </w:r>
      <w:r>
        <w:t xml:space="preserve">just lands at the overbought floor instead of being trusted as</w:t>
      </w:r>
      <w:r>
        <w:t xml:space="preserve"> </w:t>
      </w:r>
      <w:r>
        <w:t xml:space="preserve">“</w:t>
      </w:r>
      <w:r>
        <w:t xml:space="preserve">great momentum.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 true optimizer, not a rule of thumb.</w:t>
      </w:r>
      <w:r>
        <w:t xml:space="preserve"> </w:t>
      </w:r>
      <w:r>
        <w:t xml:space="preserve">Puck models each name’s</w:t>
      </w:r>
      <w:r>
        <w:t xml:space="preserve"> </w:t>
      </w:r>
      <w:r>
        <w:rPr>
          <w:bCs/>
          <w:b/>
        </w:rPr>
        <w:t xml:space="preserve">after-tax terminal multiple</w:t>
      </w:r>
      <w:r>
        <w:t xml:space="preserve"> </w:t>
      </w:r>
      <w:r>
        <w:t xml:space="preserve">in every</w:t>
      </w:r>
      <w:r>
        <w:t xml:space="preserve"> </w:t>
      </w:r>
      <w:r>
        <w:t xml:space="preserve">account over your horizon — Roth</w:t>
      </w:r>
      <w:r>
        <w:t xml:space="preserve"> </w:t>
      </w:r>
      <w:r>
        <w:rPr>
          <w:rStyle w:val="VerbatimChar"/>
        </w:rPr>
        <w:t xml:space="preserve">(1+g)^N</w:t>
      </w:r>
      <w:r>
        <w:t xml:space="preserve"> </w:t>
      </w:r>
      <w:r>
        <w:t xml:space="preserve">(tax-free forever), Traditional</w:t>
      </w:r>
      <w:r>
        <w:t xml:space="preserve"> </w:t>
      </w:r>
      <w:r>
        <w:rPr>
          <w:rStyle w:val="VerbatimChar"/>
        </w:rPr>
        <w:t xml:space="preserve">(1+g)^N·(1−rate)</w:t>
      </w:r>
      <w:r>
        <w:t xml:space="preserve"> </w:t>
      </w:r>
      <w:r>
        <w:t xml:space="preserve">(ordinary rate</w:t>
      </w:r>
      <w:r>
        <w:t xml:space="preserve"> </w:t>
      </w:r>
      <w:r>
        <w:t xml:space="preserve">on withdrawal), taxable</w:t>
      </w:r>
      <w:r>
        <w:t xml:space="preserve"> </w:t>
      </w:r>
      <w:r>
        <w:rPr>
          <w:rStyle w:val="VerbatimChar"/>
        </w:rPr>
        <w:t xml:space="preserve">1+((1+g−yield·rate)^N−1)·(1−LTCG)</w:t>
      </w:r>
      <w:r>
        <w:t xml:space="preserve"> </w:t>
      </w:r>
      <w:r>
        <w:t xml:space="preserve">(annual qualified-dividend drag + a final LTCG</w:t>
      </w:r>
      <w:r>
        <w:t xml:space="preserve"> </w:t>
      </w:r>
      <w:r>
        <w:t xml:space="preserve">that step-up would only reduce) — then solves the placement as a</w:t>
      </w:r>
      <w:r>
        <w:t xml:space="preserve"> </w:t>
      </w:r>
      <w:r>
        <w:rPr>
          <w:bCs/>
          <w:b/>
        </w:rPr>
        <w:t xml:space="preserve">transportation problem</w:t>
      </w:r>
      <w:r>
        <w:t xml:space="preserve"> </w:t>
      </w:r>
      <w:r>
        <w:t xml:space="preserve">(the global</w:t>
      </w:r>
      <w:r>
        <w:t xml:space="preserve"> </w:t>
      </w:r>
      <w:r>
        <w:t xml:space="preserve">optimum for those multiples, verified against brute force). Two forces fall out of the math: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goes to your highest-EXPECTED-RETURN names.</w:t>
      </w:r>
      <w:r>
        <w:t xml:space="preserve"> </w:t>
      </w:r>
      <w:r>
        <w:t xml:space="preserve">Tax-free compounding is worth the most on the asset</w:t>
      </w:r>
      <w:r>
        <w:t xml:space="preserve"> </w:t>
      </w:r>
      <w:r>
        <w:t xml:space="preserve">that compounds the most, so the build-out (high-growth) names win scarce Roth space before a low-growth,</w:t>
      </w:r>
      <w:r>
        <w:t xml:space="preserve"> </w:t>
      </w:r>
      <w:r>
        <w:t xml:space="preserve">high-yield diversifier does — even though the diversifier</w:t>
      </w:r>
      <w:r>
        <w:t xml:space="preserve"> </w:t>
      </w:r>
      <w:r>
        <w:t xml:space="preserve">“</w:t>
      </w:r>
      <w:r>
        <w:t xml:space="preserve">looks</w:t>
      </w:r>
      <w:r>
        <w:t xml:space="preserve">”</w:t>
      </w:r>
      <w:r>
        <w:t xml:space="preserve"> </w:t>
      </w:r>
      <w:r>
        <w:t xml:space="preserve">like the dividend-tax-shelter candidate.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What spills to TAXABLE is the lowest-yield name</w:t>
      </w:r>
      <w:r>
        <w:t xml:space="preserve"> </w:t>
      </w:r>
      <w:r>
        <w:t xml:space="preserve">— it loses the least to the annual dividend drag there</w:t>
      </w:r>
      <w:r>
        <w:t xml:space="preserve"> </w:t>
      </w:r>
      <w:r>
        <w:t xml:space="preserve">and keeps qualified rates, step-up at death, and loss-harvesting (most valuable on the volatile hedge).</w:t>
      </w:r>
    </w:p>
    <w:p>
      <w:pPr>
        <w:pStyle w:val="BodyText"/>
      </w:pPr>
      <w:r>
        <w:t xml:space="preserve">The header reports the</w:t>
      </w:r>
      <w:r>
        <w:t xml:space="preserve"> </w:t>
      </w:r>
      <w:r>
        <w:rPr>
          <w:bCs/>
          <w:b/>
        </w:rPr>
        <w:t xml:space="preserve">after-tax terminal $ this placement adds</w:t>
      </w:r>
      <w:r>
        <w:t xml:space="preserve"> </w:t>
      </w:r>
      <w:r>
        <w:t xml:space="preserve">vs a pro-rata baseline (so it credits the</w:t>
      </w:r>
      <w:r>
        <w:t xml:space="preserve"> </w:t>
      </w:r>
      <w:r>
        <w:t xml:space="preserve">Roth growth benefit, not just dividend drag) plus the annual tax drag sheltered.</w:t>
      </w:r>
    </w:p>
    <w:p>
      <w:pPr>
        <w:pStyle w:val="BodyText"/>
      </w:pPr>
      <w:r>
        <w:rPr>
          <w:bCs/>
          <w:b/>
        </w:rPr>
        <w:t xml:space="preserve">Position-aware.</w:t>
      </w:r>
      <w:r>
        <w:t xml:space="preserve"> </w:t>
      </w:r>
      <w:r>
        <w:t xml:space="preserve">It nets the target against</w:t>
      </w:r>
      <w:r>
        <w:t xml:space="preserve"> </w:t>
      </w:r>
      <w:r>
        <w:rPr>
          <w:bCs/>
          <w:b/>
        </w:rPr>
        <w:t xml:space="preserve">what you already hold</w:t>
      </w:r>
      <w:r>
        <w:t xml:space="preserve"> </w:t>
      </w:r>
      <w:r>
        <w:t xml:space="preserve">(your Settings positions × latest</w:t>
      </w:r>
      <w:r>
        <w:t xml:space="preserve"> </w:t>
      </w:r>
      <w:r>
        <w:t xml:space="preserve">scan prices, by account): all-cash → a pure</w:t>
      </w:r>
      <w:r>
        <w:t xml:space="preserve"> </w:t>
      </w:r>
      <w:r>
        <w:rPr>
          <w:bCs/>
          <w:b/>
        </w:rPr>
        <w:t xml:space="preserve">deploy</w:t>
      </w:r>
      <w:r>
        <w:t xml:space="preserve"> </w:t>
      </w:r>
      <w:r>
        <w:t xml:space="preserve">(all buys); once you hold lots it nets</w:t>
      </w:r>
      <w:r>
        <w:t xml:space="preserve"> </w:t>
      </w:r>
      <w:r>
        <w:rPr>
          <w:bCs/>
          <w:b/>
        </w:rPr>
        <w:t xml:space="preserve">buys + tax-</w:t>
      </w:r>
      <w:r>
        <w:rPr>
          <w:bCs/>
          <w:b/>
        </w:rPr>
        <w:t xml:space="preserve"> </w:t>
      </w:r>
      <w:r>
        <w:rPr>
          <w:bCs/>
          <w:b/>
        </w:rPr>
        <w:t xml:space="preserve">aware sells/trims</w:t>
      </w:r>
      <w:r>
        <w:t xml:space="preserve">. Selling inside Roth/Traditional is free (no tax), so it trims there first;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lot is</w:t>
      </w:r>
      <w:r>
        <w:t xml:space="preserve"> </w:t>
      </w:r>
      <w:r>
        <w:rPr>
          <w:bCs/>
          <w:b/>
        </w:rPr>
        <w:t xml:space="preserve">buy-and-hold</w:t>
      </w:r>
      <w:r>
        <w:t xml:space="preserve"> </w:t>
      </w:r>
      <w:r>
        <w:t xml:space="preserve">— it’s only trimmed when the scan’s trim bar is met (broken thesis / strong de-rating</w:t>
      </w:r>
      <w:r>
        <w:t xml:space="preserve"> </w:t>
      </w:r>
      <w:r>
        <w:t xml:space="preserve">/ over the sleeve cap;</w:t>
      </w:r>
      <w:r>
        <w:t xml:space="preserve"> </w:t>
      </w:r>
      <w:r>
        <w:rPr>
          <w:rStyle w:val="VerbatimChar"/>
        </w:rPr>
        <w:t xml:space="preserve">signals.json.rebalance.taxable_trim_ok</w:t>
      </w:r>
      <w:r>
        <w:t xml:space="preserve">), otherwise it’s shown</w:t>
      </w:r>
      <w:r>
        <w:t xml:space="preserve"> </w:t>
      </w:r>
      <w:r>
        <w:rPr>
          <w:bCs/>
          <w:b/>
        </w:rPr>
        <w:t xml:space="preserve">held</w:t>
      </w:r>
      <w:r>
        <w:t xml:space="preserve"> </w:t>
      </w:r>
      <w:r>
        <w:t xml:space="preserve">and the</w:t>
      </w:r>
      <w:r>
        <w:t xml:space="preserve"> </w:t>
      </w:r>
      <w:r>
        <w:t xml:space="preserve">header notes the dollars it left in place. If buys exceed your free room it tells you how much</w:t>
      </w:r>
      <w:r>
        <w:t xml:space="preserve"> </w:t>
      </w:r>
      <w:r>
        <w:rPr>
          <w:bCs/>
          <w:b/>
        </w:rPr>
        <w:t xml:space="preserve">new cash</w:t>
      </w:r>
      <w:r>
        <w:t xml:space="preserve"> </w:t>
      </w:r>
      <w:r>
        <w:t xml:space="preserve">is</w:t>
      </w:r>
      <w:r>
        <w:t xml:space="preserve"> </w:t>
      </w:r>
      <w:r>
        <w:t xml:space="preserve">needed.</w:t>
      </w:r>
    </w:p>
    <w:p>
      <w:pPr>
        <w:pStyle w:val="BodyText"/>
      </w:pPr>
      <w:r>
        <w:rPr>
          <w:bCs/>
          <w:b/>
        </w:rPr>
        <w:t xml:space="preserve">Committee-aware.</w:t>
      </w:r>
      <w:r>
        <w:t xml:space="preserve"> </w:t>
      </w:r>
      <w:r>
        <w:t xml:space="preserve">The build-out names are weighted by the</w:t>
      </w:r>
      <w:r>
        <w:t xml:space="preserve"> </w:t>
      </w:r>
      <w:r>
        <w:rPr>
          <w:bCs/>
          <w:b/>
        </w:rPr>
        <w:t xml:space="preserve">scan’s signal-adjusted target</w:t>
      </w:r>
      <w:r>
        <w:t xml:space="preserve"> </w:t>
      </w:r>
      <w:r>
        <w:t xml:space="preserve">(your plan</w:t>
      </w:r>
      <w:r>
        <w:t xml:space="preserve"> </w:t>
      </w:r>
      <w:r>
        <w:t xml:space="preserve">weight × thesis-Opportunity × regime —</w:t>
      </w:r>
      <w:r>
        <w:t xml:space="preserve"> </w:t>
      </w:r>
      <w:r>
        <w:rPr>
          <w:rStyle w:val="VerbatimChar"/>
        </w:rPr>
        <w:t xml:space="preserve">signals.json.rebalance.signal</w:t>
      </w:r>
      <w:r>
        <w:t xml:space="preserve">), so when the committee marks a</w:t>
      </w:r>
      <w:r>
        <w:t xml:space="preserve"> </w:t>
      </w:r>
      <w:r>
        <w:t xml:space="preserve">scarcity</w:t>
      </w:r>
      <w:r>
        <w:t xml:space="preserve"> </w:t>
      </w:r>
      <w:r>
        <w:rPr>
          <w:bCs/>
          <w:b/>
        </w:rPr>
        <w:t xml:space="preserve">crowded</w:t>
      </w:r>
      <w:r>
        <w:t xml:space="preserve"> </w:t>
      </w:r>
      <w:r>
        <w:t xml:space="preserve">the next scan shrinks that name’s weight → a</w:t>
      </w:r>
      <w:r>
        <w:t xml:space="preserve"> </w:t>
      </w:r>
      <w:r>
        <w:rPr>
          <w:bCs/>
          <w:b/>
        </w:rPr>
        <w:t xml:space="preserve">smaller buy</w:t>
      </w:r>
      <w:r>
        <w:t xml:space="preserve"> </w:t>
      </w:r>
      <w:r>
        <w:t xml:space="preserve">here. A name held across</w:t>
      </w:r>
      <w:r>
        <w:t xml:space="preserve"> </w:t>
      </w:r>
      <w:r>
        <w:t xml:space="preserve">more than one account is the</w:t>
      </w:r>
      <w:r>
        <w:t xml:space="preserve"> </w:t>
      </w:r>
      <w:r>
        <w:rPr>
          <w:bCs/>
          <w:b/>
        </w:rPr>
        <w:t xml:space="preserve">sum</w:t>
      </w:r>
      <w:r>
        <w:t xml:space="preserve"> </w:t>
      </w:r>
      <w:r>
        <w:t xml:space="preserve">of its per-account signal rows (so a split position isn’t undercounted).</w:t>
      </w:r>
      <w:r>
        <w:t xml:space="preserve"> </w:t>
      </w:r>
      <w:r>
        <w:t xml:space="preserve">Diversifier names keep their funding weights; offline it falls back to plan weights.</w:t>
      </w:r>
    </w:p>
    <w:p>
      <w:pPr>
        <w:pStyle w:val="BodyText"/>
      </w:pPr>
      <w:r>
        <w:rPr>
          <w:bCs/>
          <w:b/>
        </w:rPr>
        <w:t xml:space="preserve">As you accept PRs:</w:t>
      </w:r>
      <w:r>
        <w:t xml:space="preserve"> </w:t>
      </w:r>
      <w:r>
        <w:t xml:space="preserve">the plan always reads your live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, so any portfolio-changing PR</w:t>
      </w:r>
      <w:r>
        <w:t xml:space="preserve"> </w:t>
      </w:r>
      <w:r>
        <w:t xml:space="preserve">re-reviews it. While the diversifier funding PR is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it previews the funded target; once you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it, those names are in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 the plan uses it as-is (it won’t double-count). The</w:t>
      </w:r>
      <w:r>
        <w:t xml:space="preserve"> </w:t>
      </w:r>
      <w:r>
        <w:t xml:space="preserve">build-out’s plan is changed by editing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— research/scout PRs edit the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scarcities.json</w:t>
      </w:r>
      <w:r>
        <w:t xml:space="preserve">), not your holdings.</w:t>
      </w:r>
    </w:p>
    <w:p>
      <w:pPr>
        <w:pStyle w:val="BodyText"/>
      </w:pPr>
      <w:r>
        <w:t xml:space="preserve">Inline inputs (browser-stored; defaults 35% / 20yr) — so you never tell anyone your tax rate ahead of time: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$ / Traditional $ / Taxable $</w:t>
      </w:r>
      <w:r>
        <w:t xml:space="preserve"> </w:t>
      </w:r>
      <w:r>
        <w:t xml:space="preserve">— your</w:t>
      </w:r>
      <w:r>
        <w:t xml:space="preserve"> </w:t>
      </w:r>
      <w:r>
        <w:rPr>
          <w:bCs/>
          <w:b/>
        </w:rPr>
        <w:t xml:space="preserve">total balance</w:t>
      </w:r>
      <w:r>
        <w:t xml:space="preserve"> </w:t>
      </w:r>
      <w:r>
        <w:t xml:space="preserve">in each account (deployable capacity).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Marginal % · Horizon yr</w:t>
      </w:r>
      <w:r>
        <w:t xml:space="preserve"> </w:t>
      </w:r>
      <w:r>
        <w:t xml:space="preserve">— drive the after-tax multiples.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(own elsewhere)</w:t>
      </w:r>
      <w:r>
        <w:t xml:space="preserve"> </w:t>
      </w:r>
      <w:r>
        <w:t xml:space="preserve">— tickers you already hold in your broader portfolio (e.g. </w:t>
      </w:r>
      <w:r>
        <w:rPr>
          <w:rStyle w:val="VerbatimChar"/>
        </w:rPr>
        <w:t xml:space="preserve">SMH</w:t>
      </w:r>
      <w:r>
        <w:t xml:space="preserve">); they’re</w:t>
      </w:r>
      <w:r>
        <w:t xml:space="preserve"> </w:t>
      </w:r>
      <w:r>
        <w:t xml:space="preserve">dropped and the remaining weights renormalized.</w:t>
      </w:r>
    </w:p>
    <w:p>
      <w:pPr>
        <w:pStyle w:val="BodyText"/>
      </w:pPr>
      <w:r>
        <w:t xml:space="preserve">Until you split Roth vs Traditional it runs a 2-way (tax-advantaged vs taxable) split and says so.</w:t>
      </w:r>
    </w:p>
    <w:p>
      <w:pPr>
        <w:pStyle w:val="BlockText"/>
      </w:pPr>
      <w:r>
        <w:rPr>
          <w:bCs/>
          <w:b/>
        </w:rPr>
        <w:t xml:space="preserve">If the plan ever sticks 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Loading…</w:t>
      </w:r>
      <w:r>
        <w:rPr>
          <w:bCs/>
          <w:b/>
        </w:rPr>
        <w:t xml:space="preserve">”</w:t>
      </w:r>
      <w:r>
        <w:t xml:space="preserve"> </w:t>
      </w:r>
      <w:r>
        <w:t xml:space="preserve">with your balances entered, your browser is holding a stale</w:t>
      </w:r>
      <w:r>
        <w:t xml:space="preserve"> </w:t>
      </w:r>
      <w:r>
        <w:t xml:space="preserve">cached copy of the planner module —</w:t>
      </w:r>
      <w:r>
        <w:t xml:space="preserve"> </w:t>
      </w:r>
      <w:r>
        <w:rPr>
          <w:bCs/>
          <w:b/>
        </w:rPr>
        <w:t xml:space="preserve">pull to refresh</w:t>
      </w:r>
      <w:r>
        <w:t xml:space="preserve"> </w:t>
      </w:r>
      <w:r>
        <w:t xml:space="preserve">(or clear this site’s data / open a private tab).</w:t>
      </w:r>
      <w:r>
        <w:t xml:space="preserve"> </w:t>
      </w:r>
      <w:r>
        <w:t xml:space="preserve">Static assets now send a revalidate header so this self-heals on a fresh load.</w:t>
      </w:r>
    </w:p>
    <w:p>
      <w:pPr>
        <w:pStyle w:val="FirstParagraph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contributions, or estate plan. Inputs live only in your</w:t>
      </w:r>
      <w:r>
        <w:t xml:space="preserve"> </w:t>
      </w:r>
      <w:r>
        <w:t xml:space="preserve">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7375921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75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model floor @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market −</w:t>
      </w:r>
      <w:r>
        <w:rPr>
          <w:bCs/>
          <w:b/>
        </w:rPr>
        <w:t xml:space="preserve"> </w:t>
      </w:r>
      <w:r>
        <w:rPr>
          <w:bCs/>
          <w:b/>
        </w:rPr>
        <w:t xml:space="preserve">floor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p>
      <w:pPr>
        <w:pStyle w:val="BlockText"/>
      </w:pPr>
      <w:r>
        <w:t xml:space="preserve">The realized-vol value is a</w:t>
      </w:r>
      <w:r>
        <w:t xml:space="preserve"> </w:t>
      </w:r>
      <w:r>
        <w:rPr>
          <w:bCs/>
          <w:b/>
        </w:rPr>
        <w:t xml:space="preserve">floor, not the price you’ll pay</w:t>
      </w:r>
      <w:r>
        <w:t xml:space="preserve"> </w:t>
      </w:r>
      <w:r>
        <w:t xml:space="preserve">— for out-of-the-money puts (the</w:t>
      </w:r>
      <w:r>
        <w:t xml:space="preserve"> </w:t>
      </w:r>
      <w:r>
        <w:t xml:space="preserve">tail-hedge case) real premiums trade</w:t>
      </w:r>
      <w:r>
        <w:t xml:space="preserve"> </w:t>
      </w:r>
      <w:r>
        <w:rPr>
          <w:iCs/>
          <w:i/>
        </w:rPr>
        <w:t xml:space="preserve">richer</w:t>
      </w:r>
      <w:r>
        <w:t xml:space="preserve"> </w:t>
      </w:r>
      <w:r>
        <w:t xml:space="preserve">than realized vol implies (downside skew + variance</w:t>
      </w:r>
      <w:r>
        <w:t xml:space="preserve"> </w:t>
      </w:r>
      <w:r>
        <w:t xml:space="preserve">premium), so don’t budget a hedge off it. If the suggested structure involves a</w:t>
      </w:r>
      <w:r>
        <w:t xml:space="preserve"> </w:t>
      </w:r>
      <w:r>
        <w:rPr>
          <w:bCs/>
          <w:b/>
        </w:rPr>
        <w:t xml:space="preserve">collar or short</w:t>
      </w:r>
      <w:r>
        <w:rPr>
          <w:bCs/>
          <w:b/>
        </w:rPr>
        <w:t xml:space="preserve"> </w:t>
      </w:r>
      <w:r>
        <w:rPr>
          <w:bCs/>
          <w:b/>
        </w:rPr>
        <w:t xml:space="preserve">call</w:t>
      </w:r>
      <w:r>
        <w:t xml:space="preserve"> </w:t>
      </w:r>
      <w:r>
        <w:t xml:space="preserve">on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low-basis lot, the panel flags</w:t>
      </w:r>
      <w:r>
        <w:t xml:space="preserve"> </w:t>
      </w:r>
      <w:r>
        <w:rPr>
          <w:bCs/>
          <w:b/>
        </w:rPr>
        <w:t xml:space="preserve">IRC §1259 / §1092 / QDI</w:t>
      </w:r>
      <w:r>
        <w:t xml:space="preserve"> </w:t>
      </w:r>
      <w:r>
        <w:t xml:space="preserve">tax risk — confirm</w:t>
      </w:r>
      <w:r>
        <w:t xml:space="preserve"> </w:t>
      </w:r>
      <w:r>
        <w:t xml:space="preserve">with your CPA before writing calls against taxable anchors. See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 </w:t>
      </w:r>
      <w:r>
        <w:t xml:space="preserve">for how</w:t>
      </w:r>
      <w:r>
        <w:t xml:space="preserve"> </w:t>
      </w:r>
      <w:r>
        <w:t xml:space="preserve">options fit (last and least) into this book’s −35% defense.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(Roth / Traditional IRA /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 cash</w:t>
      </w:r>
      <w:r>
        <w:t xml:space="preserve">. The account you pick feeds the position-aware rebalance (§4.10) — selling inside</w:t>
      </w:r>
      <w:r>
        <w:t xml:space="preserve"> </w:t>
      </w:r>
      <w:r>
        <w:t xml:space="preserve">Roth/Traditional is free, taxable lots are buy-and-hold.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2026-06-03T02:35:27Z</dcterms:created>
  <dcterms:modified xsi:type="dcterms:W3CDTF">2026-06-03T02:35:27Z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