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(deploy into</w:t>
      </w:r>
      <w:r>
        <w:t xml:space="preserve"> </w:t>
      </w:r>
      <w:r>
        <w:t xml:space="preserve">the drawdown trigger, not now) or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(deploy on schedule), and whether</w:t>
      </w:r>
      <w:r>
        <w:t xml:space="preserve"> </w:t>
      </w:r>
      <w:r>
        <w:rPr>
          <w:bCs/>
          <w:b/>
        </w:rPr>
        <w:t xml:space="preserve">⚡ fast re-entry is armed</w:t>
      </w:r>
      <w:r>
        <w:t xml:space="preserve"> </w:t>
      </w:r>
      <w:r>
        <w:t xml:space="preserve">(a breadth thrust cleared the brake). The buy weights themselves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in the IRA sleeve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in a risk-on posture, trims bite in any posture, and the</w:t>
      </w:r>
      <w:r>
        <w:t xml:space="preserve"> </w:t>
      </w:r>
      <w:r>
        <w:t xml:space="preserve">taxable sleeve stays buy-and-hold. So both the</w:t>
      </w:r>
      <w:r>
        <w:t xml:space="preserve"> </w:t>
      </w:r>
      <w:r>
        <w:rPr>
          <w:bCs/>
          <w:b/>
        </w:rPr>
        <w:t xml:space="preserve">pace</w:t>
      </w:r>
      <w:r>
        <w:t xml:space="preserve"> </w:t>
      </w:r>
      <w:r>
        <w:t xml:space="preserve">(banner + the Radar’s ⏳/✚ forced-flow badges)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(the weights) reflect the brake + fast-re-entry — the timing layer is wired through end to end.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2026-06-03T04:42:56Z</dcterms:created>
  <dcterms:modified xsi:type="dcterms:W3CDTF">2026-06-03T04:42:56Z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