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70.png" ContentType="image/png"/>
  <Override PartName="/word/media/rId28.svgz" ContentType="image/svg+xml"/>
  <Override PartName="/word/media/rId66.png" ContentType="image/png"/>
  <Override PartName="/word/media/rId20.png" ContentType="image/png"/>
  <Override PartName="/word/media/rId41.png" ContentType="image/png"/>
  <Override PartName="/word/media/rId37.png" ContentType="image/png"/>
  <Override PartName="/word/media/rId74.png" ContentType="image/png"/>
  <Override PartName="/word/media/rId24.svgz" ContentType="image/svg+xml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4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026378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26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5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5" name="Picture"/>
            <a:graphic>
              <a:graphicData uri="http://schemas.openxmlformats.org/drawingml/2006/picture">
                <pic:pic>
                  <pic:nvPicPr>
                    <pic:cNvPr descr="img/workflo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is a bigger decision than a single scarcity, so it goes through the</w:t>
      </w:r>
      <w:r>
        <w:t xml:space="preserve"> </w:t>
      </w:r>
      <w:r>
        <w:rPr>
          <w:bCs/>
          <w:b/>
        </w:rPr>
        <w:t xml:space="preserve">axis-check</w:t>
      </w:r>
      <w:r>
        <w:t xml:space="preserve"> </w:t>
      </w:r>
      <w:r>
        <w:t xml:space="preserve">workflow</w:t>
      </w:r>
      <w:r>
        <w:t xml:space="preserve"> </w:t>
      </w:r>
      <w:r>
        <w:t xml:space="preserve">(manual — Actions → axis-check) which back-tests candidate baskets apples-to-apples before any are curated in. That’s</w:t>
      </w:r>
      <w:r>
        <w:t xml:space="preserve"> </w:t>
      </w:r>
      <w:r>
        <w:t xml:space="preserve">how the second (diversifier) axis was chosen. Diversifiers then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AI-capex ranking and sizing</w:t>
      </w:r>
      <w:r>
        <w:t xml:space="preserve"> </w:t>
      </w:r>
      <w:r>
        <w:t xml:space="preserve">— they</w:t>
      </w:r>
      <w:r>
        <w:t xml:space="preserve"> </w:t>
      </w:r>
      <w:r>
        <w:t xml:space="preserve">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2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AI-capex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29" name="Picture"/>
            <a:graphic>
              <a:graphicData uri="http://schemas.openxmlformats.org/drawingml/2006/picture">
                <pic:pic>
                  <pic:nvPicPr>
                    <pic:cNvPr descr="img/diversifier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rPr>
          <w:iCs/>
          <w:i/>
        </w:rPr>
        <w:t xml:space="preserve">(live)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non-positive</w:t>
      </w:r>
      <w:r>
        <w:rPr>
          <w:bCs/>
          <w:b/>
        </w:rPr>
        <w:t xml:space="preserve"> </w:t>
      </w:r>
      <w:r>
        <w:rPr>
          <w:bCs/>
          <w:b/>
        </w:rPr>
        <w:t xml:space="preserve">AI-capex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rPr>
          <w:iCs/>
          <w:i/>
        </w:rPr>
        <w:t xml:space="preserve">(design)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0–1. It keeps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gate-qualifiers (conviction tilts the weights, it doesn’t prune).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rPr>
          <w:iCs/>
          <w:i/>
        </w:rPr>
        <w:t xml:space="preserve">(design)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 → plan</w:t>
      </w:r>
      <w:r>
        <w:t xml:space="preserve"> </w:t>
      </w:r>
      <w:r>
        <w:rPr>
          <w:iCs/>
          <w:i/>
        </w:rPr>
        <w:t xml:space="preserve">(design)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human-merged PR</w:t>
      </w:r>
      <w:r>
        <w:t xml:space="preserve"> </w:t>
      </w:r>
      <w:r>
        <w:t xml:space="preserve">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). You then place the trades. As everywhere,</w:t>
      </w:r>
      <w:r>
        <w:t xml:space="preserve"> </w:t>
      </w:r>
      <w:r>
        <w:rPr>
          <w:bCs/>
          <w:b/>
        </w:rPr>
        <w:t xml:space="preserve">Puck never trades or edits your real book.</w:t>
      </w:r>
    </w:p>
    <w:p>
      <w:pPr>
        <w:pStyle w:val="FirstParagraph"/>
      </w:pPr>
      <w:r>
        <w:rPr>
          <w:iCs/>
          <w:i/>
        </w:rPr>
        <w:t xml:space="preserve">Status: the screen (step 1) is built; the committee + plan-PR (steps 2–4) are the agreed design.</w:t>
      </w:r>
    </w:p>
    <w:bookmarkEnd w:id="32"/>
    <w:bookmarkStart w:id="33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Axis-check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axis-check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(manual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axis-check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(run log / summary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run</w:t>
            </w:r>
            <w:r>
              <w:t xml:space="preserve"> </w:t>
            </w:r>
            <w:r>
              <w:rPr>
                <w:bCs/>
                <w:b/>
              </w:rPr>
              <w:t xml:space="preserve">Summary</w:t>
            </w:r>
            <w:r>
              <w:t xml:space="preserve"> </w:t>
            </w:r>
            <w:r>
              <w:t xml:space="preserve">(no UI tab)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3"/>
    <w:bookmarkStart w:id="34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36"/>
    <w:bookmarkStart w:id="40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030545"/>
            <wp:effectExtent b="0" l="0" r="0" t="0"/>
            <wp:docPr descr="Scarcity radar" title="" id="38" name="Picture"/>
            <a:graphic>
              <a:graphicData uri="http://schemas.openxmlformats.org/drawingml/2006/picture">
                <pic:pic>
                  <pic:nvPicPr>
                    <pic:cNvPr descr="img/radar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30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55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7827228"/>
            <wp:effectExtent b="0" l="0" r="0" t="0"/>
            <wp:docPr descr="Portfolio and triggers" title="" id="42" name="Picture"/>
            <a:graphic>
              <a:graphicData uri="http://schemas.openxmlformats.org/drawingml/2006/picture">
                <pic:pic>
                  <pic:nvPicPr>
                    <pic:cNvPr descr="img/portfolio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27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what to change</w:t>
      </w:r>
      <w:r>
        <w:t xml:space="preserve">: the rebalance plan (with the tactical IRA tilts folded in) and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§4.8, §4.9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4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4"/>
    <w:bookmarkStart w:id="45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5"/>
    <w:bookmarkStart w:id="46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46"/>
    <w:bookmarkStart w:id="47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47"/>
    <w:bookmarkStart w:id="48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AI-capex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bookmarkEnd w:id="48"/>
    <w:bookmarkStart w:id="49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AI-capex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49"/>
    <w:bookmarkStart w:id="50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0"/>
    <w:bookmarkStart w:id="51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1"/>
    <w:bookmarkStart w:id="52" w:name="holdings-table"/>
    <w:p>
      <w:pPr>
        <w:pStyle w:val="Heading3"/>
      </w:pPr>
      <w:r>
        <w:t xml:space="preserve">4.4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52"/>
    <w:bookmarkStart w:id="53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3"/>
    <w:bookmarkStart w:id="54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4"/>
    <w:bookmarkEnd w:id="55"/>
    <w:bookmarkStart w:id="59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56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56"/>
    <w:bookmarkStart w:id="57" w:name="suggested-ira-tilts"/>
    <w:p>
      <w:pPr>
        <w:pStyle w:val="Heading3"/>
      </w:pPr>
      <w:r>
        <w:t xml:space="preserve">4.8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57"/>
    <w:bookmarkStart w:id="58" w:name="Xbceddce322048c5d80798aee7cf845116272575"/>
    <w:p>
      <w:pPr>
        <w:pStyle w:val="Heading3"/>
      </w:pPr>
      <w:r>
        <w:t xml:space="preserve">4.9 Rebalance plan (G3 — volatility-tilted target weights → buy/sell)</w:t>
      </w:r>
    </w:p>
    <w:p>
      <w:pPr>
        <w:pStyle w:val="FirstParagraph"/>
      </w:pPr>
      <w:r>
        <w:t xml:space="preserve">The fuller allocation engine: 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58"/>
    <w:bookmarkEnd w:id="59"/>
    <w:bookmarkStart w:id="60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0"/>
    <w:bookmarkStart w:id="61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1"/>
    <w:bookmarkStart w:id="65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6509146"/>
            <wp:effectExtent b="0" l="0" r="0" t="0"/>
            <wp:docPr descr="Filings and news" title="" id="63" name="Picture"/>
            <a:graphic>
              <a:graphicData uri="http://schemas.openxmlformats.org/drawingml/2006/picture">
                <pic:pic>
                  <pic:nvPicPr>
                    <pic:cNvPr descr="img/catalyst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09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65"/>
    <w:bookmarkStart w:id="69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67" name="Picture"/>
            <a:graphic>
              <a:graphicData uri="http://schemas.openxmlformats.org/drawingml/2006/picture">
                <pic:pic>
                  <pic:nvPicPr>
                    <pic:cNvPr descr="img/option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69"/>
    <w:bookmarkStart w:id="73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71" name="Picture"/>
            <a:graphic>
              <a:graphicData uri="http://schemas.openxmlformats.org/drawingml/2006/picture">
                <pic:pic>
                  <pic:nvPicPr>
                    <pic:cNvPr descr="img/diges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3"/>
    <w:bookmarkStart w:id="79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75" name="Picture"/>
            <a:graphic>
              <a:graphicData uri="http://schemas.openxmlformats.org/drawingml/2006/picture">
                <pic:pic>
                  <pic:nvPicPr>
                    <pic:cNvPr descr="img/settings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77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77"/>
    <w:bookmarkStart w:id="78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0"/>
    <w:bookmarkStart w:id="81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1"/>
    <w:bookmarkStart w:id="82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2"/>
    <w:bookmarkStart w:id="83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2" Target="media/rId62.png" /><Relationship Type="http://schemas.openxmlformats.org/officeDocument/2006/relationships/image" Id="rId70" Target="media/rId70.png" /><Relationship Type="http://schemas.openxmlformats.org/officeDocument/2006/relationships/image" Id="rId28" Target="media/rId28.svgz" /><Relationship Type="http://schemas.openxmlformats.org/officeDocument/2006/relationships/image" Id="rId66" Target="media/rId66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4" Target="media/rId74.png" /><Relationship Type="http://schemas.openxmlformats.org/officeDocument/2006/relationships/image" Id="rId24" Target="media/rId24.svgz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2026-06-01T20:57:06Z</dcterms:created>
  <dcterms:modified xsi:type="dcterms:W3CDTF">2026-06-01T20:57:06Z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