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(QQQ + the deepest semis holdings MU/SMH,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 re-entry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tests the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side: the breadth-based fast-entry overlay (re-risk when ≥60% of names reclaim their 20-DMA) vs a plain brake, with a</w:t>
      </w:r>
      <w:r>
        <w:t xml:space="preserve"> </w:t>
      </w:r>
      <w:r>
        <w:rPr>
          <w:bCs/>
          <w:b/>
        </w:rPr>
        <w:t xml:space="preserve">worth it / not worth it</w:t>
      </w:r>
      <w:r>
        <w:t xml:space="preserve"> </w:t>
      </w:r>
      <w:r>
        <w:t xml:space="preserve">verdict on whether re-entering early captures more recovery without giving back the drawdown protection. Both are methodology evidence,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backtest of your exact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2026-06-03T03:46:46Z</dcterms:created>
  <dcterms:modified xsi:type="dcterms:W3CDTF">2026-06-03T03:46:46Z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