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59.png" ContentType="image/png"/>
  <Override PartName="/word/media/rId55.png" ContentType="image/png"/>
  <Override PartName="/word/media/rId20.png" ContentType="image/png"/>
  <Override PartName="/word/media/rId33.png" ContentType="image/png"/>
  <Override PartName="/word/media/rId25.png" ContentType="image/png"/>
  <Override PartName="/word/media/rId6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73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9392840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2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§9).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1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(§9.2–9.3) to enable the AI digest and extra data cross-checks.</w:t>
      </w:r>
    </w:p>
    <w:p>
      <w:pPr>
        <w:numPr>
          <w:ilvl w:val="0"/>
          <w:numId w:val="1001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24"/>
    <w:bookmarkStart w:id="28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9397007"/>
            <wp:effectExtent b="0" l="0" r="0" t="0"/>
            <wp:docPr descr="Scarcity radar" title="" id="26" name="Picture"/>
            <a:graphic>
              <a:graphicData uri="http://schemas.openxmlformats.org/drawingml/2006/picture">
                <pic:pic>
                  <pic:nvPicPr>
                    <pic:cNvPr descr="img/rada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97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AI-capex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2" w:name="timeline"/>
    <w:p>
      <w:pPr>
        <w:pStyle w:val="Heading2"/>
      </w:pPr>
      <w:r>
        <w:t xml:space="preserve">4. Timeline</w:t>
      </w:r>
    </w:p>
    <w:p>
      <w:pPr>
        <w:pStyle w:val="CaptionedFigure"/>
      </w:pPr>
      <w:r>
        <w:drawing>
          <wp:inline>
            <wp:extent cx="5334000" cy="5167312"/>
            <wp:effectExtent b="0" l="0" r="0" t="0"/>
            <wp:docPr descr="Timeline" title="" id="30" name="Picture"/>
            <a:graphic>
              <a:graphicData uri="http://schemas.openxmlformats.org/drawingml/2006/picture">
                <pic:pic>
                  <pic:nvPicPr>
                    <pic:cNvPr descr="img/timelin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7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Timeline</w:t>
      </w:r>
    </w:p>
    <w:p>
      <w:pPr>
        <w:pStyle w:val="BodyText"/>
      </w:pPr>
      <w:r>
        <w:t xml:space="preserve">The same scarcities,</w:t>
      </w:r>
      <w:r>
        <w:t xml:space="preserve"> </w:t>
      </w:r>
      <w:r>
        <w:rPr>
          <w:bCs/>
          <w:b/>
        </w:rPr>
        <w:t xml:space="preserve">bucketed by when they bind</w:t>
      </w:r>
      <w:r>
        <w:t xml:space="preserve"> </w:t>
      </w:r>
      <w:r>
        <w:t xml:space="preserve">(now → 2027 → 2028-29 → 2030+ → physics floor),</w:t>
      </w:r>
      <w:r>
        <w:t xml:space="preserve"> </w:t>
      </w:r>
      <w:r>
        <w:t xml:space="preserve">each tagged with its priced-in level. Use it to see</w:t>
      </w:r>
      <w:r>
        <w:t xml:space="preserve"> </w:t>
      </w:r>
      <w:r>
        <w:rPr>
          <w:iCs/>
          <w:i/>
        </w:rPr>
        <w:t xml:space="preserve">sequencing</w:t>
      </w:r>
      <w:r>
        <w:t xml:space="preserve"> </w:t>
      </w:r>
      <w:r>
        <w:t xml:space="preserve">— what bites first and what’s a</w:t>
      </w:r>
      <w:r>
        <w:t xml:space="preserve"> </w:t>
      </w:r>
      <w:r>
        <w:t xml:space="preserve">longer-dated, more certain deficit (e.g., copper).</w:t>
      </w:r>
    </w:p>
    <w:p>
      <w:r>
        <w:pict>
          <v:rect style="width:0;height:1.5pt" o:hralign="center" o:hrstd="t" o:hr="t"/>
        </w:pict>
      </w:r>
    </w:p>
    <w:bookmarkEnd w:id="32"/>
    <w:bookmarkStart w:id="45" w:name="portfolio-triggers"/>
    <w:p>
      <w:pPr>
        <w:pStyle w:val="Heading2"/>
      </w:pPr>
      <w:r>
        <w:t xml:space="preserve">5. Portfolio &amp; triggers</w:t>
      </w:r>
    </w:p>
    <w:p>
      <w:pPr>
        <w:pStyle w:val="CaptionedFigure"/>
      </w:pPr>
      <w:r>
        <w:drawing>
          <wp:inline>
            <wp:extent cx="5334000" cy="12730757"/>
            <wp:effectExtent b="0" l="0" r="0" t="0"/>
            <wp:docPr descr="Portfolio and triggers" title="" id="34" name="Picture"/>
            <a:graphic>
              <a:graphicData uri="http://schemas.openxmlformats.org/drawingml/2006/picture">
                <pic:pic>
                  <pic:nvPicPr>
                    <pic:cNvPr descr="img/portfolio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730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bookmarkStart w:id="36" w:name="timing-posture-the-regime"/>
    <w:p>
      <w:pPr>
        <w:pStyle w:val="Heading3"/>
      </w:pPr>
      <w:r>
        <w:t xml:space="preserve">5.1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36"/>
    <w:bookmarkStart w:id="37" w:name="a-dislocation-timing-v2.3-cross-check"/>
    <w:p>
      <w:pPr>
        <w:pStyle w:val="Heading3"/>
      </w:pPr>
      <w:r>
        <w:t xml:space="preserve">5.1a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3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37"/>
    <w:bookmarkStart w:id="38" w:name="b-objective-scorecard"/>
    <w:p>
      <w:pPr>
        <w:pStyle w:val="Heading3"/>
      </w:pPr>
      <w:r>
        <w:t xml:space="preserve">5.1b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</w:t>
      </w:r>
    </w:p>
    <w:bookmarkEnd w:id="38"/>
    <w:bookmarkStart w:id="39" w:name="c-track-record-self-grading"/>
    <w:p>
      <w:pPr>
        <w:pStyle w:val="Heading3"/>
      </w:pPr>
      <w:r>
        <w:t xml:space="preserve">5.1c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AI-capex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39"/>
    <w:bookmarkStart w:id="40" w:name="summary-cards"/>
    <w:p>
      <w:pPr>
        <w:pStyle w:val="Heading3"/>
      </w:pPr>
      <w:r>
        <w:t xml:space="preserve">5.2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§11).</w:t>
      </w:r>
    </w:p>
    <w:bookmarkEnd w:id="40"/>
    <w:bookmarkStart w:id="41" w:name="triggers"/>
    <w:p>
      <w:pPr>
        <w:pStyle w:val="Heading3"/>
      </w:pPr>
      <w:r>
        <w:t xml:space="preserve">5.3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(§11).</w:t>
      </w:r>
    </w:p>
    <w:bookmarkEnd w:id="41"/>
    <w:bookmarkStart w:id="42" w:name="holdings-table"/>
    <w:p>
      <w:pPr>
        <w:pStyle w:val="Heading3"/>
      </w:pPr>
      <w:r>
        <w:t xml:space="preserve">5.4 Holdings table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Cs/>
          <w:b/>
        </w:rPr>
        <w:t xml:space="preserve">target plan</w:t>
      </w:r>
      <w:r>
        <w:t xml:space="preserve">: account, target $, weight,</w:t>
      </w:r>
      <w:r>
        <w:t xml:space="preserve"> </w:t>
      </w:r>
      <w:r>
        <w:rPr>
          <w:bCs/>
          <w:b/>
        </w:rPr>
        <w:t xml:space="preserve">tier</w:t>
      </w:r>
      <w:r>
        <w:t xml:space="preserve"> </w:t>
      </w:r>
      <w:r>
        <w:t xml:space="preserve">(deployment pace), live price, YTD,</w:t>
      </w:r>
      <w:r>
        <w:t xml:space="preserve"> </w:t>
      </w:r>
      <w:r>
        <w:rPr>
          <w:bCs/>
          <w:b/>
        </w:rPr>
        <w:t xml:space="preserve">% off high</w:t>
      </w:r>
      <w:r>
        <w:t xml:space="preserve">,</w:t>
      </w:r>
      <w:r>
        <w:t xml:space="preserve"> </w:t>
      </w:r>
      <w:r>
        <w:rPr>
          <w:bCs/>
          <w:b/>
        </w:rPr>
        <w:t xml:space="preserve">vs 200-DMA</w:t>
      </w:r>
      <w:r>
        <w:t xml:space="preserve"> </w:t>
      </w:r>
      <w:r>
        <w:t xml:space="preserve">(trend), and</w:t>
      </w:r>
      <w:r>
        <w:t xml:space="preserve"> </w:t>
      </w:r>
      <w:r>
        <w:rPr>
          <w:bCs/>
          <w:b/>
        </w:rPr>
        <w:t xml:space="preserve">Fwd P/E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went up a lot ≠ expensive</w:t>
      </w:r>
      <w:r>
        <w:t xml:space="preserve">”</w:t>
      </w:r>
      <w:r>
        <w:t xml:space="preserve"> </w:t>
      </w:r>
      <w:r>
        <w:t xml:space="preserve">check; skipped</w:t>
      </w:r>
      <w:r>
        <w:t xml:space="preserve"> </w:t>
      </w:r>
      <w:r>
        <w:t xml:space="preserve">for ETFs). A</w:t>
      </w:r>
      <w:r>
        <w:t xml:space="preserve"> </w:t>
      </w:r>
      <w:r>
        <w:rPr>
          <w:bCs/>
          <w:b/>
        </w:rPr>
        <w:t xml:space="preserve">⚠</w:t>
      </w:r>
      <w:r>
        <w:t xml:space="preserve"> </w:t>
      </w:r>
      <w:r>
        <w:t xml:space="preserve">next to a ticker means a data-quality flag (divergent sources, a big jump, or a stale</w:t>
      </w:r>
      <w:r>
        <w:t xml:space="preserve"> </w:t>
      </w:r>
      <w:r>
        <w:t xml:space="preserve">quote — hover to see why).</w:t>
      </w:r>
    </w:p>
    <w:p>
      <w:pPr>
        <w:pStyle w:val="BodyText"/>
      </w:pPr>
      <w:r>
        <w:rPr>
          <w:bCs/>
          <w:b/>
        </w:rPr>
        <w:t xml:space="preserve">Tiers:</w:t>
      </w:r>
      <w:r>
        <w:t xml:space="preserve"> </w:t>
      </w:r>
      <w:r>
        <w:t xml:space="preserve">A = 100% now · B = 50% now + months 1–3 · C = 25% now + DCA to month 9 · D = small option</w:t>
      </w:r>
      <w:r>
        <w:t xml:space="preserve"> </w:t>
      </w:r>
      <w:r>
        <w:t xml:space="preserve">sleeve · DRY = cash held for triggers.</w:t>
      </w:r>
    </w:p>
    <w:bookmarkEnd w:id="42"/>
    <w:bookmarkStart w:id="43" w:name="your-holdings-live"/>
    <w:p>
      <w:pPr>
        <w:pStyle w:val="Heading3"/>
      </w:pPr>
      <w:r>
        <w:t xml:space="preserve">5.5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43"/>
    <w:bookmarkStart w:id="44" w:name="dca-progress"/>
    <w:p>
      <w:pPr>
        <w:pStyle w:val="Heading3"/>
      </w:pPr>
      <w:r>
        <w:t xml:space="preserve">5.6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44"/>
    <w:bookmarkEnd w:id="45"/>
    <w:bookmarkStart w:id="48" w:name="Xb1e0b37cd2cec0cdc4f078d3157da65985b98c8"/>
    <w:p>
      <w:pPr>
        <w:pStyle w:val="Heading2"/>
      </w:pPr>
      <w:r>
        <w:t xml:space="preserve">5b.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AI-capex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46" w:name="stress-test"/>
    <w:p>
      <w:pPr>
        <w:pStyle w:val="Heading3"/>
      </w:pPr>
      <w:r>
        <w:t xml:space="preserve">5.7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AI-capex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46"/>
    <w:bookmarkStart w:id="47" w:name="suggested-ira-tilts"/>
    <w:p>
      <w:pPr>
        <w:pStyle w:val="Heading3"/>
      </w:pPr>
      <w:r>
        <w:t xml:space="preserve">5.8 Suggested IRA tilts</w:t>
      </w:r>
    </w:p>
    <w:p>
      <w:pPr>
        <w:pStyle w:val="FirstParagraph"/>
      </w:pPr>
      <w:r>
        <w:t xml:space="preserve">The last mile from analysis to allocation: per-name</w:t>
      </w:r>
      <w:r>
        <w:t xml:space="preserve"> </w:t>
      </w:r>
      <w:r>
        <w:rPr>
          <w:bCs/>
          <w:b/>
        </w:rPr>
        <w:t xml:space="preserve">TSMOM tilt × regime</w:t>
      </w:r>
      <w:r>
        <w:t xml:space="preserve"> </w:t>
      </w:r>
      <w:r>
        <w:t xml:space="preserve">→ concrete, bounded (±25%)</w:t>
      </w:r>
      <w:r>
        <w:t xml:space="preserve"> </w:t>
      </w:r>
      <w:r>
        <w:t xml:space="preserve">weight deltas.</w:t>
      </w:r>
      <w:r>
        <w:t xml:space="preserve"> </w:t>
      </w:r>
      <w:r>
        <w:rPr>
          <w:bCs/>
          <w:b/>
        </w:rPr>
        <w:t xml:space="preserve">Add</w:t>
      </w:r>
      <w:r>
        <w:t xml:space="preserve"> </w:t>
      </w:r>
      <w:r>
        <w:t xml:space="preserve">overweights only in a risk-on regime;</w:t>
      </w:r>
      <w:r>
        <w:t xml:space="preserve"> </w:t>
      </w:r>
      <w:r>
        <w:rPr>
          <w:bCs/>
          <w:b/>
        </w:rPr>
        <w:t xml:space="preserve">trim</w:t>
      </w:r>
      <w:r>
        <w:t xml:space="preserve"> </w:t>
      </w:r>
      <w:r>
        <w:t xml:space="preserve">underweights in any regime;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 buy-and-hold. Graded over time by the Track record. Not advice.</w:t>
      </w:r>
    </w:p>
    <w:bookmarkEnd w:id="47"/>
    <w:bookmarkEnd w:id="48"/>
    <w:bookmarkStart w:id="49" w:name="c.-research-llm-proposals-you-approve"/>
    <w:p>
      <w:pPr>
        <w:pStyle w:val="Heading2"/>
      </w:pPr>
      <w:r>
        <w:t xml:space="preserve">5c.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49"/>
    <w:bookmarkStart w:id="50" w:name="d.-scout-finding-new-scarcities"/>
    <w:p>
      <w:pPr>
        <w:pStyle w:val="Heading2"/>
      </w:pPr>
      <w:r>
        <w:t xml:space="preserve">5d.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50"/>
    <w:bookmarkStart w:id="54" w:name="filings-news"/>
    <w:p>
      <w:pPr>
        <w:pStyle w:val="Heading2"/>
      </w:pPr>
      <w:r>
        <w:t xml:space="preserve">6. Filings &amp; news</w:t>
      </w:r>
    </w:p>
    <w:p>
      <w:pPr>
        <w:pStyle w:val="CaptionedFigure"/>
      </w:pPr>
      <w:r>
        <w:drawing>
          <wp:inline>
            <wp:extent cx="5334000" cy="6813351"/>
            <wp:effectExtent b="0" l="0" r="0" t="0"/>
            <wp:docPr descr="Filings and news" title="" id="52" name="Picture"/>
            <a:graphic>
              <a:graphicData uri="http://schemas.openxmlformats.org/drawingml/2006/picture">
                <pic:pic>
                  <pic:nvPicPr>
                    <pic:cNvPr descr="img/catalys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13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54"/>
    <w:bookmarkStart w:id="58" w:name="options-check-fair-value-before-you-buy"/>
    <w:p>
      <w:pPr>
        <w:pStyle w:val="Heading2"/>
      </w:pPr>
      <w:r>
        <w:t xml:space="preserve">7.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56" name="Picture"/>
            <a:graphic>
              <a:graphicData uri="http://schemas.openxmlformats.org/drawingml/2006/picture">
                <pic:pic>
                  <pic:nvPicPr>
                    <pic:cNvPr descr="img/option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fair value at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edge</w:t>
      </w:r>
      <w:r>
        <w:rPr>
          <w:bCs/>
          <w:b/>
        </w:rPr>
        <w:t xml:space="preserve"> </w:t>
      </w:r>
      <w:r>
        <w:rPr>
          <w:bCs/>
          <w:b/>
        </w:rPr>
        <w:t xml:space="preserve">vs fair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58"/>
    <w:bookmarkStart w:id="62" w:name="agent-digest"/>
    <w:p>
      <w:pPr>
        <w:pStyle w:val="Heading2"/>
      </w:pPr>
      <w:r>
        <w:t xml:space="preserve">8.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60" name="Picture"/>
            <a:graphic>
              <a:graphicData uri="http://schemas.openxmlformats.org/drawingml/2006/picture">
                <pic:pic>
                  <pic:nvPicPr>
                    <pic:cNvPr descr="img/digest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 LLM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summary of what materially changed (quotes, filings, news,</w:t>
      </w:r>
      <w:r>
        <w:t xml:space="preserve"> </w:t>
      </w:r>
      <w:r>
        <w:t xml:space="preserve">regime) and whether any trigger looks 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free 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</w:t>
      </w:r>
      <w:r>
        <w:t xml:space="preserve"> </w:t>
      </w:r>
      <w:r>
        <w:t xml:space="preserve">analyst on one model, the red-team on another — so it isn’t a model grading itself.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2"/>
    <w:bookmarkStart w:id="68" w:name="settings-onboarding"/>
    <w:p>
      <w:pPr>
        <w:pStyle w:val="Heading2"/>
      </w:pPr>
      <w:r>
        <w:t xml:space="preserve">9.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64" name="Picture"/>
            <a:graphic>
              <a:graphicData uri="http://schemas.openxmlformats.org/drawingml/2006/picture">
                <pic:pic>
                  <pic:nvPicPr>
                    <pic:cNvPr descr="img/settings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66" w:name="your-holdings-per-account"/>
    <w:p>
      <w:pPr>
        <w:pStyle w:val="Heading3"/>
      </w:pPr>
      <w:r>
        <w:t xml:space="preserve">9.1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(IRA/Roth or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</w:t>
      </w:r>
      <w:r>
        <w:rPr>
          <w:bCs/>
          <w:b/>
        </w:rPr>
        <w:t xml:space="preserve"> </w:t>
      </w:r>
      <w:r>
        <w:rPr>
          <w:bCs/>
          <w:b/>
        </w:rPr>
        <w:t xml:space="preserve">cash</w:t>
      </w:r>
      <w:r>
        <w:t xml:space="preserve">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66"/>
    <w:bookmarkStart w:id="67" w:name="admin-credentials-configuration"/>
    <w:p>
      <w:pPr>
        <w:pStyle w:val="Heading3"/>
      </w:pPr>
      <w:r>
        <w:t xml:space="preserve">9.2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(§10).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refresh-on-demand-scan"/>
    <w:p>
      <w:pPr>
        <w:pStyle w:val="Heading2"/>
      </w:pPr>
      <w:r>
        <w:t xml:space="preserve">10.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9"/>
    <w:bookmarkStart w:id="70" w:name="Xd2ac6c3d014752893f0670853f643e7f7a007f6"/>
    <w:p>
      <w:pPr>
        <w:pStyle w:val="Heading2"/>
      </w:pPr>
      <w:r>
        <w:t xml:space="preserve">11.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(§9.3) for stronger corroboration.</w:t>
      </w:r>
    </w:p>
    <w:p>
      <w:r>
        <w:pict>
          <v:rect style="width:0;height:1.5pt" o:hralign="center" o:hrstd="t" o:hr="t"/>
        </w:pict>
      </w:r>
    </w:p>
    <w:bookmarkEnd w:id="70"/>
    <w:bookmarkStart w:id="71" w:name="glossary"/>
    <w:p>
      <w:pPr>
        <w:pStyle w:val="Heading2"/>
      </w:pPr>
      <w:r>
        <w:t xml:space="preserve">12. Glossary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71"/>
    <w:bookmarkStart w:id="72" w:name="faq-troubleshooting"/>
    <w:p>
      <w:pPr>
        <w:pStyle w:val="Heading2"/>
      </w:pPr>
      <w:r>
        <w:t xml:space="preserve">13. FAQ &amp; troubleshooting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§6–§7.</w:t>
      </w:r>
    </w:p>
    <w:bookmarkEnd w:id="72"/>
    <w:bookmarkEnd w:id="7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63" Target="media/rId6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2026-06-01T07:53:16Z</dcterms:created>
  <dcterms:modified xsi:type="dcterms:W3CDTF">2026-06-01T07:53:16Z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