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872317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87648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6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423094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3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 &amp; RSI-10 (Wilder; &gt;70 overbought / &lt;30 oversold — the shorter RSI-10 is more responsive),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the backtests as</w:t>
      </w:r>
      <w:r>
        <w:t xml:space="preserve"> </w:t>
      </w:r>
      <w:r>
        <w:rPr>
          <w:bCs/>
          <w:b/>
        </w:rPr>
        <w:t xml:space="preserve">compact, horizontally-scrollable tables</w:t>
      </w:r>
      <w:r>
        <w:t xml:space="preserve"> </w:t>
      </w:r>
      <w:r>
        <w:t xml:space="preserve">(max drawdown / CAGR / Calmar shown as</w:t>
      </w:r>
      <w:r>
        <w:t xml:space="preserve"> </w:t>
      </w:r>
      <w:r>
        <w:rPr>
          <w:iCs/>
          <w:i/>
        </w:rPr>
        <w:t xml:space="preserve">buy-&amp;-hold → timed</w:t>
      </w:r>
      <w:r>
        <w:t xml:space="preserve">, with a per-crash column),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on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vs buy-&amp;-hold. It reports a</w:t>
      </w:r>
      <w:r>
        <w:t xml:space="preserve"> </w:t>
      </w:r>
      <w:r>
        <w:rPr>
          <w:bCs/>
          <w:b/>
        </w:rPr>
        <w:t xml:space="preserve">realistic</w:t>
      </w:r>
      <w:r>
        <w:t xml:space="preserve"> </w:t>
      </w:r>
      <w:r>
        <w:t xml:space="preserve">number:</w:t>
      </w:r>
      <w:r>
        <w:t xml:space="preserve"> </w:t>
      </w:r>
      <w:r>
        <w:rPr>
          <w:bCs/>
          <w:b/>
        </w:rPr>
        <w:t xml:space="preserve">only the IRA sleeve is timed</w:t>
      </w:r>
      <w:r>
        <w:t xml:space="preserve"> </w:t>
      </w:r>
      <w:r>
        <w:t xml:space="preserve">(the taxable sleeve is buy-and-hold for timing — it changes only on scarcity/thesis decisions), so the realistic drawdown-cut is ~the IRA share of the fully-timed cut (shown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the book’s history is short/bull-only, so the tail benefit only shows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, again</w:t>
      </w:r>
      <w:r>
        <w:t xml:space="preserve"> </w:t>
      </w:r>
      <w:r>
        <w:rPr>
          <w:bCs/>
          <w:b/>
        </w:rPr>
        <w:t xml:space="preserve">IRA-only timed</w:t>
      </w:r>
      <w:r>
        <w:t xml:space="preserve"> </w:t>
      </w:r>
      <w:r>
        <w:t xml:space="preserve">(taxable buy-&amp;-hold). This is where the combo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absolute CAGR. Full caveats: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</w:t>
      </w:r>
      <w:r>
        <w:t xml:space="preserve"> </w:t>
      </w:r>
      <w:r>
        <w:rPr>
          <w:bCs/>
          <w:b/>
        </w:rPr>
        <w:t xml:space="preserve">forward</w:t>
      </w:r>
      <w:r>
        <w:t xml:space="preserve"> </w:t>
      </w:r>
      <w:r>
        <w:t xml:space="preserve">P/E → trim ⅓. Forward P/E is a</w:t>
      </w:r>
      <w:r>
        <w:t xml:space="preserve"> </w:t>
      </w:r>
      <w:r>
        <w:rPr>
          <w:iCs/>
          <w:i/>
        </w:rPr>
        <w:t xml:space="preserve">best-effort keyless</w:t>
      </w:r>
      <w:r>
        <w:t xml:space="preserve"> </w:t>
      </w:r>
      <w:r>
        <w:t xml:space="preserve">fetch (Yahoo increasingly gates it, so it’s often unavailable) — to guarantee this</w:t>
      </w:r>
      <w:r>
        <w:t xml:space="preserve"> </w:t>
      </w:r>
      <w:r>
        <w:t xml:space="preserve">rule can evaluate, set</w:t>
      </w:r>
      <w:r>
        <w:t xml:space="preserve"> </w:t>
      </w:r>
      <w:r>
        <w:rPr>
          <w:rStyle w:val="VerbatimChar"/>
        </w:rPr>
        <w:t xml:space="preserve">forward_pe</w:t>
      </w:r>
      <w:r>
        <w:t xml:space="preserve"> </w:t>
      </w:r>
      <w:r>
        <w:t xml:space="preserve">per position in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. It also needs your cost basis.</w:t>
      </w:r>
      <w:r>
        <w:t xml:space="preserve"> </w:t>
      </w:r>
      <w:r>
        <w:rPr>
          <w:bCs/>
          <w:b/>
        </w:rPr>
        <w:t xml:space="preserve">Without a forward-P/E value the P/E condition simply isn’t met (no trim)</w:t>
      </w:r>
      <w:r>
        <w:t xml:space="preserve"> </w:t>
      </w:r>
      <w:r>
        <w:t xml:space="preserve">— there is no trailing-P/E fallback for this trigger.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existing watchlist: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42176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 The</w:t>
      </w:r>
      <w:r>
        <w:t xml:space="preserve"> </w:t>
      </w:r>
      <w:r>
        <w:rPr>
          <w:bCs/>
          <w:b/>
        </w:rPr>
        <w:t xml:space="preserve">posture-driven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suggestion</w:t>
      </w:r>
      <w:r>
        <w:t xml:space="preserve"> </w:t>
      </w:r>
      <w:r>
        <w:t xml:space="preserve">is now</w:t>
      </w:r>
      <w:r>
        <w:t xml:space="preserve"> </w:t>
      </w:r>
      <w:r>
        <w:rPr>
          <w:bCs/>
          <w:b/>
        </w:rPr>
        <w:t xml:space="preserve">IV-aware</w:t>
      </w:r>
      <w:r>
        <w:t xml:space="preserve">: when premium is rich (high VIX) it steers you toward</w:t>
      </w:r>
      <w:r>
        <w:t xml:space="preserve"> </w:t>
      </w:r>
      <w:r>
        <w:rPr>
          <w:bCs/>
          <w:b/>
        </w:rPr>
        <w:t xml:space="preserve">debit</w:t>
      </w:r>
      <w:r>
        <w:rPr>
          <w:bCs/>
          <w:b/>
        </w:rPr>
        <w:t xml:space="preserve"> </w:t>
      </w:r>
      <w:r>
        <w:rPr>
          <w:bCs/>
          <w:b/>
        </w:rPr>
        <w:t xml:space="preserve">spreads</w:t>
      </w:r>
      <w:r>
        <w:t xml:space="preserve"> </w:t>
      </w:r>
      <w:r>
        <w:t xml:space="preserve">(or buying shares) instead of outright long calls/puts, and toward outright long premium when IV is cheap.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755010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755010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only needed for the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⟳ Refresh path; with the</w:t>
      </w:r>
      <w:r>
        <w:t xml:space="preserve"> </w:t>
      </w:r>
      <w:r>
        <w:t xml:space="preserve">keyless server-side setup (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§3a) you don’t paste this at all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Keyless (default on a configured deploy)</w:t>
      </w:r>
      <w:r>
        <w:t xml:space="preserve"> </w:t>
      </w:r>
      <w:r>
        <w:t xml:space="preserve">— the button POSTs to a same-origin serverless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/api/refresh</w:t>
      </w:r>
      <w:r>
        <w:t xml:space="preserve">) that holds the GitHub dispatch token</w:t>
      </w:r>
      <w:r>
        <w:t xml:space="preserve"> </w:t>
      </w:r>
      <w:r>
        <w:rPr>
          <w:bCs/>
          <w:b/>
        </w:rPr>
        <w:t xml:space="preserve">server-side</w:t>
      </w:r>
      <w:r>
        <w:t xml:space="preserve">, so you paste</w:t>
      </w:r>
      <w:r>
        <w:t xml:space="preserve"> </w:t>
      </w:r>
      <w:r>
        <w:rPr>
          <w:bCs/>
          <w:b/>
        </w:rPr>
        <w:t xml:space="preserve">nothing</w:t>
      </w:r>
      <w:r>
        <w:t xml:space="preserve">. Set it</w:t>
      </w:r>
      <w:r>
        <w:t xml:space="preserve"> </w:t>
      </w:r>
      <w:r>
        <w:t xml:space="preserve">up once: add a</w:t>
      </w:r>
      <w:r>
        <w:t xml:space="preserve"> </w:t>
      </w:r>
      <w:r>
        <w:rPr>
          <w:rStyle w:val="VerbatimChar"/>
        </w:rPr>
        <w:t xml:space="preserve">GH_DISPATCH_TOKEN</w:t>
      </w:r>
      <w:r>
        <w:t xml:space="preserve"> </w:t>
      </w:r>
      <w:r>
        <w:t xml:space="preserve">env var on Vercel (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— if that endpoint isn’t configured (or you opened the page from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), Refresh prompts</w:t>
      </w:r>
      <w:r>
        <w:t xml:space="preserve"> </w:t>
      </w:r>
      <w:r>
        <w:t xml:space="preserve">you once for a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 — see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§3b.</w:t>
      </w:r>
      <w:r>
        <w:t xml:space="preserve"> </w:t>
      </w:r>
      <w:r>
        <w:t xml:space="preserve">- Either way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</w:t>
      </w:r>
      <w:r>
        <w:t xml:space="preserve"> </w:t>
      </w:r>
      <w:r>
        <w:t xml:space="preserve">lands (~1–3 min). No manual reload.</w:t>
      </w:r>
      <w:r>
        <w:t xml:space="preserve"> </w:t>
      </w:r>
      <w:r>
        <w:t xml:space="preserve">- No token configured anywhere?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2026-06-04T11:50:38Z</dcterms:created>
  <dcterms:modified xsi:type="dcterms:W3CDTF">2026-06-04T11:50:38Z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