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88973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8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93140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0672167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672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97c08d3d5fdd9afe5bbfb26f7455ccca4681339"/>
    <w:p>
      <w:pPr>
        <w:pStyle w:val="Heading3"/>
      </w:pPr>
      <w:r>
        <w:t xml:space="preserve">4.10 Tax-located buy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spreads your cash across the target weights, and</w:t>
      </w:r>
      <w:r>
        <w:t xml:space="preserve"> </w:t>
      </w:r>
      <w:r>
        <w:rPr>
          <w:bCs/>
          <w:b/>
        </w:rPr>
        <w:t xml:space="preserve">places each name in the account that maximizes</w:t>
      </w:r>
      <w:r>
        <w:rPr>
          <w:bCs/>
          <w:b/>
        </w:rPr>
        <w:t xml:space="preserve"> </w:t>
      </w:r>
      <w:r>
        <w:rPr>
          <w:bCs/>
          <w:b/>
        </w:rPr>
        <w:t xml:space="preserve">after-tax terminal value</w:t>
      </w:r>
      <w:r>
        <w:t xml:space="preserve"> </w:t>
      </w:r>
      <w:r>
        <w:t xml:space="preserve">— shown as a</w:t>
      </w:r>
      <w:r>
        <w:t xml:space="preserve"> </w:t>
      </w:r>
      <w:r>
        <w:rPr>
          <w:bCs/>
          <w:b/>
        </w:rPr>
        <w:t xml:space="preserve">buy list grouped by account</w:t>
      </w:r>
      <w:r>
        <w:t xml:space="preserve">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 (no account is over/under-filled).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</w:t>
      </w:r>
      <w:r>
        <w:t xml:space="preserve"> </w:t>
      </w:r>
      <w:r>
        <w:t xml:space="preserve">plan 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 (the thesis→allocation</w:t>
      </w:r>
      <w:r>
        <w:t xml:space="preserve"> </w:t>
      </w:r>
      <w:r>
        <w:t xml:space="preserve">link reaches the screen). 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plan, by contrast,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  <w:r>
        <w:t xml:space="preserve"> </w:t>
      </w:r>
      <w:r>
        <w:rPr>
          <w:iCs/>
          <w:i/>
        </w:rPr>
        <w:t xml:space="preserve">(Today it deploys from cash; netting buy/sell deltas</w:t>
      </w:r>
      <w:r>
        <w:rPr>
          <w:iCs/>
          <w:i/>
        </w:rPr>
        <w:t xml:space="preserve"> </w:t>
      </w:r>
      <w:r>
        <w:rPr>
          <w:iCs/>
          <w:i/>
        </w:rPr>
        <w:t xml:space="preserve">against positions you already hold is the next step.)</w:t>
      </w:r>
    </w:p>
    <w:p>
      <w:pPr>
        <w:pStyle w:val="BodyText"/>
      </w:pPr>
      <w:r>
        <w:t xml:space="preserve">Two robust rules:</w:t>
      </w:r>
      <w:r>
        <w:t xml:space="preserve"> </w:t>
      </w:r>
      <w:r>
        <w:rPr>
          <w:bCs/>
          <w:b/>
        </w:rPr>
        <w:t xml:space="preserve">(1)</w:t>
      </w:r>
      <w:r>
        <w:t xml:space="preserve"> </w:t>
      </w:r>
      <w:r>
        <w:t xml:space="preserve">shelter the annual</w:t>
      </w:r>
      <w:r>
        <w:t xml:space="preserve"> </w:t>
      </w:r>
      <w:r>
        <w:rPr>
          <w:bCs/>
          <w:b/>
        </w:rPr>
        <w:t xml:space="preserve">dividend tax drag</w:t>
      </w:r>
      <w:r>
        <w:t xml:space="preserve"> </w:t>
      </w:r>
      <w:r>
        <w:t xml:space="preserve">— income-heavy names → a tax-advantaged</w:t>
      </w:r>
      <w:r>
        <w:t xml:space="preserve"> </w:t>
      </w:r>
      <w:r>
        <w:t xml:space="preserve">account; tax-efficient (low-yield) names →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(qualified rates, step-up at death, loss-harvesting);</w:t>
      </w:r>
      <w:r>
        <w:t xml:space="preserve"> </w:t>
      </w:r>
      <w:r>
        <w:rPr>
          <w:bCs/>
          <w:b/>
        </w:rPr>
        <w:t xml:space="preserve">(2)</w:t>
      </w:r>
      <w:r>
        <w:t xml:space="preserve"> </w:t>
      </w:r>
      <w:r>
        <w:t xml:space="preserve">within tax-advantaged,</w:t>
      </w:r>
      <w:r>
        <w:t xml:space="preserve"> </w:t>
      </w:r>
      <w:r>
        <w:rPr>
          <w:bCs/>
          <w:b/>
        </w:rPr>
        <w:t xml:space="preserve">highest-growth → Roth</w:t>
      </w:r>
      <w:r>
        <w:t xml:space="preserve"> </w:t>
      </w:r>
      <w:r>
        <w:t xml:space="preserve">(the biggest balance compounds tax-free), income/</w:t>
      </w:r>
      <w:r>
        <w:t xml:space="preserve"> </w:t>
      </w:r>
      <w:r>
        <w:t xml:space="preserve">lower-growth →</w:t>
      </w:r>
      <w:r>
        <w:t xml:space="preserve"> </w:t>
      </w:r>
      <w:r>
        <w:rPr>
          <w:bCs/>
          <w:b/>
        </w:rPr>
        <w:t xml:space="preserve">Traditional</w:t>
      </w:r>
      <w:r>
        <w:t xml:space="preserve">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 cash in each account (the 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tax-drag estimate.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Each account block shows what to</w:t>
      </w:r>
      <w:r>
        <w:t xml:space="preserve"> </w:t>
      </w:r>
      <w:r>
        <w:rPr>
          <w:bCs/>
          <w:b/>
        </w:rPr>
        <w:t xml:space="preserve">buy</w:t>
      </w:r>
      <w:r>
        <w:t xml:space="preserve"> </w:t>
      </w:r>
      <w:r>
        <w:t xml:space="preserve">there, the $ amount, yield, and the dividend tax it shelters/yr;</w:t>
      </w:r>
      <w:r>
        <w:t xml:space="preserve"> </w:t>
      </w:r>
      <w:r>
        <w:t xml:space="preserve">the header reports drag avoided per year + compounded over your horizon.</w:t>
      </w:r>
      <w:r>
        <w:t xml:space="preserve"> </w:t>
      </w:r>
      <w:r>
        <w:rPr>
          <w:bCs/>
          <w:b/>
        </w:rPr>
        <w:t xml:space="preserve">Rebalancing later keeps these</w:t>
      </w:r>
      <w:r>
        <w:rPr>
          <w:bCs/>
          <w:b/>
        </w:rPr>
        <w:t xml:space="preserve"> </w:t>
      </w:r>
      <w:r>
        <w:rPr>
          <w:bCs/>
          <w:b/>
        </w:rPr>
        <w:t xml:space="preserve">locations.</w:t>
      </w:r>
      <w:r>
        <w:t xml:space="preserve"> </w:t>
      </w:r>
      <w:r>
        <w:t xml:space="preserve">Until you split Roth vs Traditional it runs a 2-way (tax-advantaged vs taxable) split and says so.</w:t>
      </w:r>
    </w:p>
    <w:p>
      <w:pPr>
        <w:pStyle w:val="BodyText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or estate plan. Inputs live only in your 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6509146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2026-06-02T05:51:48Z</dcterms:created>
  <dcterms:modified xsi:type="dcterms:W3CDTF">2026-06-02T05:51:48Z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