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70.png" ContentType="image/png"/>
  <Override PartName="/word/media/rId28.svgz" ContentType="image/svg+xml"/>
  <Override PartName="/word/media/rId66.png" ContentType="image/png"/>
  <Override PartName="/word/media/rId20.png" ContentType="image/png"/>
  <Override PartName="/word/media/rId41.png" ContentType="image/png"/>
  <Override PartName="/word/media/rId37.png" ContentType="image/png"/>
  <Override PartName="/word/media/rId74.png" ContentType="image/png"/>
  <Override PartName="/word/media/rId24.svgz" ContentType="image/svg+xml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4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026378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26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5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5" name="Picture"/>
            <a:graphic>
              <a:graphicData uri="http://schemas.openxmlformats.org/drawingml/2006/picture">
                <pic:pic>
                  <pic:nvPicPr>
                    <pic:cNvPr descr="img/workflo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AI-capex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2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AI-capex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29" name="Picture"/>
            <a:graphic>
              <a:graphicData uri="http://schemas.openxmlformats.org/drawingml/2006/picture">
                <pic:pic>
                  <pic:nvPicPr>
                    <pic:cNvPr descr="img/diversifier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rPr>
          <w:iCs/>
          <w:i/>
        </w:rPr>
        <w:t xml:space="preserve">(live)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non-positive</w:t>
      </w:r>
      <w:r>
        <w:rPr>
          <w:bCs/>
          <w:b/>
        </w:rPr>
        <w:t xml:space="preserve"> </w:t>
      </w:r>
      <w:r>
        <w:rPr>
          <w:bCs/>
          <w:b/>
        </w:rPr>
        <w:t xml:space="preserve">AI-capex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0–1. It keeps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gate-qualifiers (conviction tilts the weights, it doesn’t prune).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 → plan</w:t>
      </w:r>
      <w:r>
        <w:t xml:space="preserve"> </w:t>
      </w:r>
      <w:r>
        <w:rPr>
          <w:iCs/>
          <w:i/>
        </w:rPr>
        <w:t xml:space="preserve">(design)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human-merged PR</w:t>
      </w:r>
      <w:r>
        <w:t xml:space="preserve"> </w:t>
      </w:r>
      <w:r>
        <w:t xml:space="preserve">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). You then place the trades. As everywhere,</w:t>
      </w:r>
      <w:r>
        <w:t xml:space="preserve"> </w:t>
      </w:r>
      <w:r>
        <w:rPr>
          <w:bCs/>
          <w:b/>
        </w:rPr>
        <w:t xml:space="preserve">Puck never trades or edits your real book.</w:t>
      </w:r>
    </w:p>
    <w:p>
      <w:pPr>
        <w:pStyle w:val="FirstParagraph"/>
      </w:pPr>
      <w:r>
        <w:rPr>
          <w:iCs/>
          <w:i/>
        </w:rPr>
        <w:t xml:space="preserve">Status: the screen (step 1) is built; the committee + plan-PR (steps 2–4) are the agreed design.</w:t>
      </w:r>
    </w:p>
    <w:bookmarkEnd w:id="32"/>
    <w:bookmarkStart w:id="33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review/funding UI</w:t>
            </w:r>
            <w:r>
              <w:t xml:space="preserve"> </w:t>
            </w:r>
            <w:r>
              <w:rPr>
                <w:iCs/>
                <w:i/>
              </w:rPr>
              <w:t xml:space="preserve">(in build)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3"/>
    <w:bookmarkStart w:id="34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36"/>
    <w:bookmarkStart w:id="40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030545"/>
            <wp:effectExtent b="0" l="0" r="0" t="0"/>
            <wp:docPr descr="Scarcity radar" title="" id="38" name="Picture"/>
            <a:graphic>
              <a:graphicData uri="http://schemas.openxmlformats.org/drawingml/2006/picture">
                <pic:pic>
                  <pic:nvPicPr>
                    <pic:cNvPr descr="img/rada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30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55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6018668"/>
            <wp:effectExtent b="0" l="0" r="0" t="0"/>
            <wp:docPr descr="Portfolio and triggers" title="" id="42" name="Picture"/>
            <a:graphic>
              <a:graphicData uri="http://schemas.openxmlformats.org/drawingml/2006/picture">
                <pic:pic>
                  <pic:nvPicPr>
                    <pic:cNvPr descr="img/portfoli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18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 to change</w:t>
      </w:r>
      <w:r>
        <w:t xml:space="preserve">: the rebalance plan (with the tactical IRA tilts folded in) and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§4.8, §4.9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4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4"/>
    <w:bookmarkStart w:id="45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5"/>
    <w:bookmarkStart w:id="46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46"/>
    <w:bookmarkStart w:id="47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47"/>
    <w:bookmarkStart w:id="48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AI-capex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bookmarkEnd w:id="48"/>
    <w:bookmarkStart w:id="49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AI-capex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49"/>
    <w:bookmarkStart w:id="50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0"/>
    <w:bookmarkStart w:id="51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1"/>
    <w:bookmarkStart w:id="52" w:name="holdings-table"/>
    <w:p>
      <w:pPr>
        <w:pStyle w:val="Heading3"/>
      </w:pPr>
      <w:r>
        <w:t xml:space="preserve">4.4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52"/>
    <w:bookmarkStart w:id="53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3"/>
    <w:bookmarkStart w:id="54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4"/>
    <w:bookmarkEnd w:id="55"/>
    <w:bookmarkStart w:id="59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56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56"/>
    <w:bookmarkStart w:id="57" w:name="suggested-ira-tilts"/>
    <w:p>
      <w:pPr>
        <w:pStyle w:val="Heading3"/>
      </w:pPr>
      <w:r>
        <w:t xml:space="preserve">4.8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57"/>
    <w:bookmarkStart w:id="58" w:name="Xbceddce322048c5d80798aee7cf845116272575"/>
    <w:p>
      <w:pPr>
        <w:pStyle w:val="Heading3"/>
      </w:pPr>
      <w:r>
        <w:t xml:space="preserve">4.9 Rebalance plan (G3 — volatility-tilted target weights → buy/sell)</w:t>
      </w:r>
    </w:p>
    <w:p>
      <w:pPr>
        <w:pStyle w:val="FirstParagraph"/>
      </w:pPr>
      <w:r>
        <w:t xml:space="preserve">The fuller allocation engine: 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58"/>
    <w:bookmarkEnd w:id="59"/>
    <w:bookmarkStart w:id="60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0"/>
    <w:bookmarkStart w:id="61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1"/>
    <w:bookmarkStart w:id="65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6509146"/>
            <wp:effectExtent b="0" l="0" r="0" t="0"/>
            <wp:docPr descr="Filings and news" title="" id="63" name="Picture"/>
            <a:graphic>
              <a:graphicData uri="http://schemas.openxmlformats.org/drawingml/2006/picture">
                <pic:pic>
                  <pic:nvPicPr>
                    <pic:cNvPr descr="img/catalyst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09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65"/>
    <w:bookmarkStart w:id="69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67" name="Picture"/>
            <a:graphic>
              <a:graphicData uri="http://schemas.openxmlformats.org/drawingml/2006/picture">
                <pic:pic>
                  <pic:nvPicPr>
                    <pic:cNvPr descr="img/option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69"/>
    <w:bookmarkStart w:id="73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1" name="Picture"/>
            <a:graphic>
              <a:graphicData uri="http://schemas.openxmlformats.org/drawingml/2006/picture">
                <pic:pic>
                  <pic:nvPicPr>
                    <pic:cNvPr descr="img/diges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Start w:id="79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75" name="Picture"/>
            <a:graphic>
              <a:graphicData uri="http://schemas.openxmlformats.org/drawingml/2006/picture">
                <pic:pic>
                  <pic:nvPicPr>
                    <pic:cNvPr descr="img/settings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77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77"/>
    <w:bookmarkStart w:id="78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1"/>
    <w:bookmarkStart w:id="82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2"/>
    <w:bookmarkStart w:id="83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2" Target="media/rId62.png" /><Relationship Type="http://schemas.openxmlformats.org/officeDocument/2006/relationships/image" Id="rId70" Target="media/rId70.png" /><Relationship Type="http://schemas.openxmlformats.org/officeDocument/2006/relationships/image" Id="rId28" Target="media/rId28.svgz" /><Relationship Type="http://schemas.openxmlformats.org/officeDocument/2006/relationships/image" Id="rId66" Target="media/rId66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4" Target="media/rId74.png" /><Relationship Type="http://schemas.openxmlformats.org/officeDocument/2006/relationships/image" Id="rId24" Target="media/rId24.svgz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2026-06-01T23:51:34Z</dcterms:created>
  <dcterms:modified xsi:type="dcterms:W3CDTF">2026-06-01T23:51:34Z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