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6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61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llm-keys-free"/>
    <w:p>
      <w:pPr>
        <w:pStyle w:val="Heading3"/>
      </w:pPr>
      <w:r>
        <w:t xml:space="preserve">9.2 LLM keys (free)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powers the in-browser digest; CORS-friendly.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Groq</w:t>
      </w:r>
      <w:r>
        <w:t xml:space="preserve"> </w:t>
      </w:r>
      <w:r>
        <w:t xml:space="preserve">(console.groq.com) — the second model for cross-model red-teaming (used by the scanner).</w:t>
      </w:r>
    </w:p>
    <w:bookmarkEnd w:id="58"/>
    <w:bookmarkStart w:id="59" w:name="market-data-keys-free-optional"/>
    <w:p>
      <w:pPr>
        <w:pStyle w:val="Heading3"/>
      </w:pPr>
      <w:r>
        <w:t xml:space="preserve">9.3 Market-data keys (free, optional)</w:t>
      </w:r>
    </w:p>
    <w:p>
      <w:pPr>
        <w:pStyle w:val="FirstParagraph"/>
      </w:pPr>
      <w:r>
        <w:t xml:space="preserve">Keyless Yahoo + Stooq always run. These add</w:t>
      </w:r>
      <w:r>
        <w:t xml:space="preserve"> </w:t>
      </w:r>
      <w:r>
        <w:rPr>
          <w:bCs/>
          <w:b/>
        </w:rPr>
        <w:t xml:space="preserve">independent cross-check sources</w:t>
      </w:r>
      <w:r>
        <w:t xml:space="preserve"> </w:t>
      </w:r>
      <w:r>
        <w:t xml:space="preserve">so a bad/synthetic price</w:t>
      </w:r>
      <w:r>
        <w:t xml:space="preserve"> </w:t>
      </w:r>
      <w:r>
        <w:t xml:space="preserve">can’t pass silently: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</w:t>
      </w:r>
      <w:r>
        <w:t xml:space="preserve"> </w:t>
      </w:r>
      <w:r>
        <w:t xml:space="preserve">(finnhub.io) — also powers the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 </w:t>
      </w:r>
      <w:r>
        <w:t xml:space="preserve">button (browser-side live vs last</w:t>
      </w:r>
      <w:r>
        <w:t xml:space="preserve"> </w:t>
      </w:r>
      <w:r>
        <w:t xml:space="preserve">scan).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Twelve Data</w:t>
      </w:r>
      <w:r>
        <w:t xml:space="preserve">,</w:t>
      </w:r>
      <w:r>
        <w:t xml:space="preserve"> </w:t>
      </w:r>
      <w:r>
        <w:rPr>
          <w:bCs/>
          <w:b/>
        </w:rPr>
        <w:t xml:space="preserve">Alpha Vantage</w:t>
      </w:r>
      <w:r>
        <w:t xml:space="preserve"> </w:t>
      </w:r>
      <w:r>
        <w:t xml:space="preserve">— used by the scanner.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iCs/>
          <w:i/>
        </w:rPr>
        <w:t xml:space="preserve">automated</w:t>
      </w:r>
      <w:r>
        <w:t xml:space="preserve"> </w:t>
      </w:r>
      <w:r>
        <w:t xml:space="preserve">scanner, also add each as a GitHub repo secret using the exact name shown (e.g.</w:t>
      </w:r>
      <w:r>
        <w:t xml:space="preserve"> </w:t>
      </w:r>
      <w:r>
        <w:rPr>
          <w:rStyle w:val="VerbatimChar"/>
        </w:rPr>
        <w:t xml:space="preserve">FINNHUB_API_KEY</w:t>
      </w:r>
      <w:r>
        <w:t xml:space="preserve">). Keys typed here stay in your browser.</w:t>
      </w:r>
    </w:p>
    <w:bookmarkEnd w:id="59"/>
    <w:bookmarkStart w:id="60" w:name="github-dispatch-token"/>
    <w:p>
      <w:pPr>
        <w:pStyle w:val="Heading3"/>
      </w:pPr>
      <w:r>
        <w:t xml:space="preserve">9.4 GitHub dispatch token</w:t>
      </w:r>
    </w:p>
    <w:p>
      <w:pPr>
        <w:pStyle w:val="FirstParagraph"/>
      </w:pPr>
      <w:r>
        <w:t xml:space="preserve">A fine-grained PAT (Contents: Read &amp; write) that lets the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button trigger a live scan. See §10.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3"/>
    <w:bookmarkStart w:id="64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4"/>
    <w:bookmarkStart w:id="65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2026-05-30T17:35:09Z</dcterms:created>
  <dcterms:modified xsi:type="dcterms:W3CDTF">2026-05-30T17:35:09Z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