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872317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72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876484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76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Regime instruments panel.</w:t>
      </w:r>
      <w:r>
        <w:t xml:space="preserve"> </w:t>
      </w:r>
      <w:r>
        <w:t xml:space="preserve">Under the posture, a small table shows the daily technicals the timing layer</w:t>
      </w:r>
      <w:r>
        <w:t xml:space="preserve"> </w:t>
      </w:r>
      <w:r>
        <w:t xml:space="preserve">actually reads on the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complex —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(the regime’s reference underlying) plus</w:t>
      </w:r>
      <w:r>
        <w:t xml:space="preserve"> </w:t>
      </w:r>
      <w:r>
        <w:rPr>
          <w:bCs/>
          <w:b/>
        </w:rPr>
        <w:t xml:space="preserve">TQQQ / SQQQ</w:t>
      </w:r>
      <w:r>
        <w:t xml:space="preserve"> </w:t>
      </w:r>
      <w:r>
        <w:t xml:space="preserve">(the</w:t>
      </w:r>
      <w:r>
        <w:t xml:space="preserve"> </w:t>
      </w:r>
      <w:r>
        <w:t xml:space="preserve">3× long / 3× short proxies, the actionable risk-on / brake instruments):</w:t>
      </w:r>
      <w:r>
        <w:t xml:space="preserve"> </w:t>
      </w:r>
      <w:r>
        <w:rPr>
          <w:bCs/>
          <w:b/>
        </w:rPr>
        <w:t xml:space="preserve">price, RSI-14, % vs the 200-DMA</w:t>
      </w:r>
      <w:r>
        <w:rPr>
          <w:bCs/>
          <w:b/>
        </w:rPr>
        <w:t xml:space="preserve"> </w:t>
      </w:r>
      <w:r>
        <w:rPr>
          <w:bCs/>
          <w:b/>
        </w:rPr>
        <w:t xml:space="preserve">(green above / red below), % off the 52-week high, 12-month &amp; 1-month momentum, and realized vol</w:t>
      </w:r>
      <w:r>
        <w:t xml:space="preserve">, refreshed</w:t>
      </w:r>
      <w:r>
        <w:t xml:space="preserve"> </w:t>
      </w:r>
      <w:r>
        <w:t xml:space="preserve">every scan. RSI &gt; 70 reads overbought, &lt; 30 oversold.</w:t>
      </w:r>
      <w:r>
        <w:t xml:space="preserve"> </w:t>
      </w:r>
      <w:r>
        <w:rPr>
          <w:bCs/>
          <w:b/>
        </w:rPr>
        <w:t xml:space="preserve">TQQQ/SQQQ are leveraged — tactical only, their value</w:t>
      </w:r>
      <w:r>
        <w:rPr>
          <w:bCs/>
          <w:b/>
        </w:rPr>
        <w:t xml:space="preserve"> </w:t>
      </w:r>
      <w:r>
        <w:rPr>
          <w:bCs/>
          <w:b/>
        </w:rPr>
        <w:t xml:space="preserve">decays over time; they are not buy-and-hold.</w:t>
      </w:r>
      <w:r>
        <w:t xml:space="preserve"> </w:t>
      </w:r>
      <w:r>
        <w:t xml:space="preserve">It’s its own card beneath the posture. Technicals are computed</w:t>
      </w:r>
      <w:r>
        <w:t xml:space="preserve"> </w:t>
      </w:r>
      <w:r>
        <w:t xml:space="preserve">from the</w:t>
      </w:r>
      <w:r>
        <w:t xml:space="preserve"> </w:t>
      </w:r>
      <w:r>
        <w:rPr>
          <w:bCs/>
          <w:b/>
        </w:rPr>
        <w:t xml:space="preserve">deep price-history DB</w:t>
      </w:r>
      <w:r>
        <w:t xml:space="preserve"> </w:t>
      </w:r>
      <w:r>
        <w:t xml:space="preserve">(2.2y → real 12-month momentum), not a shallow 1-year fetch; the columns</w:t>
      </w:r>
      <w:r>
        <w:t xml:space="preserve"> </w:t>
      </w:r>
      <w:r>
        <w:t xml:space="preserve">adapt — a metric only appears once it has data, so a freshly-added instrument with no DB history yet (TQQQ/SQQQ</w:t>
      </w:r>
      <w:r>
        <w:t xml:space="preserve"> </w:t>
      </w:r>
      <w:r>
        <w:t xml:space="preserve">until the one-time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runs) simply omits 12m rather than showing a blank column, and the footnote</w:t>
      </w:r>
      <w:r>
        <w:t xml:space="preserve"> </w:t>
      </w:r>
      <w:r>
        <w:t xml:space="preserve">calls out any instrument still on the 1-year fetch. QQQ (already in the DB) shows the full set immediately.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rPr>
          <w:bCs/>
          <w:b/>
        </w:rPr>
        <w:t xml:space="preserve">Catalyst watch — the manual triggers are now auto-monitored.</w:t>
      </w:r>
      <w:r>
        <w:t xml:space="preserve"> </w:t>
      </w:r>
      <w:r>
        <w:t xml:space="preserve">Each policy trigger carries a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spec</w:t>
      </w:r>
      <w:r>
        <w:t xml:space="preserve"> </w:t>
      </w:r>
      <w:r>
        <w:t xml:space="preserve">(news/filing queries); every scan the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judges whether its condition is met from fresh</w:t>
      </w:r>
      <w:r>
        <w:t xml:space="preserve"> </w:t>
      </w:r>
      <w:r>
        <w:rPr>
          <w:bCs/>
          <w:b/>
        </w:rPr>
        <w:t xml:space="preserve">news +</w:t>
      </w:r>
      <w:r>
        <w:rPr>
          <w:bCs/>
          <w:b/>
        </w:rP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and assigns a status —</w:t>
      </w:r>
      <w:r>
        <w:t xml:space="preserve"> </w:t>
      </w:r>
      <w:r>
        <w:rPr>
          <w:bCs/>
          <w:b/>
        </w:rPr>
        <w:t xml:space="preserve">monitoring → approaching → likely-met → fired</w:t>
      </w:r>
      <w:r>
        <w:t xml:space="preserve"> </w:t>
      </w:r>
      <w:r>
        <w:t xml:space="preserve">— with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it cited, and a drafted</w:t>
      </w:r>
      <w:r>
        <w:t xml:space="preserve"> </w:t>
      </w:r>
      <w:r>
        <w:rPr>
          <w:bCs/>
          <w:b/>
        </w:rPr>
        <w:t xml:space="preserve">⇒ suggested action</w:t>
      </w:r>
      <w:r>
        <w:t xml:space="preserve"> </w:t>
      </w:r>
      <w:r>
        <w:t xml:space="preserve">(portfolio- and tax-aware, grounded on the</w:t>
      </w:r>
      <w:r>
        <w:t xml:space="preserve"> </w:t>
      </w:r>
      <w:r>
        <w:t xml:space="preserve">canned policy action). It only reaches</w:t>
      </w:r>
      <w:r>
        <w:t xml:space="preserve"> </w:t>
      </w:r>
      <w:r>
        <w:rPr>
          <w:iCs/>
          <w:i/>
        </w:rPr>
        <w:t xml:space="preserve">fired</w:t>
      </w:r>
      <w:r>
        <w:t xml:space="preserve"> </w:t>
      </w:r>
      <w:r>
        <w:t xml:space="preserve">when</w:t>
      </w:r>
      <w:r>
        <w:t xml:space="preserve"> </w:t>
      </w:r>
      <w:r>
        <w:rPr>
          <w:bCs/>
          <w:b/>
        </w:rPr>
        <w:t xml:space="preserve">≥2 different models independently</w:t>
      </w:r>
      <w:r>
        <w:t xml:space="preserve"> </w:t>
      </w:r>
      <w:r>
        <w:t xml:space="preserve">judge it met, it’s</w:t>
      </w:r>
      <w:r>
        <w:t xml:space="preserve"> </w:t>
      </w:r>
      <w:r>
        <w:rPr>
          <w:bCs/>
          <w:b/>
        </w:rPr>
        <w:t xml:space="preserve">corroborated by the</w:t>
      </w:r>
      <w:r>
        <w:rPr>
          <w:bCs/>
          <w:b/>
        </w:rPr>
        <w:t xml:space="preserve"> </w:t>
      </w:r>
      <w:r>
        <w:rPr>
          <w:bCs/>
          <w:b/>
        </w:rPr>
        <w:t xml:space="preserve">real fetched evidence</w:t>
      </w:r>
      <w:r>
        <w:t xml:space="preserve"> </w:t>
      </w:r>
      <w:r>
        <w:t xml:space="preserve">(an actual SEC filing, or ≥2 distinct news sources — the model’s self-reported</w:t>
      </w:r>
      <w:r>
        <w:t xml:space="preserve"> </w:t>
      </w:r>
      <w:r>
        <w:t xml:space="preserve">citations are shown but never trusted to gate it),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it’s confirmed on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— the</w:t>
      </w:r>
      <w:r>
        <w:t xml:space="preserve"> </w:t>
      </w:r>
      <w:r>
        <w:t xml:space="preserve">same fail-safe as the auto triggers. Evidence is treated as</w:t>
      </w:r>
      <w:r>
        <w:t xml:space="preserve"> </w:t>
      </w:r>
      <w:r>
        <w:rPr>
          <w:bCs/>
          <w:b/>
        </w:rPr>
        <w:t xml:space="preserve">untrusted</w:t>
      </w:r>
      <w:r>
        <w:t xml:space="preserve"> </w:t>
      </w:r>
      <w:r>
        <w:t xml:space="preserve">text in the prompt (it can’t</w:t>
      </w:r>
      <w:r>
        <w:t xml:space="preserve"> </w:t>
      </w:r>
      <w:r>
        <w:t xml:space="preserve">instruct the judge). Once you act (the cut/trim PR merges and the name leaves the plan), the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 stops being offered so you can’t open a duplicate.</w:t>
      </w:r>
      <w:r>
        <w:t xml:space="preserve"> </w:t>
      </w:r>
      <w:r>
        <w:t xml:space="preserve">Commodity-price legs (e.g. NdPr &lt; $80/kg, memory pricing) have no free feed, so they’re judged</w:t>
      </w:r>
      <w:r>
        <w:t xml:space="preserve"> </w:t>
      </w:r>
      <w:r>
        <w:rPr>
          <w:iCs/>
          <w:i/>
        </w:rPr>
        <w:t xml:space="preserve">news-inferred</w:t>
      </w:r>
      <w:r>
        <w:t xml:space="preserve"> </w:t>
      </w:r>
      <w:r>
        <w:t xml:space="preserve">and flagged as such.</w:t>
      </w:r>
      <w:r>
        <w:t xml:space="preserve"> </w:t>
      </w:r>
      <w:r>
        <w:rPr>
          <w:bCs/>
          <w:b/>
        </w:rPr>
        <w:t xml:space="preserve">Advisory only — Puck never trades or edits your book; you confirm and act.</w:t>
      </w:r>
      <w:r>
        <w:t xml:space="preserve"> </w:t>
      </w:r>
      <w:r>
        <w:rPr>
          <w:iCs/>
          <w:i/>
        </w:rPr>
        <w:t xml:space="preserve">(Needs an</w:t>
      </w:r>
      <w:r>
        <w:rPr>
          <w:iCs/>
          <w:i/>
        </w:rPr>
        <w:t xml:space="preserve"> </w:t>
      </w:r>
      <w:r>
        <w:rPr>
          <w:iCs/>
          <w:i/>
        </w:rPr>
        <w:t xml:space="preserve">LLM key; without one the manual triggers fall back to plain monitor reminders.)</w:t>
      </w:r>
    </w:p>
    <w:p>
      <w:pPr>
        <w:pStyle w:val="BodyText"/>
      </w:pPr>
      <w:r>
        <w:t xml:space="preserve">When a plan-editing catalyst (a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trim</w:t>
      </w:r>
      <w:r>
        <w:t xml:space="preserve">) is</w:t>
      </w:r>
      <w:r>
        <w:t xml:space="preserve"> </w:t>
      </w:r>
      <w:r>
        <w:rPr>
          <w:iCs/>
          <w:i/>
        </w:rPr>
        <w:t xml:space="preserve">fired</w:t>
      </w:r>
      <w:r>
        <w:t xml:space="preserve">, the card shows a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button: it</w:t>
      </w:r>
      <w:r>
        <w:t xml:space="preserve"> </w:t>
      </w:r>
      <w:r>
        <w:t xml:space="preserve">opens a pull request that applies the edit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(cut → drop the name; trim → reduce it a third)</w:t>
      </w:r>
      <w:r>
        <w:t xml:space="preserve"> </w:t>
      </w:r>
      <w:r>
        <w:t xml:space="preserve">and renormalizes the plan, with the evidence + drafted action in the PR body.</w:t>
      </w:r>
      <w:r>
        <w:t xml:space="preserve"> </w:t>
      </w:r>
      <w:r>
        <w:rPr>
          <w:bCs/>
          <w:b/>
        </w:rPr>
        <w:t xml:space="preserve">Nothing is auto-merged</w:t>
      </w:r>
      <w:r>
        <w:t xml:space="preserve"> </w:t>
      </w:r>
      <w:r>
        <w:t xml:space="preserve">—</w:t>
      </w:r>
      <w:r>
        <w:t xml:space="preserve"> </w:t>
      </w:r>
      <w:r>
        <w:t xml:space="preserve">you review the weights, adjust, and merge (needs a write token in Settings → Admin), exactly like the</w:t>
      </w:r>
      <w:r>
        <w:t xml:space="preserve"> </w:t>
      </w:r>
      <w:r>
        <w:t xml:space="preserve">diversifier</w:t>
      </w:r>
      <w:r>
        <w:t xml:space="preserve"> </w:t>
      </w:r>
      <w:r>
        <w:t xml:space="preserve">“</w:t>
      </w:r>
      <w:r>
        <w:t xml:space="preserve">Accept</w:t>
      </w:r>
      <w:r>
        <w:t xml:space="preserve">”</w:t>
      </w:r>
      <w:r>
        <w:t xml:space="preserve"> </w:t>
      </w:r>
      <w:r>
        <w:t xml:space="preserve">flow.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267575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7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7159228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59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7159228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59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2026-06-02T14:51:37Z</dcterms:created>
  <dcterms:modified xsi:type="dcterms:W3CDTF">2026-06-02T14:51:37Z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