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2372379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7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Overlays line.</w:t>
      </w:r>
      <w:r>
        <w:t xml:space="preserve"> </w:t>
      </w:r>
      <w:r>
        <w:t xml:space="preserve">Directly under the account policy, an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row makes both dials explicit at a</w:t>
      </w:r>
      <w:r>
        <w:t xml:space="preserve"> </w:t>
      </w:r>
      <w:r>
        <w:t xml:space="preserve">glance: the</w:t>
      </w:r>
      <w:r>
        <w:t xml:space="preserve"> </w:t>
      </w:r>
      <w:r>
        <w:rPr>
          <w:bCs/>
          <w:b/>
        </w:rPr>
        <w:t xml:space="preserve">Brake</w:t>
      </w:r>
      <w:r>
        <w:t xml:space="preserve"> </w:t>
      </w:r>
      <w:r>
        <w:t xml:space="preserve">(trend vs the 200-DMA + breadth above it →</w:t>
      </w:r>
      <w:r>
        <w:t xml:space="preserve"> </w:t>
      </w:r>
      <w:r>
        <w:rPr>
          <w:iCs/>
          <w:i/>
        </w:rPr>
        <w:t xml:space="preserve">brakes on / clear</w:t>
      </w:r>
      <w:r>
        <w:t xml:space="preserve">) and</w:t>
      </w:r>
      <w:r>
        <w:t xml:space="preserve"> </w:t>
      </w:r>
      <w:r>
        <w:rPr>
          <w:bCs/>
          <w:b/>
        </w:rPr>
        <w:t xml:space="preserve">Fast re-entry</w:t>
      </w:r>
      <w:r>
        <w:t xml:space="preserve"> </w:t>
      </w:r>
      <w:r>
        <w:t xml:space="preserve">(breadth above the 20-DMA vs its</w:t>
      </w:r>
      <w:r>
        <w:t xml:space="preserve"> </w:t>
      </w:r>
      <w:r>
        <w:rPr>
          <w:bCs/>
          <w:b/>
        </w:rPr>
        <w:t xml:space="preserve">60% trigger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armed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not armed</w:t>
      </w:r>
      <w:r>
        <w:t xml:space="preserve">, and whether it</w:t>
      </w:r>
      <w:r>
        <w:t xml:space="preserve"> </w:t>
      </w:r>
      <w:r>
        <w:rPr>
          <w:bCs/>
          <w:b/>
        </w:rPr>
        <w:t xml:space="preserve">re-risked one</w:t>
      </w:r>
      <w:r>
        <w:rPr>
          <w:bCs/>
          <w:b/>
        </w:rPr>
        <w:t xml:space="preserve"> </w:t>
      </w:r>
      <w:r>
        <w:rPr>
          <w:bCs/>
          <w:b/>
        </w:rPr>
        <w:t xml:space="preserve">notch</w:t>
      </w:r>
      <w:r>
        <w:t xml:space="preserve">), plus the macro overlay state. The tilt + posture flow into the</w:t>
      </w:r>
      <w:r>
        <w:t xml:space="preserve"> </w:t>
      </w:r>
      <w:r>
        <w:rPr>
          <w:bCs/>
          <w:b/>
        </w:rPr>
        <w:t xml:space="preserve">buy 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posture; trims bite in any</w:t>
      </w:r>
      <w:r>
        <w:t xml:space="preserve"> </w:t>
      </w:r>
      <w:r>
        <w:t xml:space="preserve">posture) and into the forced-flow accumulate badges (⏳ on-trigger when the 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 — a broad thrust — it</w:t>
      </w:r>
      <w:r>
        <w:t xml:space="preserve"> </w:t>
      </w:r>
      <w:r>
        <w:rPr>
          <w:bCs/>
          <w:b/>
        </w:rPr>
        <w:t xml:space="preserve">clears the deploy-brake to neutral</w:t>
      </w:r>
      <w:r>
        <w:t xml:space="preserve">, even out of a deep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regime, so you don’t stay in cash</w:t>
      </w:r>
      <w:r>
        <w:t xml:space="preserve"> </w:t>
      </w:r>
      <w:r>
        <w:t xml:space="preserve">through a V-shaped bottom (the momentum-crash fix). It’s</w:t>
      </w:r>
      <w:r>
        <w:t xml:space="preserve"> </w:t>
      </w:r>
      <w:r>
        <w:rPr>
          <w:bCs/>
          <w:b/>
        </w:rPr>
        <w:t xml:space="preserve">capped at neutral</w:t>
      </w:r>
      <w:r>
        <w:t xml:space="preserve">: it lifts the brake (deploy</w:t>
      </w:r>
      <w:r>
        <w:t xml:space="preserve"> </w:t>
      </w:r>
      <w:r>
        <w:t xml:space="preserve">pace) without triggering position</w:t>
      </w:r>
      <w:r>
        <w:t xml:space="preserve"> </w:t>
      </w:r>
      <w:r>
        <w:rPr>
          <w:iCs/>
          <w:i/>
        </w:rPr>
        <w:t xml:space="preserve">acceleration</w:t>
      </w:r>
      <w:r>
        <w:t xml:space="preserve"> </w:t>
      </w:r>
      <w:r>
        <w:t xml:space="preserve">— re-risk, not lever up. The macro-stress brake always</w:t>
      </w:r>
      <w:r>
        <w:t xml:space="preserve"> </w:t>
      </w:r>
      <w:r>
        <w:t xml:space="preserve">wins over it.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 The brake now runs at the</w:t>
      </w:r>
      <w:r>
        <w:t xml:space="preserve"> </w:t>
      </w:r>
      <w:r>
        <w:rPr>
          <w:bCs/>
          <w:b/>
        </w:rPr>
        <w:t xml:space="preserve">live 200-day MA</w:t>
      </w:r>
      <w:r>
        <w:t xml:space="preserve"> </w:t>
      </w:r>
      <w:r>
        <w:t xml:space="preserve">and the line includes the</w:t>
      </w:r>
      <w:r>
        <w:t xml:space="preserve"> </w:t>
      </w:r>
      <w:r>
        <w:rPr>
          <w:bCs/>
          <w:b/>
        </w:rPr>
        <w:t xml:space="preserve">turnover cost</w:t>
      </w:r>
      <w:r>
        <w:t xml:space="preserve"> </w:t>
      </w:r>
      <w:r>
        <w:t xml:space="preserve">charged for switching in/out of cash (so its Calmar isn’t overstated). When the basket lacks enough history to test the 200-day brake honestly, the line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unproven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showing a number. A separate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Brake proof</w:t>
      </w:r>
      <w:r>
        <w:rPr>
          <w:bCs/>
          <w:b/>
        </w:rPr>
        <w:t xml:space="preserve">”</w:t>
      </w:r>
      <w:r>
        <w:t xml:space="preserve"> </w:t>
      </w:r>
      <w:r>
        <w:t xml:space="preserve">block then runs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200-day brake on</w:t>
      </w:r>
      <w:r>
        <w:t xml:space="preserve"> </w:t>
      </w:r>
      <w:r>
        <w:rPr>
          <w:bCs/>
          <w:b/>
        </w:rPr>
        <w:t xml:space="preserve">deep history pulled from the accumulated database</w:t>
      </w:r>
      <w:r>
        <w:t xml:space="preserve"> </w:t>
      </w:r>
      <w:r>
        <w:t xml:space="preserve">(SPY/QQQ/SOXX, back through 2000/2008/2020/2022) so the dial’s tail claim is tested against real crashes — showing, per instrument, whether the brake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improved</w:t>
      </w:r>
      <w:r>
        <w:t xml:space="preserve"> </w:t>
      </w:r>
      <w:r>
        <w:t xml:space="preserve">Calmar (✓/✗), its CAGR cost, and a per-crash list where ⚠ marks a crash the brake</w:t>
      </w:r>
      <w:r>
        <w:t xml:space="preserve"> </w:t>
      </w:r>
      <w:r>
        <w:rPr>
          <w:bCs/>
          <w:b/>
        </w:rPr>
        <w:t xml:space="preserve">whipsawed</w:t>
      </w:r>
      <w:r>
        <w:t xml:space="preserve"> </w:t>
      </w:r>
      <w:r>
        <w:t xml:space="preserve">instead of cutting. Finally,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System backtest (as designed)</w:t>
      </w:r>
      <w:r>
        <w:rPr>
          <w:bCs/>
          <w:b/>
        </w:rPr>
        <w:t xml:space="preserve">”</w:t>
      </w:r>
      <w:r>
        <w:t xml:space="preserve"> </w:t>
      </w:r>
      <w:r>
        <w:t xml:space="preserve">block runs the</w:t>
      </w:r>
      <w:r>
        <w:t xml:space="preserve"> </w:t>
      </w:r>
      <w:r>
        <w:rPr>
          <w:iCs/>
          <w:i/>
        </w:rPr>
        <w:t xml:space="preserve">full</w:t>
      </w:r>
      <w:r>
        <w:t xml:space="preserve"> </w:t>
      </w:r>
      <w:r>
        <w:t xml:space="preserve">timing overlay (200-day brake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breadth fast-entry — re-risk when ≥60% of names reclaim their 20-DMA, turnover-costed) on the</w:t>
      </w:r>
      <w:r>
        <w:t xml:space="preserve"> </w:t>
      </w:r>
      <w:r>
        <w:rPr>
          <w:bCs/>
          <w:b/>
        </w:rPr>
        <w:t xml:space="preserve">book’s own names</w:t>
      </w:r>
      <w:r>
        <w:t xml:space="preserve">, three ways —</w:t>
      </w:r>
      <w:r>
        <w:t xml:space="preserve"> </w:t>
      </w:r>
      <w:r>
        <w:rPr>
          <w:bCs/>
          <w:b/>
        </w:rPr>
        <w:t xml:space="preserve">buy-&amp;-hold vs +brake vs +brake+fast-reentry</w:t>
      </w:r>
      <w:r>
        <w:t xml:space="preserve"> </w:t>
      </w:r>
      <w:r>
        <w:t xml:space="preserve">— and checks each against the</w:t>
      </w:r>
      <w:r>
        <w:t xml:space="preserve"> </w:t>
      </w:r>
      <w:r>
        <w:rPr>
          <w:bCs/>
          <w:b/>
        </w:rPr>
        <w:t xml:space="preserve">−35% mandate</w:t>
      </w:r>
      <w:r>
        <w:t xml:space="preserve"> </w:t>
      </w:r>
      <w:r>
        <w:t xml:space="preserve">(✓ holds / ✗ breaches), so you can see exactly what the timing layer does to both drawdown and CAGR. Selection is held fixed (the alpha selection signal is graded separately by the Track record + cross-sectional signal backtest). The proofs are methodology evidence on deep history,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promise about your exact future book.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2026-06-03T03:58:22Z</dcterms:created>
  <dcterms:modified xsi:type="dcterms:W3CDTF">2026-06-03T03:58:22Z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