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How Does J-Space Ablation Trade Off Against External CoT?</w:t>
      </w:r>
    </w:p>
    <w:p>
      <w:pPr>
        <w:spacing w:after="40"/>
        <w:jc w:val="center"/>
      </w:pPr>
      <w:r>
        <w:rPr>
          <w:color w:val="444444"/>
          <w:sz w:val="22"/>
          <w:szCs w:val="22"/>
        </w:rPr>
        <w:t xml:space="preserve">CS 2881r (AI Safety) — Homework 0</w:t>
      </w:r>
    </w:p>
    <w:p>
      <w:pPr>
        <w:spacing w:after="240"/>
        <w:jc w:val="center"/>
      </w:pPr>
      <w:r>
        <w:rPr>
          <w:color w:val="666666"/>
          <w:sz w:val="20"/>
          <w:szCs w:val="20"/>
        </w:rPr>
        <w:t xml:space="preserve">Shyla Nguyen · shylanguyen@college.harvard.edu · August 2026</w:t>
      </w:r>
    </w:p>
    <w:p>
      <w:pPr>
        <w:pStyle w:val="Heading1"/>
        <w:spacing w:after="120" w:before="240"/>
      </w:pPr>
      <w:r>
        <w:rPr>
          <w:b/>
          <w:bCs/>
          <w:color w:val="1a1a19"/>
          <w:sz w:val="26"/>
          <w:szCs w:val="26"/>
        </w:rPr>
        <w:t xml:space="preserve">1. Hypothesis</w:t>
      </w:r>
    </w:p>
    <w:p>
      <w:pPr>
        <w:spacing w:after="120" w:line="264"/>
        <w:jc w:val="both"/>
      </w:pPr>
      <w:r>
        <w:rPr>
          <w:sz w:val="21"/>
          <w:szCs w:val="21"/>
        </w:rPr>
        <w:t xml:space="preserve">The workspace paper identifies a small set of verbalizable directions (the </w:t>
      </w:r>
      <w:r>
        <w:rPr>
          <w:i/>
          <w:iCs/>
          <w:sz w:val="21"/>
          <w:szCs w:val="21"/>
        </w:rPr>
        <w:t xml:space="preserve">J-space</w:t>
      </w:r>
      <w:r>
        <w:rPr>
          <w:sz w:val="21"/>
          <w:szCs w:val="21"/>
        </w:rPr>
        <w:t xml:space="preserve">) that carries a model's intermediate reasoning state, and shows that ablating it devastates multi-hop reasoning while leaving shallow extraction intact. Chain of thought externalizes intermediate state into the context, where an activation-space ablation cannot reach it. Our pre-registered hypothesis (recorded in </w:t>
      </w:r>
      <w:r>
        <w:rPr>
          <w:rFonts w:ascii="Consolas" w:cs="Consolas" w:eastAsia="Consolas" w:hAnsi="Consolas"/>
          <w:sz w:val="19"/>
          <w:szCs w:val="19"/>
        </w:rPr>
        <w:t xml:space="preserve">src/config.py</w:t>
      </w:r>
      <w:r>
        <w:rPr>
          <w:sz w:val="21"/>
          <w:szCs w:val="21"/>
        </w:rPr>
        <w:t xml:space="preserve"> before any ablated data was generated) is a substitution account:</w:t>
      </w:r>
    </w:p>
    <w:p>
      <w:pPr>
        <w:spacing w:after="120" w:line="264"/>
        <w:jc w:val="both"/>
      </w:pPr>
      <w:r>
        <w:rPr>
          <w:b/>
          <w:bCs/>
          <w:sz w:val="21"/>
          <w:szCs w:val="21"/>
        </w:rPr>
        <w:t xml:space="preserve">H1 (substitution). </w:t>
      </w:r>
      <w:r>
        <w:rPr>
          <w:sz w:val="21"/>
          <w:szCs w:val="21"/>
        </w:rPr>
        <w:t xml:space="preserve">J-space ablation hurts </w:t>
      </w:r>
      <w:r>
        <w:rPr>
          <w:i/>
          <w:iCs/>
          <w:sz w:val="21"/>
          <w:szCs w:val="21"/>
        </w:rPr>
        <w:t xml:space="preserve">direct</w:t>
      </w:r>
      <w:r>
        <w:rPr>
          <w:sz w:val="21"/>
          <w:szCs w:val="21"/>
        </w:rPr>
        <w:t xml:space="preserve"> answering (no chain of thought) more than </w:t>
      </w:r>
      <w:r>
        <w:rPr>
          <w:i/>
          <w:iCs/>
          <w:sz w:val="21"/>
          <w:szCs w:val="21"/>
        </w:rPr>
        <w:t xml:space="preserve">CoT</w:t>
      </w:r>
      <w:r>
        <w:rPr>
          <w:sz w:val="21"/>
          <w:szCs w:val="21"/>
        </w:rPr>
        <w:t xml:space="preserve"> answering, because CoT can re-externalize the work the workspace was doing. The pre-registered headline statistic is the interaction</w:t>
      </w:r>
    </w:p>
    <w:p>
      <w:pPr>
        <w:spacing w:after="120"/>
        <w:jc w:val="center"/>
      </w:pPr>
      <w:r>
        <w:rPr>
          <w:i/>
          <w:iCs/>
          <w:sz w:val="21"/>
          <w:szCs w:val="21"/>
        </w:rPr>
        <w:t xml:space="preserve">Δ = (direct_intact − direct_ablated) − (cot_intact − cot_ablated),</w:t>
      </w:r>
    </w:p>
    <w:p>
      <w:pPr>
        <w:spacing w:after="120" w:line="264"/>
        <w:jc w:val="both"/>
      </w:pPr>
      <w:r>
        <w:rPr>
          <w:sz w:val="21"/>
          <w:szCs w:val="21"/>
        </w:rPr>
        <w:t xml:space="preserve">with H1 predicting Δ &gt; 0. A Δ ≈ 0 with a tight interval means no measurable trade-off; Δ &lt; 0 would indicate the opposite of substitution — that the workspace remains load-bearing </w:t>
      </w:r>
      <w:r>
        <w:rPr>
          <w:i/>
          <w:iCs/>
          <w:sz w:val="21"/>
          <w:szCs w:val="21"/>
        </w:rPr>
        <w:t xml:space="preserve">during</w:t>
      </w:r>
      <w:r>
        <w:rPr>
          <w:sz w:val="21"/>
          <w:szCs w:val="21"/>
        </w:rPr>
        <w:t xml:space="preserve"> chain of thought. Both outcomes are visible under the same design, which is what makes the test fair.</w:t>
      </w:r>
    </w:p>
    <w:p>
      <w:pPr>
        <w:spacing w:after="120" w:line="264"/>
        <w:jc w:val="both"/>
      </w:pPr>
      <w:r>
        <w:rPr>
          <w:b/>
          <w:bCs/>
          <w:sz w:val="21"/>
          <w:szCs w:val="21"/>
        </w:rPr>
        <w:t xml:space="preserve">H2 (difficulty scaling). </w:t>
      </w:r>
      <w:r>
        <w:rPr>
          <w:sz w:val="21"/>
          <w:szCs w:val="21"/>
        </w:rPr>
        <w:t xml:space="preserve">As problem difficulty rises (GSM8K → MATH-500 → AIME 2024), substitution predicts the CoT arm stays robust to ablation even as problems harden, since more of the computation is externalized. The complementary account predicts the ablation deficit in the CoT arm grows with difficulty, because harder problems make the model lean on internal workspace state between emitted tokens.</w:t>
      </w:r>
    </w:p>
    <w:p>
      <w:pPr>
        <w:spacing w:after="120" w:line="264"/>
        <w:jc w:val="both"/>
      </w:pPr>
      <w:r>
        <w:rPr>
          <w:b/>
          <w:bCs/>
          <w:sz w:val="21"/>
          <w:szCs w:val="21"/>
        </w:rPr>
        <w:t xml:space="preserve">Selectivity requirement. </w:t>
      </w:r>
      <w:r>
        <w:rPr>
          <w:sz w:val="21"/>
          <w:szCs w:val="21"/>
        </w:rPr>
        <w:t xml:space="preserve">Under either hypothesis, a deficit only counts as a J-space effect if it exceeds a matched random-direction control; a deficit shared with the control is broad degradation, not workspace removal.</w:t>
      </w:r>
    </w:p>
    <w:p>
      <w:pPr>
        <w:pStyle w:val="Heading1"/>
        <w:spacing w:after="120" w:before="240"/>
      </w:pPr>
      <w:r>
        <w:rPr>
          <w:b/>
          <w:bCs/>
          <w:color w:val="1a1a19"/>
          <w:sz w:val="26"/>
          <w:szCs w:val="26"/>
        </w:rPr>
        <w:t xml:space="preserve">2. Experiment design</w:t>
      </w:r>
    </w:p>
    <w:p>
      <w:pPr>
        <w:spacing w:after="120" w:line="264"/>
        <w:jc w:val="both"/>
      </w:pPr>
      <w:r>
        <w:rPr>
          <w:sz w:val="21"/>
          <w:szCs w:val="21"/>
        </w:rPr>
        <w:t xml:space="preserve">Per dataset, a 2×3 factorial: an </w:t>
      </w:r>
      <w:r>
        <w:rPr>
          <w:i/>
          <w:iCs/>
          <w:sz w:val="21"/>
          <w:szCs w:val="21"/>
        </w:rPr>
        <w:t xml:space="preserve">externalization axis</w:t>
      </w:r>
      <w:r>
        <w:rPr>
          <w:sz w:val="21"/>
          <w:szCs w:val="21"/>
        </w:rPr>
        <w:t xml:space="preserve"> (cot: thinking mode enabled; direct: thinking disabled, an “answer only, no reasoning” instruction, and a </w:t>
      </w:r>
      <w:r>
        <w:rPr>
          <w:rFonts w:ascii="Consolas" w:cs="Consolas" w:eastAsia="Consolas" w:hAnsi="Consolas"/>
          <w:sz w:val="19"/>
          <w:szCs w:val="19"/>
        </w:rPr>
        <w:t xml:space="preserve">\boxed{</w:t>
      </w:r>
      <w:r>
        <w:rPr>
          <w:sz w:val="21"/>
          <w:szCs w:val="21"/>
        </w:rPr>
        <w:t xml:space="preserve"> prefill that commits the model to answering immediately) crossed with an </w:t>
      </w:r>
      <w:r>
        <w:rPr>
          <w:i/>
          <w:iCs/>
          <w:sz w:val="21"/>
          <w:szCs w:val="21"/>
        </w:rPr>
        <w:t xml:space="preserve">intervention axis</w:t>
      </w:r>
      <w:r>
        <w:rPr>
          <w:sz w:val="21"/>
          <w:szCs w:val="21"/>
        </w:rPr>
        <w:t xml:space="preserve"> (intact / J-space ablated / random-direction control). All six cells run the same problems, so every comparison is paired at the problem level.</w:t>
      </w:r>
    </w:p>
    <w:p>
      <w:pPr>
        <w:pStyle w:val="Heading2"/>
        <w:spacing w:after="100" w:before="180"/>
      </w:pPr>
      <w:r>
        <w:rPr>
          <w:b/>
          <w:bCs/>
          <w:color w:val="1a1a19"/>
          <w:sz w:val="22"/>
          <w:szCs w:val="22"/>
        </w:rPr>
        <w:t xml:space="preserve">Controls that separate J-space effects from broad degradation</w:t>
      </w:r>
    </w:p>
    <w:p>
      <w:pPr>
        <w:pStyle w:val="ListParagraph"/>
        <w:numPr>
          <w:ilvl w:val="0"/>
          <w:numId w:val="2"/>
        </w:numPr>
        <w:spacing w:after="80" w:line="264"/>
        <w:jc w:val="both"/>
      </w:pPr>
      <w:r>
        <w:rPr>
          <w:b/>
          <w:bCs/>
          <w:sz w:val="21"/>
          <w:szCs w:val="21"/>
        </w:rPr>
        <w:t xml:space="preserve">Matched random control (rand_tok). </w:t>
      </w:r>
      <w:r>
        <w:rPr>
          <w:sz w:val="21"/>
          <w:szCs w:val="21"/>
        </w:rPr>
        <w:t xml:space="preserve">The identical operation — project out k = 10 directions drawn from the unembedding, in the same layer band, with the same projection mode — with only the selection randomized: k uniformly random unembedding rows instead of the top-k readout tokens, re-drawn per (problem, layer, position). Anything the ablation does that the control also does is degradation, not a workspace effect.</w:t>
      </w:r>
    </w:p>
    <w:p>
      <w:pPr>
        <w:pStyle w:val="ListParagraph"/>
        <w:numPr>
          <w:ilvl w:val="0"/>
          <w:numId w:val="2"/>
        </w:numPr>
        <w:spacing w:after="80" w:line="264"/>
        <w:jc w:val="both"/>
      </w:pPr>
      <w:r>
        <w:rPr>
          <w:b/>
          <w:bCs/>
          <w:sz w:val="21"/>
          <w:szCs w:val="21"/>
        </w:rPr>
        <w:t xml:space="preserve">Control interaction. </w:t>
      </w:r>
      <w:r>
        <w:rPr>
          <w:sz w:val="21"/>
          <w:szCs w:val="21"/>
        </w:rPr>
        <w:t xml:space="preserve">The full interaction Δ is recomputed with the random cells substituted for the ablated ones. It should be ≈ 0; if it is not, the pipeline itself (not J-space) moves the headline number, and the two must be read together.</w:t>
      </w:r>
    </w:p>
    <w:p>
      <w:pPr>
        <w:pStyle w:val="ListParagraph"/>
        <w:numPr>
          <w:ilvl w:val="0"/>
          <w:numId w:val="2"/>
        </w:numPr>
        <w:spacing w:after="80" w:line="264"/>
        <w:jc w:val="both"/>
      </w:pPr>
      <w:r>
        <w:rPr>
          <w:b/>
          <w:bCs/>
          <w:sz w:val="21"/>
          <w:szCs w:val="21"/>
        </w:rPr>
        <w:t xml:space="preserve">Selectivity per arm. </w:t>
      </w:r>
      <w:r>
        <w:rPr>
          <w:sz w:val="21"/>
          <w:szCs w:val="21"/>
        </w:rPr>
        <w:t xml:space="preserve">(intact − ablated) − (intact − random) = random − ablated, with a paired bootstrap CI: the targeted-minus-matched-control deficit within each arm.</w:t>
      </w:r>
    </w:p>
    <w:p>
      <w:pPr>
        <w:pStyle w:val="ListParagraph"/>
        <w:numPr>
          <w:ilvl w:val="0"/>
          <w:numId w:val="2"/>
        </w:numPr>
        <w:spacing w:after="80" w:line="264"/>
        <w:jc w:val="both"/>
      </w:pPr>
      <w:r>
        <w:rPr>
          <w:b/>
          <w:bCs/>
          <w:sz w:val="21"/>
          <w:szCs w:val="21"/>
        </w:rPr>
        <w:t xml:space="preserve">Degeneration gate. </w:t>
      </w:r>
      <w:r>
        <w:rPr>
          <w:sz w:val="21"/>
          <w:szCs w:val="21"/>
        </w:rPr>
        <w:t xml:space="preserve">Before paying for the expensive cells, ablated CoT runs on the first 20 problems and the run stops if its unusable rate (incomplete / unparsed / error) exceeds the matched intact cell's by more than 15 points — a tripwire against comparing arms when generation has simply broken. This gate fired on AIME (§4).</w:t>
      </w:r>
    </w:p>
    <w:p>
      <w:pPr>
        <w:pStyle w:val="Heading2"/>
        <w:spacing w:after="100" w:before="180"/>
      </w:pPr>
      <w:r>
        <w:rPr>
          <w:b/>
          <w:bCs/>
          <w:color w:val="1a1a19"/>
          <w:sz w:val="22"/>
          <w:szCs w:val="22"/>
        </w:rPr>
        <w:t xml:space="preserve">Statistics and pre-registration</w:t>
      </w:r>
    </w:p>
    <w:p>
      <w:pPr>
        <w:spacing w:after="120" w:line="264"/>
        <w:jc w:val="both"/>
      </w:pPr>
      <w:r>
        <w:rPr>
          <w:sz w:val="21"/>
          <w:szCs w:val="21"/>
        </w:rPr>
        <w:t xml:space="preserve">Within-arm comparisons use McNemar's exact test on paired outcomes; selectivity and interaction estimates use a percentile bootstrap (10,000 resamples) over </w:t>
      </w:r>
      <w:r>
        <w:rPr>
          <w:i/>
          <w:iCs/>
          <w:sz w:val="21"/>
          <w:szCs w:val="21"/>
        </w:rPr>
        <w:t xml:space="preserve">problems</w:t>
      </w:r>
      <w:r>
        <w:rPr>
          <w:sz w:val="21"/>
          <w:szCs w:val="21"/>
        </w:rPr>
        <w:t xml:space="preserve">, not observations, preserving the pairing. Sample sizes came from a power analysis at pilot accuracies (ρ = 0.5): n = 150 for GSM8K; n = 150 for MATH-500 (amended from 100 before any MATH-500 data existed); all 30 problems for AIME 2024. Every analysis choice — layer band, k, projection mode, exclusion rule, token caps, sample sizes, prompts — was fixed in a committed config module before ablated data was generated, and accessors raise on any undecided value so a choice cannot be made silently at the keyboard. Twelve GSM8K problems were spent selecting the layer band; the analysis flags them and reports the exploratory-vs-holdout split alongside the headline numbers, since selection on outcome data inflates whatever it selected for.</w:t>
      </w:r>
    </w:p>
    <w:p>
      <w:pPr>
        <w:spacing w:after="120" w:line="264"/>
        <w:jc w:val="both"/>
      </w:pPr>
      <w:r>
        <w:rPr>
          <w:sz w:val="21"/>
          <w:szCs w:val="21"/>
        </w:rPr>
        <w:t xml:space="preserve">Why this design answers the question: substitution, complementarity, and no-effect each produce a distinct, visible signature — positive, negative, or null interaction — and the matched control plus control interaction ensure that whatever signature appears cannot be explained by the intervention simply damaging the model.</w:t>
      </w:r>
    </w:p>
    <w:p>
      <w:pPr>
        <w:pStyle w:val="Heading1"/>
        <w:spacing w:after="120" w:before="240"/>
      </w:pPr>
      <w:r>
        <w:rPr>
          <w:b/>
          <w:bCs/>
          <w:color w:val="1a1a19"/>
          <w:sz w:val="26"/>
          <w:szCs w:val="26"/>
        </w:rPr>
        <w:t xml:space="preserve">3. Experimental details</w:t>
      </w:r>
    </w:p>
    <w:p>
      <w:pPr>
        <w:spacing w:after="120" w:line="264"/>
        <w:jc w:val="both"/>
      </w:pPr>
      <w:r>
        <w:rPr>
          <w:b/>
          <w:bCs/>
          <w:sz w:val="21"/>
          <w:szCs w:val="21"/>
        </w:rPr>
        <w:t xml:space="preserve">Model and decoding. </w:t>
      </w:r>
      <w:r>
        <w:rPr>
          <w:sz w:val="21"/>
          <w:szCs w:val="21"/>
        </w:rPr>
        <w:t xml:space="preserve">Qwen3-4B at a pinned checkpoint revision, bf16, greedy decoding, batch size 1, single device per run. Greedy bf16 decoding is deterministic only within a backend (MPS vs CUDA kernels differ), so the device is recorded on every record and a run refuses to resume onto a different backend.</w:t>
      </w:r>
    </w:p>
    <w:p>
      <w:pPr>
        <w:spacing w:after="120" w:line="264"/>
        <w:jc w:val="both"/>
      </w:pPr>
      <w:r>
        <w:rPr>
          <w:b/>
          <w:bCs/>
          <w:sz w:val="21"/>
          <w:szCs w:val="21"/>
        </w:rPr>
        <w:t xml:space="preserve">J-lens under the feasibility approximation J = I. </w:t>
      </w:r>
      <w:r>
        <w:rPr>
          <w:sz w:val="21"/>
          <w:szCs w:val="21"/>
        </w:rPr>
        <w:t xml:space="preserve">The paper's J-lens requires per-layer Jacobians averaged over positions and a 1,000-prompt corpus, which is out of reach at our compute. We use the special case J = I: the J-lens vector for token t at every layer is the unembedding row W_U[t] scaled by the final RMSNorm's learned gain, and the readout is the gain-aware logit lens. Calibration against the model's own logits at the final layer: 100% top-1 agreement, 94.1% top-10 set agreement (the discrepancy is bf16 rounding at the rank-10 boundary; the full norm is applied to make the arithmetic exact). This is the single largest deviation from the paper and is discussed in §5.</w:t>
      </w:r>
    </w:p>
    <w:p>
      <w:pPr>
        <w:spacing w:after="120" w:line="264"/>
        <w:jc w:val="both"/>
      </w:pPr>
      <w:r>
        <w:rPr>
          <w:b/>
          <w:bCs/>
          <w:sz w:val="21"/>
          <w:szCs w:val="21"/>
        </w:rPr>
        <w:t xml:space="preserve">Ablation. </w:t>
      </w:r>
      <w:r>
        <w:rPr>
          <w:sz w:val="21"/>
          <w:szCs w:val="21"/>
        </w:rPr>
        <w:t xml:space="preserve">At every position in the band, the top k = 10 vocabulary tokens by gain-aware readout are selected and their J-lens directions projected out of the residual stream (“each” mode — sequential per-direction projection, the paper's literal wording; a directions probe measured the selected ten as near-orthogonal, effective rank 9.13/10, so “each” and “span” differ little). The band is the paper's </w:t>
      </w:r>
      <w:r>
        <w:rPr>
          <w:i/>
          <w:iCs/>
          <w:sz w:val="21"/>
          <w:szCs w:val="21"/>
        </w:rPr>
        <w:t xml:space="preserve">light</w:t>
      </w:r>
      <w:r>
        <w:rPr>
          <w:sz w:val="21"/>
          <w:szCs w:val="21"/>
        </w:rPr>
        <w:t xml:space="preserve"> band L38–54 on its 0–100 fractional-depth scale, mapped to layers 14–19 of Qwen3-4B's 36. Light rather than heavy because the paper reports that on its smallest model ablation degraded coherence before producing any qualitative change, and Qwen3-4B is far smaller still.</w:t>
      </w:r>
    </w:p>
    <w:p>
      <w:pPr>
        <w:spacing w:after="120" w:line="264"/>
        <w:jc w:val="both"/>
      </w:pPr>
      <w:r>
        <w:rPr>
          <w:b/>
          <w:bCs/>
          <w:sz w:val="21"/>
          <w:szCs w:val="21"/>
        </w:rPr>
        <w:t xml:space="preserve">Exclusion rule. </w:t>
      </w:r>
      <w:r>
        <w:rPr>
          <w:sz w:val="21"/>
          <w:szCs w:val="21"/>
        </w:rPr>
        <w:t xml:space="preserve">Following the paper, J-lens vectors of tokens in the top-10 of a clean forward pass on the same context are exempted at each position, so the intervention targets internal state rather than the readout of the token being emitted. This requires an interleaved clean forward pass at every generation step (≈ 2× cost on ablated cells). It is not optional: with the rule off, a damage-floor probe showed an 84% flip rate on SST-2 collapsing to 8% with it on — the rule-off “effect” was destruction of the answer readout itself.</w:t>
      </w:r>
    </w:p>
    <w:p>
      <w:pPr>
        <w:spacing w:after="120" w:line="264"/>
        <w:jc w:val="both"/>
      </w:pPr>
      <w:r>
        <w:rPr>
          <w:b/>
          <w:bCs/>
          <w:sz w:val="21"/>
          <w:szCs w:val="21"/>
        </w:rPr>
        <w:t xml:space="preserve">Datasets and sampling. </w:t>
      </w:r>
      <w:r>
        <w:rPr>
          <w:sz w:val="21"/>
          <w:szCs w:val="21"/>
        </w:rPr>
        <w:t xml:space="preserve">GSM8K test split, n = 150 by seeded shuffle prefix (samples nest across pilot and full runs by construction). AIME 2024, all 30 problems. MATH-500, n = 150 stratified 30 per difficulty level — note this makes cell accuracies level-balanced averages, not comparable to published split-weighted MATH-500 numbers. The layer band was selected on 12 GSM8K problems and transferred unchanged to the other datasets; on those datasets the transfer is an assumption, not a measurement.</w:t>
      </w:r>
    </w:p>
    <w:p>
      <w:pPr>
        <w:spacing w:after="120" w:line="264"/>
        <w:jc w:val="both"/>
      </w:pPr>
      <w:r>
        <w:rPr>
          <w:b/>
          <w:bCs/>
          <w:sz w:val="21"/>
          <w:szCs w:val="21"/>
        </w:rPr>
        <w:t xml:space="preserve">Token caps. </w:t>
      </w:r>
      <w:r>
        <w:rPr>
          <w:sz w:val="21"/>
          <w:szCs w:val="21"/>
        </w:rPr>
        <w:t xml:space="preserve">Per dataset and condition, calibrated on intact generations where possible: GSM8K cot 3072 / direct 128; MATH-500 cot 16,384 / direct 128 (a disclosed budget cap — ≈15% of level-5 intact CoT generations still hit it, per the stopping rule committed before the measurement was read); AIME cot 32,768 / direct 512 (an uncalibrated budget ceiling bounded by the checkpoint's 40,960-position limit). Generations that hit the cap score as “incomplete” (counted incorrect); compositions are reported per cell because a cap that binds asymmetrically would leak into the interaction.</w:t>
      </w:r>
    </w:p>
    <w:p>
      <w:pPr>
        <w:spacing w:after="120" w:line="264"/>
        <w:jc w:val="both"/>
      </w:pPr>
      <w:r>
        <w:rPr>
          <w:b/>
          <w:bCs/>
          <w:sz w:val="21"/>
          <w:szCs w:val="21"/>
        </w:rPr>
        <w:t xml:space="preserve">Scoring. </w:t>
      </w:r>
      <w:r>
        <w:rPr>
          <w:sz w:val="21"/>
          <w:szCs w:val="21"/>
        </w:rPr>
        <w:t xml:space="preserve">First \boxed{} match extracted and checked with a pinned math-verify; the direct condition's prefill has already opened the box, so trailing junk cannot change a score.</w:t>
      </w:r>
    </w:p>
    <w:p>
      <w:pPr>
        <w:spacing w:after="120" w:line="264"/>
        <w:jc w:val="both"/>
      </w:pPr>
      <w:r>
        <w:rPr>
          <w:b/>
          <w:bCs/>
          <w:sz w:val="21"/>
          <w:szCs w:val="21"/>
        </w:rPr>
        <w:t xml:space="preserve">Compute limitations. </w:t>
      </w:r>
      <w:r>
        <w:rPr>
          <w:sz w:val="21"/>
          <w:szCs w:val="21"/>
        </w:rPr>
        <w:t xml:space="preserve">Runs were generated on rented CUDA pods, never mixing backends within a comparison. The AIME cot_ablated cell holds 20 of 30 problems by protocol, not by budget: too many ablated generations ran to the 32,768-token cap, and the pre-registered degeneration gate fired and stopped the cell after its 20-problem window (§4). The MATH-500 cot_ablated records were accidentally lost before merging; the cell is being regenerated and will be added by noon on 8/6 — MATH-500 is analyzed below without it.</w:t>
      </w:r>
    </w:p>
    <w:p>
      <w:pPr>
        <w:pStyle w:val="Heading1"/>
        <w:spacing w:after="120" w:before="240"/>
      </w:pPr>
      <w:r>
        <w:rPr>
          <w:b/>
          <w:bCs/>
          <w:color w:val="1a1a19"/>
          <w:sz w:val="26"/>
          <w:szCs w:val="26"/>
        </w:rPr>
        <w:t xml:space="preserve">4. Experimental results</w:t>
      </w:r>
    </w:p>
    <w:p>
      <w:pPr>
        <w:pStyle w:val="Heading2"/>
        <w:spacing w:after="100" w:before="180"/>
      </w:pPr>
      <w:r>
        <w:rPr>
          <w:b/>
          <w:bCs/>
          <w:color w:val="1a1a19"/>
          <w:sz w:val="22"/>
          <w:szCs w:val="22"/>
        </w:rPr>
        <w:t xml:space="preserve">GSM8K (n = 150)</w:t>
      </w:r>
    </w:p>
    <w:tbl>
      <w:tblPr>
        <w:tblW w:type="dxa" w:w="655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900"/>
        <w:gridCol w:w="950"/>
        <w:gridCol w:w="1000"/>
        <w:gridCol w:w="1100"/>
      </w:tblGrid>
      <w:tr>
        <w:trPr>
          <w:tblHeader/>
        </w:trPr>
        <w:tc>
          <w:tcPr>
            <w:tcW w:type="dxa" w:w="1900"/>
            <w:shd w:fill="EEEDE6" w:val="clear"/>
            <w:tcMar>
              <w:top w:type="dxa" w:w="40"/>
              <w:left w:type="dxa" w:w="80"/>
              <w:bottom w:type="dxa" w:w="40"/>
              <w:right w:type="dxa" w:w="80"/>
            </w:tcMar>
          </w:tcPr>
          <w:p>
            <w:pPr>
              <w:jc w:val="left"/>
            </w:pPr>
            <w:r>
              <w:rPr>
                <w:b/>
                <w:bCs/>
                <w:sz w:val="19"/>
                <w:szCs w:val="19"/>
              </w:rPr>
              <w:t xml:space="preserve">Condition</w:t>
            </w:r>
          </w:p>
        </w:tc>
        <w:tc>
          <w:tcPr>
            <w:tcW w:type="dxa" w:w="700"/>
            <w:shd w:fill="EEEDE6" w:val="clear"/>
            <w:tcMar>
              <w:top w:type="dxa" w:w="40"/>
              <w:left w:type="dxa" w:w="80"/>
              <w:bottom w:type="dxa" w:w="40"/>
              <w:right w:type="dxa" w:w="80"/>
            </w:tcMar>
          </w:tcPr>
          <w:p>
            <w:pPr>
              <w:jc w:val="center"/>
            </w:pPr>
            <w:r>
              <w:rPr>
                <w:b/>
                <w:bCs/>
                <w:sz w:val="19"/>
                <w:szCs w:val="19"/>
              </w:rPr>
              <w:t xml:space="preserve">n</w:t>
            </w:r>
          </w:p>
        </w:tc>
        <w:tc>
          <w:tcPr>
            <w:tcW w:type="dxa" w:w="900"/>
            <w:shd w:fill="EEEDE6" w:val="clear"/>
            <w:tcMar>
              <w:top w:type="dxa" w:w="40"/>
              <w:left w:type="dxa" w:w="80"/>
              <w:bottom w:type="dxa" w:w="40"/>
              <w:right w:type="dxa" w:w="80"/>
            </w:tcMar>
          </w:tcPr>
          <w:p>
            <w:pPr>
              <w:jc w:val="center"/>
            </w:pPr>
            <w:r>
              <w:rPr>
                <w:b/>
                <w:bCs/>
                <w:sz w:val="19"/>
                <w:szCs w:val="19"/>
              </w:rPr>
              <w:t xml:space="preserve">Acc.</w:t>
            </w:r>
          </w:p>
        </w:tc>
        <w:tc>
          <w:tcPr>
            <w:tcW w:type="dxa" w:w="950"/>
            <w:shd w:fill="EEEDE6" w:val="clear"/>
            <w:tcMar>
              <w:top w:type="dxa" w:w="40"/>
              <w:left w:type="dxa" w:w="80"/>
              <w:bottom w:type="dxa" w:w="40"/>
              <w:right w:type="dxa" w:w="80"/>
            </w:tcMar>
          </w:tcPr>
          <w:p>
            <w:pPr>
              <w:jc w:val="center"/>
            </w:pPr>
            <w:r>
              <w:rPr>
                <w:b/>
                <w:bCs/>
                <w:sz w:val="19"/>
                <w:szCs w:val="19"/>
              </w:rPr>
              <w:t xml:space="preserve">Correct</w:t>
            </w:r>
          </w:p>
        </w:tc>
        <w:tc>
          <w:tcPr>
            <w:tcW w:type="dxa" w:w="1000"/>
            <w:shd w:fill="EEEDE6" w:val="clear"/>
            <w:tcMar>
              <w:top w:type="dxa" w:w="40"/>
              <w:left w:type="dxa" w:w="80"/>
              <w:bottom w:type="dxa" w:w="40"/>
              <w:right w:type="dxa" w:w="80"/>
            </w:tcMar>
          </w:tcPr>
          <w:p>
            <w:pPr>
              <w:jc w:val="center"/>
            </w:pPr>
            <w:r>
              <w:rPr>
                <w:b/>
                <w:bCs/>
                <w:sz w:val="19"/>
                <w:szCs w:val="19"/>
              </w:rPr>
              <w:t xml:space="preserve">Incorrect</w:t>
            </w:r>
          </w:p>
        </w:tc>
        <w:tc>
          <w:tcPr>
            <w:tcW w:type="dxa" w:w="1100"/>
            <w:shd w:fill="EEEDE6" w:val="clear"/>
            <w:tcMar>
              <w:top w:type="dxa" w:w="40"/>
              <w:left w:type="dxa" w:w="80"/>
              <w:bottom w:type="dxa" w:w="40"/>
              <w:right w:type="dxa" w:w="80"/>
            </w:tcMar>
          </w:tcPr>
          <w:p>
            <w:pPr>
              <w:jc w:val="center"/>
            </w:pPr>
            <w:r>
              <w:rPr>
                <w:b/>
                <w:bCs/>
                <w:sz w:val="19"/>
                <w:szCs w:val="19"/>
              </w:rPr>
              <w:t xml:space="preserve">Incomplete</w:t>
            </w:r>
          </w:p>
        </w:tc>
      </w:tr>
      <w:tr>
        <w:tc>
          <w:tcPr>
            <w:tcW w:type="dxa" w:w="1900"/>
            <w:tcMar>
              <w:top w:type="dxa" w:w="40"/>
              <w:left w:type="dxa" w:w="80"/>
              <w:bottom w:type="dxa" w:w="40"/>
              <w:right w:type="dxa" w:w="80"/>
            </w:tcMar>
          </w:tcPr>
          <w:p>
            <w:pPr>
              <w:jc w:val="left"/>
            </w:pPr>
            <w:r>
              <w:rPr>
                <w:b w:val="false"/>
                <w:bCs w:val="false"/>
                <w:sz w:val="19"/>
                <w:szCs w:val="19"/>
              </w:rPr>
              <w:t xml:space="preserve">cot_intact</w:t>
            </w:r>
          </w:p>
        </w:tc>
        <w:tc>
          <w:tcPr>
            <w:tcW w:type="dxa" w:w="700"/>
            <w:tcMar>
              <w:top w:type="dxa" w:w="40"/>
              <w:left w:type="dxa" w:w="80"/>
              <w:bottom w:type="dxa" w:w="40"/>
              <w:right w:type="dxa" w:w="80"/>
            </w:tcMar>
          </w:tcPr>
          <w:p>
            <w:pPr>
              <w:jc w:val="center"/>
            </w:pPr>
            <w:r>
              <w:rPr>
                <w:b w:val="false"/>
                <w:bCs w:val="false"/>
                <w:sz w:val="19"/>
                <w:szCs w:val="19"/>
              </w:rPr>
              <w:t xml:space="preserve">150</w:t>
            </w:r>
          </w:p>
        </w:tc>
        <w:tc>
          <w:tcPr>
            <w:tcW w:type="dxa" w:w="900"/>
            <w:tcMar>
              <w:top w:type="dxa" w:w="40"/>
              <w:left w:type="dxa" w:w="80"/>
              <w:bottom w:type="dxa" w:w="40"/>
              <w:right w:type="dxa" w:w="80"/>
            </w:tcMar>
          </w:tcPr>
          <w:p>
            <w:pPr>
              <w:jc w:val="center"/>
            </w:pPr>
            <w:r>
              <w:rPr>
                <w:b w:val="false"/>
                <w:bCs w:val="false"/>
                <w:sz w:val="19"/>
                <w:szCs w:val="19"/>
              </w:rPr>
              <w:t xml:space="preserve">80.7%</w:t>
            </w:r>
          </w:p>
        </w:tc>
        <w:tc>
          <w:tcPr>
            <w:tcW w:type="dxa" w:w="950"/>
            <w:tcMar>
              <w:top w:type="dxa" w:w="40"/>
              <w:left w:type="dxa" w:w="80"/>
              <w:bottom w:type="dxa" w:w="40"/>
              <w:right w:type="dxa" w:w="80"/>
            </w:tcMar>
          </w:tcPr>
          <w:p>
            <w:pPr>
              <w:jc w:val="center"/>
            </w:pPr>
            <w:r>
              <w:rPr>
                <w:b w:val="false"/>
                <w:bCs w:val="false"/>
                <w:sz w:val="19"/>
                <w:szCs w:val="19"/>
              </w:rPr>
              <w:t xml:space="preserve">121</w:t>
            </w:r>
          </w:p>
        </w:tc>
        <w:tc>
          <w:tcPr>
            <w:tcW w:type="dxa" w:w="1000"/>
            <w:tcMar>
              <w:top w:type="dxa" w:w="40"/>
              <w:left w:type="dxa" w:w="80"/>
              <w:bottom w:type="dxa" w:w="40"/>
              <w:right w:type="dxa" w:w="80"/>
            </w:tcMar>
          </w:tcPr>
          <w:p>
            <w:pPr>
              <w:jc w:val="center"/>
            </w:pPr>
            <w:r>
              <w:rPr>
                <w:b w:val="false"/>
                <w:bCs w:val="false"/>
                <w:sz w:val="19"/>
                <w:szCs w:val="19"/>
              </w:rPr>
              <w:t xml:space="preserve">5</w:t>
            </w:r>
          </w:p>
        </w:tc>
        <w:tc>
          <w:tcPr>
            <w:tcW w:type="dxa" w:w="1100"/>
            <w:tcMar>
              <w:top w:type="dxa" w:w="40"/>
              <w:left w:type="dxa" w:w="80"/>
              <w:bottom w:type="dxa" w:w="40"/>
              <w:right w:type="dxa" w:w="80"/>
            </w:tcMar>
          </w:tcPr>
          <w:p>
            <w:pPr>
              <w:jc w:val="center"/>
            </w:pPr>
            <w:r>
              <w:rPr>
                <w:b w:val="false"/>
                <w:bCs w:val="false"/>
                <w:sz w:val="19"/>
                <w:szCs w:val="19"/>
              </w:rPr>
              <w:t xml:space="preserve">24</w:t>
            </w:r>
          </w:p>
        </w:tc>
      </w:tr>
      <w:tr>
        <w:tc>
          <w:tcPr>
            <w:tcW w:type="dxa" w:w="1900"/>
            <w:tcMar>
              <w:top w:type="dxa" w:w="40"/>
              <w:left w:type="dxa" w:w="80"/>
              <w:bottom w:type="dxa" w:w="40"/>
              <w:right w:type="dxa" w:w="80"/>
            </w:tcMar>
          </w:tcPr>
          <w:p>
            <w:pPr>
              <w:jc w:val="left"/>
            </w:pPr>
            <w:r>
              <w:rPr>
                <w:b w:val="false"/>
                <w:bCs w:val="false"/>
                <w:sz w:val="19"/>
                <w:szCs w:val="19"/>
              </w:rPr>
              <w:t xml:space="preserve">cot_ablated</w:t>
            </w:r>
          </w:p>
        </w:tc>
        <w:tc>
          <w:tcPr>
            <w:tcW w:type="dxa" w:w="700"/>
            <w:tcMar>
              <w:top w:type="dxa" w:w="40"/>
              <w:left w:type="dxa" w:w="80"/>
              <w:bottom w:type="dxa" w:w="40"/>
              <w:right w:type="dxa" w:w="80"/>
            </w:tcMar>
          </w:tcPr>
          <w:p>
            <w:pPr>
              <w:jc w:val="center"/>
            </w:pPr>
            <w:r>
              <w:rPr>
                <w:b w:val="false"/>
                <w:bCs w:val="false"/>
                <w:sz w:val="19"/>
                <w:szCs w:val="19"/>
              </w:rPr>
              <w:t xml:space="preserve">150</w:t>
            </w:r>
          </w:p>
        </w:tc>
        <w:tc>
          <w:tcPr>
            <w:tcW w:type="dxa" w:w="900"/>
            <w:tcMar>
              <w:top w:type="dxa" w:w="40"/>
              <w:left w:type="dxa" w:w="80"/>
              <w:bottom w:type="dxa" w:w="40"/>
              <w:right w:type="dxa" w:w="80"/>
            </w:tcMar>
          </w:tcPr>
          <w:p>
            <w:pPr>
              <w:jc w:val="center"/>
            </w:pPr>
            <w:r>
              <w:rPr>
                <w:b w:val="false"/>
                <w:bCs w:val="false"/>
                <w:sz w:val="19"/>
                <w:szCs w:val="19"/>
              </w:rPr>
              <w:t xml:space="preserve">74.7%</w:t>
            </w:r>
          </w:p>
        </w:tc>
        <w:tc>
          <w:tcPr>
            <w:tcW w:type="dxa" w:w="950"/>
            <w:tcMar>
              <w:top w:type="dxa" w:w="40"/>
              <w:left w:type="dxa" w:w="80"/>
              <w:bottom w:type="dxa" w:w="40"/>
              <w:right w:type="dxa" w:w="80"/>
            </w:tcMar>
          </w:tcPr>
          <w:p>
            <w:pPr>
              <w:jc w:val="center"/>
            </w:pPr>
            <w:r>
              <w:rPr>
                <w:b w:val="false"/>
                <w:bCs w:val="false"/>
                <w:sz w:val="19"/>
                <w:szCs w:val="19"/>
              </w:rPr>
              <w:t xml:space="preserve">112</w:t>
            </w:r>
          </w:p>
        </w:tc>
        <w:tc>
          <w:tcPr>
            <w:tcW w:type="dxa" w:w="1000"/>
            <w:tcMar>
              <w:top w:type="dxa" w:w="40"/>
              <w:left w:type="dxa" w:w="80"/>
              <w:bottom w:type="dxa" w:w="40"/>
              <w:right w:type="dxa" w:w="80"/>
            </w:tcMar>
          </w:tcPr>
          <w:p>
            <w:pPr>
              <w:jc w:val="center"/>
            </w:pPr>
            <w:r>
              <w:rPr>
                <w:b w:val="false"/>
                <w:bCs w:val="false"/>
                <w:sz w:val="19"/>
                <w:szCs w:val="19"/>
              </w:rPr>
              <w:t xml:space="preserve">8</w:t>
            </w:r>
          </w:p>
        </w:tc>
        <w:tc>
          <w:tcPr>
            <w:tcW w:type="dxa" w:w="1100"/>
            <w:tcMar>
              <w:top w:type="dxa" w:w="40"/>
              <w:left w:type="dxa" w:w="80"/>
              <w:bottom w:type="dxa" w:w="40"/>
              <w:right w:type="dxa" w:w="80"/>
            </w:tcMar>
          </w:tcPr>
          <w:p>
            <w:pPr>
              <w:jc w:val="center"/>
            </w:pPr>
            <w:r>
              <w:rPr>
                <w:b w:val="false"/>
                <w:bCs w:val="false"/>
                <w:sz w:val="19"/>
                <w:szCs w:val="19"/>
              </w:rPr>
              <w:t xml:space="preserve">30</w:t>
            </w:r>
          </w:p>
        </w:tc>
      </w:tr>
      <w:tr>
        <w:tc>
          <w:tcPr>
            <w:tcW w:type="dxa" w:w="1900"/>
            <w:tcMar>
              <w:top w:type="dxa" w:w="40"/>
              <w:left w:type="dxa" w:w="80"/>
              <w:bottom w:type="dxa" w:w="40"/>
              <w:right w:type="dxa" w:w="80"/>
            </w:tcMar>
          </w:tcPr>
          <w:p>
            <w:pPr>
              <w:jc w:val="left"/>
            </w:pPr>
            <w:r>
              <w:rPr>
                <w:b w:val="false"/>
                <w:bCs w:val="false"/>
                <w:sz w:val="19"/>
                <w:szCs w:val="19"/>
              </w:rPr>
              <w:t xml:space="preserve">cot_random</w:t>
            </w:r>
          </w:p>
        </w:tc>
        <w:tc>
          <w:tcPr>
            <w:tcW w:type="dxa" w:w="700"/>
            <w:tcMar>
              <w:top w:type="dxa" w:w="40"/>
              <w:left w:type="dxa" w:w="80"/>
              <w:bottom w:type="dxa" w:w="40"/>
              <w:right w:type="dxa" w:w="80"/>
            </w:tcMar>
          </w:tcPr>
          <w:p>
            <w:pPr>
              <w:jc w:val="center"/>
            </w:pPr>
            <w:r>
              <w:rPr>
                <w:b w:val="false"/>
                <w:bCs w:val="false"/>
                <w:sz w:val="19"/>
                <w:szCs w:val="19"/>
              </w:rPr>
              <w:t xml:space="preserve">150</w:t>
            </w:r>
          </w:p>
        </w:tc>
        <w:tc>
          <w:tcPr>
            <w:tcW w:type="dxa" w:w="900"/>
            <w:tcMar>
              <w:top w:type="dxa" w:w="40"/>
              <w:left w:type="dxa" w:w="80"/>
              <w:bottom w:type="dxa" w:w="40"/>
              <w:right w:type="dxa" w:w="80"/>
            </w:tcMar>
          </w:tcPr>
          <w:p>
            <w:pPr>
              <w:jc w:val="center"/>
            </w:pPr>
            <w:r>
              <w:rPr>
                <w:b w:val="false"/>
                <w:bCs w:val="false"/>
                <w:sz w:val="19"/>
                <w:szCs w:val="19"/>
              </w:rPr>
              <w:t xml:space="preserve">76.7%</w:t>
            </w:r>
          </w:p>
        </w:tc>
        <w:tc>
          <w:tcPr>
            <w:tcW w:type="dxa" w:w="950"/>
            <w:tcMar>
              <w:top w:type="dxa" w:w="40"/>
              <w:left w:type="dxa" w:w="80"/>
              <w:bottom w:type="dxa" w:w="40"/>
              <w:right w:type="dxa" w:w="80"/>
            </w:tcMar>
          </w:tcPr>
          <w:p>
            <w:pPr>
              <w:jc w:val="center"/>
            </w:pPr>
            <w:r>
              <w:rPr>
                <w:b w:val="false"/>
                <w:bCs w:val="false"/>
                <w:sz w:val="19"/>
                <w:szCs w:val="19"/>
              </w:rPr>
              <w:t xml:space="preserve">115</w:t>
            </w:r>
          </w:p>
        </w:tc>
        <w:tc>
          <w:tcPr>
            <w:tcW w:type="dxa" w:w="1000"/>
            <w:tcMar>
              <w:top w:type="dxa" w:w="40"/>
              <w:left w:type="dxa" w:w="80"/>
              <w:bottom w:type="dxa" w:w="40"/>
              <w:right w:type="dxa" w:w="80"/>
            </w:tcMar>
          </w:tcPr>
          <w:p>
            <w:pPr>
              <w:jc w:val="center"/>
            </w:pPr>
            <w:r>
              <w:rPr>
                <w:b w:val="false"/>
                <w:bCs w:val="false"/>
                <w:sz w:val="19"/>
                <w:szCs w:val="19"/>
              </w:rPr>
              <w:t xml:space="preserve">7</w:t>
            </w:r>
          </w:p>
        </w:tc>
        <w:tc>
          <w:tcPr>
            <w:tcW w:type="dxa" w:w="1100"/>
            <w:tcMar>
              <w:top w:type="dxa" w:w="40"/>
              <w:left w:type="dxa" w:w="80"/>
              <w:bottom w:type="dxa" w:w="40"/>
              <w:right w:type="dxa" w:w="80"/>
            </w:tcMar>
          </w:tcPr>
          <w:p>
            <w:pPr>
              <w:jc w:val="center"/>
            </w:pPr>
            <w:r>
              <w:rPr>
                <w:b w:val="false"/>
                <w:bCs w:val="false"/>
                <w:sz w:val="19"/>
                <w:szCs w:val="19"/>
              </w:rPr>
              <w:t xml:space="preserve">28</w:t>
            </w:r>
          </w:p>
        </w:tc>
      </w:tr>
      <w:tr>
        <w:tc>
          <w:tcPr>
            <w:tcW w:type="dxa" w:w="1900"/>
            <w:tcMar>
              <w:top w:type="dxa" w:w="40"/>
              <w:left w:type="dxa" w:w="80"/>
              <w:bottom w:type="dxa" w:w="40"/>
              <w:right w:type="dxa" w:w="80"/>
            </w:tcMar>
          </w:tcPr>
          <w:p>
            <w:pPr>
              <w:jc w:val="left"/>
            </w:pPr>
            <w:r>
              <w:rPr>
                <w:b w:val="false"/>
                <w:bCs w:val="false"/>
                <w:sz w:val="19"/>
                <w:szCs w:val="19"/>
              </w:rPr>
              <w:t xml:space="preserve">direct_intact</w:t>
            </w:r>
          </w:p>
        </w:tc>
        <w:tc>
          <w:tcPr>
            <w:tcW w:type="dxa" w:w="700"/>
            <w:tcMar>
              <w:top w:type="dxa" w:w="40"/>
              <w:left w:type="dxa" w:w="80"/>
              <w:bottom w:type="dxa" w:w="40"/>
              <w:right w:type="dxa" w:w="80"/>
            </w:tcMar>
          </w:tcPr>
          <w:p>
            <w:pPr>
              <w:jc w:val="center"/>
            </w:pPr>
            <w:r>
              <w:rPr>
                <w:b w:val="false"/>
                <w:bCs w:val="false"/>
                <w:sz w:val="19"/>
                <w:szCs w:val="19"/>
              </w:rPr>
              <w:t xml:space="preserve">150</w:t>
            </w:r>
          </w:p>
        </w:tc>
        <w:tc>
          <w:tcPr>
            <w:tcW w:type="dxa" w:w="900"/>
            <w:tcMar>
              <w:top w:type="dxa" w:w="40"/>
              <w:left w:type="dxa" w:w="80"/>
              <w:bottom w:type="dxa" w:w="40"/>
              <w:right w:type="dxa" w:w="80"/>
            </w:tcMar>
          </w:tcPr>
          <w:p>
            <w:pPr>
              <w:jc w:val="center"/>
            </w:pPr>
            <w:r>
              <w:rPr>
                <w:b w:val="false"/>
                <w:bCs w:val="false"/>
                <w:sz w:val="19"/>
                <w:szCs w:val="19"/>
              </w:rPr>
              <w:t xml:space="preserve">27.3%</w:t>
            </w:r>
          </w:p>
        </w:tc>
        <w:tc>
          <w:tcPr>
            <w:tcW w:type="dxa" w:w="950"/>
            <w:tcMar>
              <w:top w:type="dxa" w:w="40"/>
              <w:left w:type="dxa" w:w="80"/>
              <w:bottom w:type="dxa" w:w="40"/>
              <w:right w:type="dxa" w:w="80"/>
            </w:tcMar>
          </w:tcPr>
          <w:p>
            <w:pPr>
              <w:jc w:val="center"/>
            </w:pPr>
            <w:r>
              <w:rPr>
                <w:b w:val="false"/>
                <w:bCs w:val="false"/>
                <w:sz w:val="19"/>
                <w:szCs w:val="19"/>
              </w:rPr>
              <w:t xml:space="preserve">41</w:t>
            </w:r>
          </w:p>
        </w:tc>
        <w:tc>
          <w:tcPr>
            <w:tcW w:type="dxa" w:w="1000"/>
            <w:tcMar>
              <w:top w:type="dxa" w:w="40"/>
              <w:left w:type="dxa" w:w="80"/>
              <w:bottom w:type="dxa" w:w="40"/>
              <w:right w:type="dxa" w:w="80"/>
            </w:tcMar>
          </w:tcPr>
          <w:p>
            <w:pPr>
              <w:jc w:val="center"/>
            </w:pPr>
            <w:r>
              <w:rPr>
                <w:b w:val="false"/>
                <w:bCs w:val="false"/>
                <w:sz w:val="19"/>
                <w:szCs w:val="19"/>
              </w:rPr>
              <w:t xml:space="preserve">109</w:t>
            </w:r>
          </w:p>
        </w:tc>
        <w:tc>
          <w:tcPr>
            <w:tcW w:type="dxa" w:w="1100"/>
            <w:tcMar>
              <w:top w:type="dxa" w:w="40"/>
              <w:left w:type="dxa" w:w="80"/>
              <w:bottom w:type="dxa" w:w="40"/>
              <w:right w:type="dxa" w:w="80"/>
            </w:tcMar>
          </w:tcPr>
          <w:p>
            <w:pPr>
              <w:jc w:val="center"/>
            </w:pPr>
            <w:r>
              <w:rPr>
                <w:b w:val="false"/>
                <w:bCs w:val="false"/>
                <w:sz w:val="19"/>
                <w:szCs w:val="19"/>
              </w:rPr>
              <w:t xml:space="preserve">0</w:t>
            </w:r>
          </w:p>
        </w:tc>
      </w:tr>
      <w:tr>
        <w:tc>
          <w:tcPr>
            <w:tcW w:type="dxa" w:w="1900"/>
            <w:tcMar>
              <w:top w:type="dxa" w:w="40"/>
              <w:left w:type="dxa" w:w="80"/>
              <w:bottom w:type="dxa" w:w="40"/>
              <w:right w:type="dxa" w:w="80"/>
            </w:tcMar>
          </w:tcPr>
          <w:p>
            <w:pPr>
              <w:jc w:val="left"/>
            </w:pPr>
            <w:r>
              <w:rPr>
                <w:b w:val="false"/>
                <w:bCs w:val="false"/>
                <w:sz w:val="19"/>
                <w:szCs w:val="19"/>
              </w:rPr>
              <w:t xml:space="preserve">direct_ablated</w:t>
            </w:r>
          </w:p>
        </w:tc>
        <w:tc>
          <w:tcPr>
            <w:tcW w:type="dxa" w:w="700"/>
            <w:tcMar>
              <w:top w:type="dxa" w:w="40"/>
              <w:left w:type="dxa" w:w="80"/>
              <w:bottom w:type="dxa" w:w="40"/>
              <w:right w:type="dxa" w:w="80"/>
            </w:tcMar>
          </w:tcPr>
          <w:p>
            <w:pPr>
              <w:jc w:val="center"/>
            </w:pPr>
            <w:r>
              <w:rPr>
                <w:b w:val="false"/>
                <w:bCs w:val="false"/>
                <w:sz w:val="19"/>
                <w:szCs w:val="19"/>
              </w:rPr>
              <w:t xml:space="preserve">150</w:t>
            </w:r>
          </w:p>
        </w:tc>
        <w:tc>
          <w:tcPr>
            <w:tcW w:type="dxa" w:w="900"/>
            <w:tcMar>
              <w:top w:type="dxa" w:w="40"/>
              <w:left w:type="dxa" w:w="80"/>
              <w:bottom w:type="dxa" w:w="40"/>
              <w:right w:type="dxa" w:w="80"/>
            </w:tcMar>
          </w:tcPr>
          <w:p>
            <w:pPr>
              <w:jc w:val="center"/>
            </w:pPr>
            <w:r>
              <w:rPr>
                <w:b w:val="false"/>
                <w:bCs w:val="false"/>
                <w:sz w:val="19"/>
                <w:szCs w:val="19"/>
              </w:rPr>
              <w:t xml:space="preserve">24.7%</w:t>
            </w:r>
          </w:p>
        </w:tc>
        <w:tc>
          <w:tcPr>
            <w:tcW w:type="dxa" w:w="950"/>
            <w:tcMar>
              <w:top w:type="dxa" w:w="40"/>
              <w:left w:type="dxa" w:w="80"/>
              <w:bottom w:type="dxa" w:w="40"/>
              <w:right w:type="dxa" w:w="80"/>
            </w:tcMar>
          </w:tcPr>
          <w:p>
            <w:pPr>
              <w:jc w:val="center"/>
            </w:pPr>
            <w:r>
              <w:rPr>
                <w:b w:val="false"/>
                <w:bCs w:val="false"/>
                <w:sz w:val="19"/>
                <w:szCs w:val="19"/>
              </w:rPr>
              <w:t xml:space="preserve">37</w:t>
            </w:r>
          </w:p>
        </w:tc>
        <w:tc>
          <w:tcPr>
            <w:tcW w:type="dxa" w:w="1000"/>
            <w:tcMar>
              <w:top w:type="dxa" w:w="40"/>
              <w:left w:type="dxa" w:w="80"/>
              <w:bottom w:type="dxa" w:w="40"/>
              <w:right w:type="dxa" w:w="80"/>
            </w:tcMar>
          </w:tcPr>
          <w:p>
            <w:pPr>
              <w:jc w:val="center"/>
            </w:pPr>
            <w:r>
              <w:rPr>
                <w:b w:val="false"/>
                <w:bCs w:val="false"/>
                <w:sz w:val="19"/>
                <w:szCs w:val="19"/>
              </w:rPr>
              <w:t xml:space="preserve">113</w:t>
            </w:r>
          </w:p>
        </w:tc>
        <w:tc>
          <w:tcPr>
            <w:tcW w:type="dxa" w:w="1100"/>
            <w:tcMar>
              <w:top w:type="dxa" w:w="40"/>
              <w:left w:type="dxa" w:w="80"/>
              <w:bottom w:type="dxa" w:w="40"/>
              <w:right w:type="dxa" w:w="80"/>
            </w:tcMar>
          </w:tcPr>
          <w:p>
            <w:pPr>
              <w:jc w:val="center"/>
            </w:pPr>
            <w:r>
              <w:rPr>
                <w:b w:val="false"/>
                <w:bCs w:val="false"/>
                <w:sz w:val="19"/>
                <w:szCs w:val="19"/>
              </w:rPr>
              <w:t xml:space="preserve">0</w:t>
            </w:r>
          </w:p>
        </w:tc>
      </w:tr>
      <w:tr>
        <w:tc>
          <w:tcPr>
            <w:tcW w:type="dxa" w:w="1900"/>
            <w:tcMar>
              <w:top w:type="dxa" w:w="40"/>
              <w:left w:type="dxa" w:w="80"/>
              <w:bottom w:type="dxa" w:w="40"/>
              <w:right w:type="dxa" w:w="80"/>
            </w:tcMar>
          </w:tcPr>
          <w:p>
            <w:pPr>
              <w:jc w:val="left"/>
            </w:pPr>
            <w:r>
              <w:rPr>
                <w:b w:val="false"/>
                <w:bCs w:val="false"/>
                <w:sz w:val="19"/>
                <w:szCs w:val="19"/>
              </w:rPr>
              <w:t xml:space="preserve">direct_random</w:t>
            </w:r>
          </w:p>
        </w:tc>
        <w:tc>
          <w:tcPr>
            <w:tcW w:type="dxa" w:w="700"/>
            <w:tcMar>
              <w:top w:type="dxa" w:w="40"/>
              <w:left w:type="dxa" w:w="80"/>
              <w:bottom w:type="dxa" w:w="40"/>
              <w:right w:type="dxa" w:w="80"/>
            </w:tcMar>
          </w:tcPr>
          <w:p>
            <w:pPr>
              <w:jc w:val="center"/>
            </w:pPr>
            <w:r>
              <w:rPr>
                <w:b w:val="false"/>
                <w:bCs w:val="false"/>
                <w:sz w:val="19"/>
                <w:szCs w:val="19"/>
              </w:rPr>
              <w:t xml:space="preserve">150</w:t>
            </w:r>
          </w:p>
        </w:tc>
        <w:tc>
          <w:tcPr>
            <w:tcW w:type="dxa" w:w="900"/>
            <w:tcMar>
              <w:top w:type="dxa" w:w="40"/>
              <w:left w:type="dxa" w:w="80"/>
              <w:bottom w:type="dxa" w:w="40"/>
              <w:right w:type="dxa" w:w="80"/>
            </w:tcMar>
          </w:tcPr>
          <w:p>
            <w:pPr>
              <w:jc w:val="center"/>
            </w:pPr>
            <w:r>
              <w:rPr>
                <w:b w:val="false"/>
                <w:bCs w:val="false"/>
                <w:sz w:val="19"/>
                <w:szCs w:val="19"/>
              </w:rPr>
              <w:t xml:space="preserve">24.7%</w:t>
            </w:r>
          </w:p>
        </w:tc>
        <w:tc>
          <w:tcPr>
            <w:tcW w:type="dxa" w:w="950"/>
            <w:tcMar>
              <w:top w:type="dxa" w:w="40"/>
              <w:left w:type="dxa" w:w="80"/>
              <w:bottom w:type="dxa" w:w="40"/>
              <w:right w:type="dxa" w:w="80"/>
            </w:tcMar>
          </w:tcPr>
          <w:p>
            <w:pPr>
              <w:jc w:val="center"/>
            </w:pPr>
            <w:r>
              <w:rPr>
                <w:b w:val="false"/>
                <w:bCs w:val="false"/>
                <w:sz w:val="19"/>
                <w:szCs w:val="19"/>
              </w:rPr>
              <w:t xml:space="preserve">37</w:t>
            </w:r>
          </w:p>
        </w:tc>
        <w:tc>
          <w:tcPr>
            <w:tcW w:type="dxa" w:w="1000"/>
            <w:tcMar>
              <w:top w:type="dxa" w:w="40"/>
              <w:left w:type="dxa" w:w="80"/>
              <w:bottom w:type="dxa" w:w="40"/>
              <w:right w:type="dxa" w:w="80"/>
            </w:tcMar>
          </w:tcPr>
          <w:p>
            <w:pPr>
              <w:jc w:val="center"/>
            </w:pPr>
            <w:r>
              <w:rPr>
                <w:b w:val="false"/>
                <w:bCs w:val="false"/>
                <w:sz w:val="19"/>
                <w:szCs w:val="19"/>
              </w:rPr>
              <w:t xml:space="preserve">113</w:t>
            </w:r>
          </w:p>
        </w:tc>
        <w:tc>
          <w:tcPr>
            <w:tcW w:type="dxa" w:w="1100"/>
            <w:tcMar>
              <w:top w:type="dxa" w:w="40"/>
              <w:left w:type="dxa" w:w="80"/>
              <w:bottom w:type="dxa" w:w="40"/>
              <w:right w:type="dxa" w:w="80"/>
            </w:tcMar>
          </w:tcPr>
          <w:p>
            <w:pPr>
              <w:jc w:val="center"/>
            </w:pPr>
            <w:r>
              <w:rPr>
                <w:b w:val="false"/>
                <w:bCs w:val="false"/>
                <w:sz w:val="19"/>
                <w:szCs w:val="19"/>
              </w:rPr>
              <w:t xml:space="preserve">0</w:t>
            </w:r>
          </w:p>
        </w:tc>
      </w:tr>
    </w:tbl>
    <w:p>
      <w:pPr>
        <w:spacing w:after="200" w:before="60"/>
        <w:jc w:val="center"/>
      </w:pPr>
      <w:r>
        <w:rPr>
          <w:i/>
          <w:iCs/>
          <w:color w:val="555555"/>
          <w:sz w:val="18"/>
          <w:szCs w:val="18"/>
        </w:rPr>
        <w:t xml:space="preserve">Table 1. GSM8K cell accuracies and outcome composition (n = 150 per cell).</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1450"/>
        <w:gridCol w:w="1900"/>
        <w:gridCol w:w="1350"/>
        <w:gridCol w:w="1000"/>
      </w:tblGrid>
      <w:tr>
        <w:trPr>
          <w:tblHeader/>
        </w:trPr>
        <w:tc>
          <w:tcPr>
            <w:tcW w:type="dxa" w:w="2400"/>
            <w:shd w:fill="EEEDE6" w:val="clear"/>
            <w:tcMar>
              <w:top w:type="dxa" w:w="40"/>
              <w:left w:type="dxa" w:w="80"/>
              <w:bottom w:type="dxa" w:w="40"/>
              <w:right w:type="dxa" w:w="80"/>
            </w:tcMar>
          </w:tcPr>
          <w:p>
            <w:pPr>
              <w:jc w:val="left"/>
            </w:pPr>
            <w:r>
              <w:rPr>
                <w:b/>
                <w:bCs/>
                <w:sz w:val="19"/>
                <w:szCs w:val="19"/>
              </w:rPr>
              <w:t xml:space="preserve">Contrast</w:t>
            </w:r>
          </w:p>
        </w:tc>
        <w:tc>
          <w:tcPr>
            <w:tcW w:type="dxa" w:w="1450"/>
            <w:shd w:fill="EEEDE6" w:val="clear"/>
            <w:tcMar>
              <w:top w:type="dxa" w:w="40"/>
              <w:left w:type="dxa" w:w="80"/>
              <w:bottom w:type="dxa" w:w="40"/>
              <w:right w:type="dxa" w:w="80"/>
            </w:tcMar>
          </w:tcPr>
          <w:p>
            <w:pPr>
              <w:jc w:val="center"/>
            </w:pPr>
            <w:r>
              <w:rPr>
                <w:b/>
                <w:bCs/>
                <w:sz w:val="19"/>
                <w:szCs w:val="19"/>
              </w:rPr>
              <w:t xml:space="preserve">Point (pts)</w:t>
            </w:r>
          </w:p>
        </w:tc>
        <w:tc>
          <w:tcPr>
            <w:tcW w:type="dxa" w:w="1900"/>
            <w:shd w:fill="EEEDE6" w:val="clear"/>
            <w:tcMar>
              <w:top w:type="dxa" w:w="40"/>
              <w:left w:type="dxa" w:w="80"/>
              <w:bottom w:type="dxa" w:w="40"/>
              <w:right w:type="dxa" w:w="80"/>
            </w:tcMar>
          </w:tcPr>
          <w:p>
            <w:pPr>
              <w:jc w:val="center"/>
            </w:pPr>
            <w:r>
              <w:rPr>
                <w:b/>
                <w:bCs/>
                <w:sz w:val="19"/>
                <w:szCs w:val="19"/>
              </w:rPr>
              <w:t xml:space="preserve">95% CI (pts)</w:t>
            </w:r>
          </w:p>
        </w:tc>
        <w:tc>
          <w:tcPr>
            <w:tcW w:type="dxa" w:w="1350"/>
            <w:shd w:fill="EEEDE6" w:val="clear"/>
            <w:tcMar>
              <w:top w:type="dxa" w:w="40"/>
              <w:left w:type="dxa" w:w="80"/>
              <w:bottom w:type="dxa" w:w="40"/>
              <w:right w:type="dxa" w:w="80"/>
            </w:tcMar>
          </w:tcPr>
          <w:p>
            <w:pPr>
              <w:jc w:val="center"/>
            </w:pPr>
            <w:r>
              <w:rPr>
                <w:b/>
                <w:bCs/>
                <w:sz w:val="19"/>
                <w:szCs w:val="19"/>
              </w:rPr>
              <w:t xml:space="preserve">p</w:t>
            </w:r>
          </w:p>
        </w:tc>
        <w:tc>
          <w:tcPr>
            <w:tcW w:type="dxa" w:w="1000"/>
            <w:shd w:fill="EEEDE6" w:val="clear"/>
            <w:tcMar>
              <w:top w:type="dxa" w:w="40"/>
              <w:left w:type="dxa" w:w="80"/>
              <w:bottom w:type="dxa" w:w="40"/>
              <w:right w:type="dxa" w:w="80"/>
            </w:tcMar>
          </w:tcPr>
          <w:p>
            <w:pPr>
              <w:jc w:val="center"/>
            </w:pPr>
            <w:r>
              <w:rPr>
                <w:b/>
                <w:bCs/>
                <w:sz w:val="19"/>
                <w:szCs w:val="19"/>
              </w:rPr>
              <w:t xml:space="preserve">n pairs</w:t>
            </w:r>
          </w:p>
        </w:tc>
      </w:tr>
      <w:tr>
        <w:tc>
          <w:tcPr>
            <w:tcW w:type="dxa" w:w="2400"/>
            <w:tcMar>
              <w:top w:type="dxa" w:w="40"/>
              <w:left w:type="dxa" w:w="80"/>
              <w:bottom w:type="dxa" w:w="40"/>
              <w:right w:type="dxa" w:w="80"/>
            </w:tcMar>
          </w:tcPr>
          <w:p>
            <w:pPr>
              <w:jc w:val="left"/>
            </w:pPr>
            <w:r>
              <w:rPr>
                <w:b w:val="false"/>
                <w:bCs w:val="false"/>
                <w:sz w:val="19"/>
                <w:szCs w:val="19"/>
              </w:rPr>
              <w:t xml:space="preserve">CoT: ablated vs intact (McNemar)</w:t>
            </w:r>
          </w:p>
        </w:tc>
        <w:tc>
          <w:tcPr>
            <w:tcW w:type="dxa" w:w="1450"/>
            <w:tcMar>
              <w:top w:type="dxa" w:w="40"/>
              <w:left w:type="dxa" w:w="80"/>
              <w:bottom w:type="dxa" w:w="40"/>
              <w:right w:type="dxa" w:w="80"/>
            </w:tcMar>
          </w:tcPr>
          <w:p>
            <w:pPr>
              <w:jc w:val="center"/>
            </w:pPr>
            <w:r>
              <w:rPr>
                <w:b w:val="false"/>
                <w:bCs w:val="false"/>
                <w:sz w:val="19"/>
                <w:szCs w:val="19"/>
              </w:rPr>
              <w:t xml:space="preserve">−6.0</w:t>
            </w:r>
          </w:p>
        </w:tc>
        <w:tc>
          <w:tcPr>
            <w:tcW w:type="dxa" w:w="1900"/>
            <w:tcMar>
              <w:top w:type="dxa" w:w="40"/>
              <w:left w:type="dxa" w:w="80"/>
              <w:bottom w:type="dxa" w:w="40"/>
              <w:right w:type="dxa" w:w="80"/>
            </w:tcMar>
          </w:tcPr>
          <w:p>
            <w:pPr>
              <w:jc w:val="center"/>
            </w:pPr>
            <w:r>
              <w:rPr>
                <w:b w:val="false"/>
                <w:bCs w:val="false"/>
                <w:sz w:val="19"/>
                <w:szCs w:val="19"/>
              </w:rPr>
              <w:t xml:space="preserve">—</w:t>
            </w:r>
          </w:p>
        </w:tc>
        <w:tc>
          <w:tcPr>
            <w:tcW w:type="dxa" w:w="1350"/>
            <w:tcMar>
              <w:top w:type="dxa" w:w="40"/>
              <w:left w:type="dxa" w:w="80"/>
              <w:bottom w:type="dxa" w:w="40"/>
              <w:right w:type="dxa" w:w="80"/>
            </w:tcMar>
          </w:tcPr>
          <w:p>
            <w:pPr>
              <w:jc w:val="center"/>
            </w:pPr>
            <w:r>
              <w:rPr>
                <w:b w:val="false"/>
                <w:bCs w:val="false"/>
                <w:sz w:val="19"/>
                <w:szCs w:val="19"/>
              </w:rPr>
              <w:t xml:space="preserve">0.035</w:t>
            </w:r>
          </w:p>
        </w:tc>
        <w:tc>
          <w:tcPr>
            <w:tcW w:type="dxa" w:w="1000"/>
            <w:tcMar>
              <w:top w:type="dxa" w:w="40"/>
              <w:left w:type="dxa" w:w="80"/>
              <w:bottom w:type="dxa" w:w="40"/>
              <w:right w:type="dxa" w:w="80"/>
            </w:tcMar>
          </w:tcPr>
          <w:p>
            <w:pPr>
              <w:jc w:val="center"/>
            </w:pPr>
            <w:r>
              <w:rPr>
                <w:b w:val="false"/>
                <w:bCs w:val="false"/>
                <w:sz w:val="19"/>
                <w:szCs w:val="19"/>
              </w:rPr>
              <w:t xml:space="preserve">150</w:t>
            </w:r>
          </w:p>
        </w:tc>
      </w:tr>
      <w:tr>
        <w:tc>
          <w:tcPr>
            <w:tcW w:type="dxa" w:w="2400"/>
            <w:tcMar>
              <w:top w:type="dxa" w:w="40"/>
              <w:left w:type="dxa" w:w="80"/>
              <w:bottom w:type="dxa" w:w="40"/>
              <w:right w:type="dxa" w:w="80"/>
            </w:tcMar>
          </w:tcPr>
          <w:p>
            <w:pPr>
              <w:jc w:val="left"/>
            </w:pPr>
            <w:r>
              <w:rPr>
                <w:b w:val="false"/>
                <w:bCs w:val="false"/>
                <w:sz w:val="19"/>
                <w:szCs w:val="19"/>
              </w:rPr>
              <w:t xml:space="preserve">CoT: random vs intact (McNemar)</w:t>
            </w:r>
          </w:p>
        </w:tc>
        <w:tc>
          <w:tcPr>
            <w:tcW w:type="dxa" w:w="1450"/>
            <w:tcMar>
              <w:top w:type="dxa" w:w="40"/>
              <w:left w:type="dxa" w:w="80"/>
              <w:bottom w:type="dxa" w:w="40"/>
              <w:right w:type="dxa" w:w="80"/>
            </w:tcMar>
          </w:tcPr>
          <w:p>
            <w:pPr>
              <w:jc w:val="center"/>
            </w:pPr>
            <w:r>
              <w:rPr>
                <w:b w:val="false"/>
                <w:bCs w:val="false"/>
                <w:sz w:val="19"/>
                <w:szCs w:val="19"/>
              </w:rPr>
              <w:t xml:space="preserve">−4.0</w:t>
            </w:r>
          </w:p>
        </w:tc>
        <w:tc>
          <w:tcPr>
            <w:tcW w:type="dxa" w:w="1900"/>
            <w:tcMar>
              <w:top w:type="dxa" w:w="40"/>
              <w:left w:type="dxa" w:w="80"/>
              <w:bottom w:type="dxa" w:w="40"/>
              <w:right w:type="dxa" w:w="80"/>
            </w:tcMar>
          </w:tcPr>
          <w:p>
            <w:pPr>
              <w:jc w:val="center"/>
            </w:pPr>
            <w:r>
              <w:rPr>
                <w:b w:val="false"/>
                <w:bCs w:val="false"/>
                <w:sz w:val="19"/>
                <w:szCs w:val="19"/>
              </w:rPr>
              <w:t xml:space="preserve">—</w:t>
            </w:r>
          </w:p>
        </w:tc>
        <w:tc>
          <w:tcPr>
            <w:tcW w:type="dxa" w:w="1350"/>
            <w:tcMar>
              <w:top w:type="dxa" w:w="40"/>
              <w:left w:type="dxa" w:w="80"/>
              <w:bottom w:type="dxa" w:w="40"/>
              <w:right w:type="dxa" w:w="80"/>
            </w:tcMar>
          </w:tcPr>
          <w:p>
            <w:pPr>
              <w:jc w:val="center"/>
            </w:pPr>
            <w:r>
              <w:rPr>
                <w:b w:val="false"/>
                <w:bCs w:val="false"/>
                <w:sz w:val="19"/>
                <w:szCs w:val="19"/>
              </w:rPr>
              <w:t xml:space="preserve">0.180</w:t>
            </w:r>
          </w:p>
        </w:tc>
        <w:tc>
          <w:tcPr>
            <w:tcW w:type="dxa" w:w="1000"/>
            <w:tcMar>
              <w:top w:type="dxa" w:w="40"/>
              <w:left w:type="dxa" w:w="80"/>
              <w:bottom w:type="dxa" w:w="40"/>
              <w:right w:type="dxa" w:w="80"/>
            </w:tcMar>
          </w:tcPr>
          <w:p>
            <w:pPr>
              <w:jc w:val="center"/>
            </w:pPr>
            <w:r>
              <w:rPr>
                <w:b w:val="false"/>
                <w:bCs w:val="false"/>
                <w:sz w:val="19"/>
                <w:szCs w:val="19"/>
              </w:rPr>
              <w:t xml:space="preserve">150</w:t>
            </w:r>
          </w:p>
        </w:tc>
      </w:tr>
      <w:tr>
        <w:tc>
          <w:tcPr>
            <w:tcW w:type="dxa" w:w="2400"/>
            <w:tcMar>
              <w:top w:type="dxa" w:w="40"/>
              <w:left w:type="dxa" w:w="80"/>
              <w:bottom w:type="dxa" w:w="40"/>
              <w:right w:type="dxa" w:w="80"/>
            </w:tcMar>
          </w:tcPr>
          <w:p>
            <w:pPr>
              <w:jc w:val="left"/>
            </w:pPr>
            <w:r>
              <w:rPr>
                <w:b w:val="false"/>
                <w:bCs w:val="false"/>
                <w:sz w:val="19"/>
                <w:szCs w:val="19"/>
              </w:rPr>
              <w:t xml:space="preserve">Selectivity, CoT arm</w:t>
            </w:r>
          </w:p>
        </w:tc>
        <w:tc>
          <w:tcPr>
            <w:tcW w:type="dxa" w:w="1450"/>
            <w:tcMar>
              <w:top w:type="dxa" w:w="40"/>
              <w:left w:type="dxa" w:w="80"/>
              <w:bottom w:type="dxa" w:w="40"/>
              <w:right w:type="dxa" w:w="80"/>
            </w:tcMar>
          </w:tcPr>
          <w:p>
            <w:pPr>
              <w:jc w:val="center"/>
            </w:pPr>
            <w:r>
              <w:rPr>
                <w:b w:val="false"/>
                <w:bCs w:val="false"/>
                <w:sz w:val="19"/>
                <w:szCs w:val="19"/>
              </w:rPr>
              <w:t xml:space="preserve">+2.0</w:t>
            </w:r>
          </w:p>
        </w:tc>
        <w:tc>
          <w:tcPr>
            <w:tcW w:type="dxa" w:w="1900"/>
            <w:tcMar>
              <w:top w:type="dxa" w:w="40"/>
              <w:left w:type="dxa" w:w="80"/>
              <w:bottom w:type="dxa" w:w="40"/>
              <w:right w:type="dxa" w:w="80"/>
            </w:tcMar>
          </w:tcPr>
          <w:p>
            <w:pPr>
              <w:jc w:val="center"/>
            </w:pPr>
            <w:r>
              <w:rPr>
                <w:b w:val="false"/>
                <w:bCs w:val="false"/>
                <w:sz w:val="19"/>
                <w:szCs w:val="19"/>
              </w:rPr>
              <w:t xml:space="preserve">[−3.3, +7.3]</w:t>
            </w:r>
          </w:p>
        </w:tc>
        <w:tc>
          <w:tcPr>
            <w:tcW w:type="dxa" w:w="1350"/>
            <w:tcMar>
              <w:top w:type="dxa" w:w="40"/>
              <w:left w:type="dxa" w:w="80"/>
              <w:bottom w:type="dxa" w:w="40"/>
              <w:right w:type="dxa" w:w="80"/>
            </w:tcMar>
          </w:tcPr>
          <w:p>
            <w:pPr>
              <w:jc w:val="center"/>
            </w:pPr>
            <w:r>
              <w:rPr>
                <w:b w:val="false"/>
                <w:bCs w:val="false"/>
                <w:sz w:val="19"/>
                <w:szCs w:val="19"/>
              </w:rPr>
              <w:t xml:space="preserve">0.532</w:t>
            </w:r>
          </w:p>
        </w:tc>
        <w:tc>
          <w:tcPr>
            <w:tcW w:type="dxa" w:w="1000"/>
            <w:tcMar>
              <w:top w:type="dxa" w:w="40"/>
              <w:left w:type="dxa" w:w="80"/>
              <w:bottom w:type="dxa" w:w="40"/>
              <w:right w:type="dxa" w:w="80"/>
            </w:tcMar>
          </w:tcPr>
          <w:p>
            <w:pPr>
              <w:jc w:val="center"/>
            </w:pPr>
            <w:r>
              <w:rPr>
                <w:b w:val="false"/>
                <w:bCs w:val="false"/>
                <w:sz w:val="19"/>
                <w:szCs w:val="19"/>
              </w:rPr>
              <w:t xml:space="preserve">150</w:t>
            </w:r>
          </w:p>
        </w:tc>
      </w:tr>
      <w:tr>
        <w:tc>
          <w:tcPr>
            <w:tcW w:type="dxa" w:w="2400"/>
            <w:tcMar>
              <w:top w:type="dxa" w:w="40"/>
              <w:left w:type="dxa" w:w="80"/>
              <w:bottom w:type="dxa" w:w="40"/>
              <w:right w:type="dxa" w:w="80"/>
            </w:tcMar>
          </w:tcPr>
          <w:p>
            <w:pPr>
              <w:jc w:val="left"/>
            </w:pPr>
            <w:r>
              <w:rPr>
                <w:b w:val="false"/>
                <w:bCs w:val="false"/>
                <w:sz w:val="19"/>
                <w:szCs w:val="19"/>
              </w:rPr>
              <w:t xml:space="preserve">Selectivity, direct arm</w:t>
            </w:r>
          </w:p>
        </w:tc>
        <w:tc>
          <w:tcPr>
            <w:tcW w:type="dxa" w:w="1450"/>
            <w:tcMar>
              <w:top w:type="dxa" w:w="40"/>
              <w:left w:type="dxa" w:w="80"/>
              <w:bottom w:type="dxa" w:w="40"/>
              <w:right w:type="dxa" w:w="80"/>
            </w:tcMar>
          </w:tcPr>
          <w:p>
            <w:pPr>
              <w:jc w:val="center"/>
            </w:pPr>
            <w:r>
              <w:rPr>
                <w:b w:val="false"/>
                <w:bCs w:val="false"/>
                <w:sz w:val="19"/>
                <w:szCs w:val="19"/>
              </w:rPr>
              <w:t xml:space="preserve">+0.0</w:t>
            </w:r>
          </w:p>
        </w:tc>
        <w:tc>
          <w:tcPr>
            <w:tcW w:type="dxa" w:w="1900"/>
            <w:tcMar>
              <w:top w:type="dxa" w:w="40"/>
              <w:left w:type="dxa" w:w="80"/>
              <w:bottom w:type="dxa" w:w="40"/>
              <w:right w:type="dxa" w:w="80"/>
            </w:tcMar>
          </w:tcPr>
          <w:p>
            <w:pPr>
              <w:jc w:val="center"/>
            </w:pPr>
            <w:r>
              <w:rPr>
                <w:b w:val="false"/>
                <w:bCs w:val="false"/>
                <w:sz w:val="19"/>
                <w:szCs w:val="19"/>
              </w:rPr>
              <w:t xml:space="preserve">[−5.3, +5.3]</w:t>
            </w:r>
          </w:p>
        </w:tc>
        <w:tc>
          <w:tcPr>
            <w:tcW w:type="dxa" w:w="1350"/>
            <w:tcMar>
              <w:top w:type="dxa" w:w="40"/>
              <w:left w:type="dxa" w:w="80"/>
              <w:bottom w:type="dxa" w:w="40"/>
              <w:right w:type="dxa" w:w="80"/>
            </w:tcMar>
          </w:tcPr>
          <w:p>
            <w:pPr>
              <w:jc w:val="center"/>
            </w:pPr>
            <w:r>
              <w:rPr>
                <w:b w:val="false"/>
                <w:bCs w:val="false"/>
                <w:sz w:val="19"/>
                <w:szCs w:val="19"/>
              </w:rPr>
              <w:t xml:space="preserve">1.000</w:t>
            </w:r>
          </w:p>
        </w:tc>
        <w:tc>
          <w:tcPr>
            <w:tcW w:type="dxa" w:w="1000"/>
            <w:tcMar>
              <w:top w:type="dxa" w:w="40"/>
              <w:left w:type="dxa" w:w="80"/>
              <w:bottom w:type="dxa" w:w="40"/>
              <w:right w:type="dxa" w:w="80"/>
            </w:tcMar>
          </w:tcPr>
          <w:p>
            <w:pPr>
              <w:jc w:val="center"/>
            </w:pPr>
            <w:r>
              <w:rPr>
                <w:b w:val="false"/>
                <w:bCs w:val="false"/>
                <w:sz w:val="19"/>
                <w:szCs w:val="19"/>
              </w:rPr>
              <w:t xml:space="preserve">150</w:t>
            </w:r>
          </w:p>
        </w:tc>
      </w:tr>
      <w:tr>
        <w:tc>
          <w:tcPr>
            <w:tcW w:type="dxa" w:w="2400"/>
            <w:tcMar>
              <w:top w:type="dxa" w:w="40"/>
              <w:left w:type="dxa" w:w="80"/>
              <w:bottom w:type="dxa" w:w="40"/>
              <w:right w:type="dxa" w:w="80"/>
            </w:tcMar>
          </w:tcPr>
          <w:p>
            <w:pPr>
              <w:jc w:val="left"/>
            </w:pPr>
            <w:r>
              <w:rPr>
                <w:b w:val="false"/>
                <w:bCs w:val="false"/>
                <w:sz w:val="19"/>
                <w:szCs w:val="19"/>
              </w:rPr>
              <w:t xml:space="preserve">Interaction (ablation)</w:t>
            </w:r>
          </w:p>
        </w:tc>
        <w:tc>
          <w:tcPr>
            <w:tcW w:type="dxa" w:w="1450"/>
            <w:tcMar>
              <w:top w:type="dxa" w:w="40"/>
              <w:left w:type="dxa" w:w="80"/>
              <w:bottom w:type="dxa" w:w="40"/>
              <w:right w:type="dxa" w:w="80"/>
            </w:tcMar>
          </w:tcPr>
          <w:p>
            <w:pPr>
              <w:jc w:val="center"/>
            </w:pPr>
            <w:r>
              <w:rPr>
                <w:b w:val="false"/>
                <w:bCs w:val="false"/>
                <w:sz w:val="19"/>
                <w:szCs w:val="19"/>
              </w:rPr>
              <w:t xml:space="preserve">−3.3</w:t>
            </w:r>
          </w:p>
        </w:tc>
        <w:tc>
          <w:tcPr>
            <w:tcW w:type="dxa" w:w="1900"/>
            <w:tcMar>
              <w:top w:type="dxa" w:w="40"/>
              <w:left w:type="dxa" w:w="80"/>
              <w:bottom w:type="dxa" w:w="40"/>
              <w:right w:type="dxa" w:w="80"/>
            </w:tcMar>
          </w:tcPr>
          <w:p>
            <w:pPr>
              <w:jc w:val="center"/>
            </w:pPr>
            <w:r>
              <w:rPr>
                <w:b w:val="false"/>
                <w:bCs w:val="false"/>
                <w:sz w:val="19"/>
                <w:szCs w:val="19"/>
              </w:rPr>
              <w:t xml:space="preserve">[−10.7, +4.0]</w:t>
            </w:r>
          </w:p>
        </w:tc>
        <w:tc>
          <w:tcPr>
            <w:tcW w:type="dxa" w:w="1350"/>
            <w:tcMar>
              <w:top w:type="dxa" w:w="40"/>
              <w:left w:type="dxa" w:w="80"/>
              <w:bottom w:type="dxa" w:w="40"/>
              <w:right w:type="dxa" w:w="80"/>
            </w:tcMar>
          </w:tcPr>
          <w:p>
            <w:pPr>
              <w:jc w:val="center"/>
            </w:pPr>
            <w:r>
              <w:rPr>
                <w:b w:val="false"/>
                <w:bCs w:val="false"/>
                <w:sz w:val="19"/>
                <w:szCs w:val="19"/>
              </w:rPr>
              <w:t xml:space="preserve">0.407</w:t>
            </w:r>
          </w:p>
        </w:tc>
        <w:tc>
          <w:tcPr>
            <w:tcW w:type="dxa" w:w="1000"/>
            <w:tcMar>
              <w:top w:type="dxa" w:w="40"/>
              <w:left w:type="dxa" w:w="80"/>
              <w:bottom w:type="dxa" w:w="40"/>
              <w:right w:type="dxa" w:w="80"/>
            </w:tcMar>
          </w:tcPr>
          <w:p>
            <w:pPr>
              <w:jc w:val="center"/>
            </w:pPr>
            <w:r>
              <w:rPr>
                <w:b w:val="false"/>
                <w:bCs w:val="false"/>
                <w:sz w:val="19"/>
                <w:szCs w:val="19"/>
              </w:rPr>
              <w:t xml:space="preserve">150</w:t>
            </w:r>
          </w:p>
        </w:tc>
      </w:tr>
      <w:tr>
        <w:tc>
          <w:tcPr>
            <w:tcW w:type="dxa" w:w="2400"/>
            <w:tcMar>
              <w:top w:type="dxa" w:w="40"/>
              <w:left w:type="dxa" w:w="80"/>
              <w:bottom w:type="dxa" w:w="40"/>
              <w:right w:type="dxa" w:w="80"/>
            </w:tcMar>
          </w:tcPr>
          <w:p>
            <w:pPr>
              <w:jc w:val="left"/>
            </w:pPr>
            <w:r>
              <w:rPr>
                <w:b w:val="false"/>
                <w:bCs w:val="false"/>
                <w:sz w:val="19"/>
                <w:szCs w:val="19"/>
              </w:rPr>
              <w:t xml:space="preserve">Interaction (random control)</w:t>
            </w:r>
          </w:p>
        </w:tc>
        <w:tc>
          <w:tcPr>
            <w:tcW w:type="dxa" w:w="1450"/>
            <w:tcMar>
              <w:top w:type="dxa" w:w="40"/>
              <w:left w:type="dxa" w:w="80"/>
              <w:bottom w:type="dxa" w:w="40"/>
              <w:right w:type="dxa" w:w="80"/>
            </w:tcMar>
          </w:tcPr>
          <w:p>
            <w:pPr>
              <w:jc w:val="center"/>
            </w:pPr>
            <w:r>
              <w:rPr>
                <w:b w:val="false"/>
                <w:bCs w:val="false"/>
                <w:sz w:val="19"/>
                <w:szCs w:val="19"/>
              </w:rPr>
              <w:t xml:space="preserve">−1.3</w:t>
            </w:r>
          </w:p>
        </w:tc>
        <w:tc>
          <w:tcPr>
            <w:tcW w:type="dxa" w:w="1900"/>
            <w:tcMar>
              <w:top w:type="dxa" w:w="40"/>
              <w:left w:type="dxa" w:w="80"/>
              <w:bottom w:type="dxa" w:w="40"/>
              <w:right w:type="dxa" w:w="80"/>
            </w:tcMar>
          </w:tcPr>
          <w:p>
            <w:pPr>
              <w:jc w:val="center"/>
            </w:pPr>
            <w:r>
              <w:rPr>
                <w:b w:val="false"/>
                <w:bCs w:val="false"/>
                <w:sz w:val="19"/>
                <w:szCs w:val="19"/>
              </w:rPr>
              <w:t xml:space="preserve">[−7.3, +4.7]</w:t>
            </w:r>
          </w:p>
        </w:tc>
        <w:tc>
          <w:tcPr>
            <w:tcW w:type="dxa" w:w="1350"/>
            <w:tcMar>
              <w:top w:type="dxa" w:w="40"/>
              <w:left w:type="dxa" w:w="80"/>
              <w:bottom w:type="dxa" w:w="40"/>
              <w:right w:type="dxa" w:w="80"/>
            </w:tcMar>
          </w:tcPr>
          <w:p>
            <w:pPr>
              <w:jc w:val="center"/>
            </w:pPr>
            <w:r>
              <w:rPr>
                <w:b w:val="false"/>
                <w:bCs w:val="false"/>
                <w:sz w:val="19"/>
                <w:szCs w:val="19"/>
              </w:rPr>
              <w:t xml:space="preserve">0.678</w:t>
            </w:r>
          </w:p>
        </w:tc>
        <w:tc>
          <w:tcPr>
            <w:tcW w:type="dxa" w:w="1000"/>
            <w:tcMar>
              <w:top w:type="dxa" w:w="40"/>
              <w:left w:type="dxa" w:w="80"/>
              <w:bottom w:type="dxa" w:w="40"/>
              <w:right w:type="dxa" w:w="80"/>
            </w:tcMar>
          </w:tcPr>
          <w:p>
            <w:pPr>
              <w:jc w:val="center"/>
            </w:pPr>
            <w:r>
              <w:rPr>
                <w:b w:val="false"/>
                <w:bCs w:val="false"/>
                <w:sz w:val="19"/>
                <w:szCs w:val="19"/>
              </w:rPr>
              <w:t xml:space="preserve">150</w:t>
            </w:r>
          </w:p>
        </w:tc>
      </w:tr>
    </w:tbl>
    <w:p>
      <w:pPr>
        <w:spacing w:after="200" w:before="60"/>
        <w:jc w:val="center"/>
      </w:pPr>
      <w:r>
        <w:rPr>
          <w:i/>
          <w:iCs/>
          <w:color w:val="555555"/>
          <w:sz w:val="18"/>
          <w:szCs w:val="18"/>
        </w:rPr>
        <w:t xml:space="preserve">Table 2. GSM8K paired contrasts. Points in percentage points; CIs are 10,000-resample paired percentile bootstraps over problems; McNemar p-values are exact.</w:t>
      </w:r>
    </w:p>
    <w:p>
      <w:pPr>
        <w:spacing w:after="120" w:line="264"/>
        <w:jc w:val="both"/>
      </w:pPr>
      <w:r>
        <w:rPr>
          <w:sz w:val="21"/>
          <w:szCs w:val="21"/>
        </w:rPr>
        <w:t xml:space="preserve">Ablation lowered CoT accuracy by 6.0 points (McNemar p = 0.035), but the matched random control lowered it by 4.0 points (p = 0.18): selectivity is +2.0 points with a 95% CI of [−3.3, +7.3]. The direct arm shows identical 2.7-point drops under ablation and control (selectivity exactly 0). The headline interaction is −3.3 points, CI [−10.7, +4.0] — the wrong sign for H1 and consistent with zero — and the control interaction is −1.3 points, CI [−7.3, +4.7], confirming the pipeline itself does not manufacture an interaction. The 12 problems the band was selected on are reported apart from the 138-problem holdout: they are measurably unrepresentative (direct_intact 50% vs the holdout's 25%) and show no ablation deficit at all (83% in all three CoT cells vs 80/74/76% on the holdout), so the headline estimates — which include them as 12 of 150 pairs — are, if anything, diluted rather than inflated by the band-selection set.</w:t>
      </w:r>
    </w:p>
    <w:p>
      <w:pPr>
        <w:pStyle w:val="Heading2"/>
        <w:spacing w:after="100" w:before="180"/>
      </w:pPr>
      <w:r>
        <w:rPr>
          <w:b/>
          <w:bCs/>
          <w:color w:val="1a1a19"/>
          <w:sz w:val="22"/>
          <w:szCs w:val="22"/>
        </w:rPr>
        <w:t xml:space="preserve">MATH-500 (n = 150, stratified 30/level; cot_ablated pending)</w:t>
      </w:r>
    </w:p>
    <w:tbl>
      <w:tblPr>
        <w:tblW w:type="dxa" w:w="655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900"/>
        <w:gridCol w:w="950"/>
        <w:gridCol w:w="1000"/>
        <w:gridCol w:w="1100"/>
      </w:tblGrid>
      <w:tr>
        <w:trPr>
          <w:tblHeader/>
        </w:trPr>
        <w:tc>
          <w:tcPr>
            <w:tcW w:type="dxa" w:w="1900"/>
            <w:shd w:fill="EEEDE6" w:val="clear"/>
            <w:tcMar>
              <w:top w:type="dxa" w:w="40"/>
              <w:left w:type="dxa" w:w="80"/>
              <w:bottom w:type="dxa" w:w="40"/>
              <w:right w:type="dxa" w:w="80"/>
            </w:tcMar>
          </w:tcPr>
          <w:p>
            <w:pPr>
              <w:jc w:val="left"/>
            </w:pPr>
            <w:r>
              <w:rPr>
                <w:b/>
                <w:bCs/>
                <w:sz w:val="19"/>
                <w:szCs w:val="19"/>
              </w:rPr>
              <w:t xml:space="preserve">Condition</w:t>
            </w:r>
          </w:p>
        </w:tc>
        <w:tc>
          <w:tcPr>
            <w:tcW w:type="dxa" w:w="700"/>
            <w:shd w:fill="EEEDE6" w:val="clear"/>
            <w:tcMar>
              <w:top w:type="dxa" w:w="40"/>
              <w:left w:type="dxa" w:w="80"/>
              <w:bottom w:type="dxa" w:w="40"/>
              <w:right w:type="dxa" w:w="80"/>
            </w:tcMar>
          </w:tcPr>
          <w:p>
            <w:pPr>
              <w:jc w:val="center"/>
            </w:pPr>
            <w:r>
              <w:rPr>
                <w:b/>
                <w:bCs/>
                <w:sz w:val="19"/>
                <w:szCs w:val="19"/>
              </w:rPr>
              <w:t xml:space="preserve">n</w:t>
            </w:r>
          </w:p>
        </w:tc>
        <w:tc>
          <w:tcPr>
            <w:tcW w:type="dxa" w:w="900"/>
            <w:shd w:fill="EEEDE6" w:val="clear"/>
            <w:tcMar>
              <w:top w:type="dxa" w:w="40"/>
              <w:left w:type="dxa" w:w="80"/>
              <w:bottom w:type="dxa" w:w="40"/>
              <w:right w:type="dxa" w:w="80"/>
            </w:tcMar>
          </w:tcPr>
          <w:p>
            <w:pPr>
              <w:jc w:val="center"/>
            </w:pPr>
            <w:r>
              <w:rPr>
                <w:b/>
                <w:bCs/>
                <w:sz w:val="19"/>
                <w:szCs w:val="19"/>
              </w:rPr>
              <w:t xml:space="preserve">Acc.</w:t>
            </w:r>
          </w:p>
        </w:tc>
        <w:tc>
          <w:tcPr>
            <w:tcW w:type="dxa" w:w="950"/>
            <w:shd w:fill="EEEDE6" w:val="clear"/>
            <w:tcMar>
              <w:top w:type="dxa" w:w="40"/>
              <w:left w:type="dxa" w:w="80"/>
              <w:bottom w:type="dxa" w:w="40"/>
              <w:right w:type="dxa" w:w="80"/>
            </w:tcMar>
          </w:tcPr>
          <w:p>
            <w:pPr>
              <w:jc w:val="center"/>
            </w:pPr>
            <w:r>
              <w:rPr>
                <w:b/>
                <w:bCs/>
                <w:sz w:val="19"/>
                <w:szCs w:val="19"/>
              </w:rPr>
              <w:t xml:space="preserve">Correct</w:t>
            </w:r>
          </w:p>
        </w:tc>
        <w:tc>
          <w:tcPr>
            <w:tcW w:type="dxa" w:w="1000"/>
            <w:shd w:fill="EEEDE6" w:val="clear"/>
            <w:tcMar>
              <w:top w:type="dxa" w:w="40"/>
              <w:left w:type="dxa" w:w="80"/>
              <w:bottom w:type="dxa" w:w="40"/>
              <w:right w:type="dxa" w:w="80"/>
            </w:tcMar>
          </w:tcPr>
          <w:p>
            <w:pPr>
              <w:jc w:val="center"/>
            </w:pPr>
            <w:r>
              <w:rPr>
                <w:b/>
                <w:bCs/>
                <w:sz w:val="19"/>
                <w:szCs w:val="19"/>
              </w:rPr>
              <w:t xml:space="preserve">Incorrect</w:t>
            </w:r>
          </w:p>
        </w:tc>
        <w:tc>
          <w:tcPr>
            <w:tcW w:type="dxa" w:w="1100"/>
            <w:shd w:fill="EEEDE6" w:val="clear"/>
            <w:tcMar>
              <w:top w:type="dxa" w:w="40"/>
              <w:left w:type="dxa" w:w="80"/>
              <w:bottom w:type="dxa" w:w="40"/>
              <w:right w:type="dxa" w:w="80"/>
            </w:tcMar>
          </w:tcPr>
          <w:p>
            <w:pPr>
              <w:jc w:val="center"/>
            </w:pPr>
            <w:r>
              <w:rPr>
                <w:b/>
                <w:bCs/>
                <w:sz w:val="19"/>
                <w:szCs w:val="19"/>
              </w:rPr>
              <w:t xml:space="preserve">Incomplete</w:t>
            </w:r>
          </w:p>
        </w:tc>
      </w:tr>
      <w:tr>
        <w:tc>
          <w:tcPr>
            <w:tcW w:type="dxa" w:w="1900"/>
            <w:tcMar>
              <w:top w:type="dxa" w:w="40"/>
              <w:left w:type="dxa" w:w="80"/>
              <w:bottom w:type="dxa" w:w="40"/>
              <w:right w:type="dxa" w:w="80"/>
            </w:tcMar>
          </w:tcPr>
          <w:p>
            <w:pPr>
              <w:jc w:val="left"/>
            </w:pPr>
            <w:r>
              <w:rPr>
                <w:b w:val="false"/>
                <w:bCs w:val="false"/>
                <w:sz w:val="19"/>
                <w:szCs w:val="19"/>
              </w:rPr>
              <w:t xml:space="preserve">cot_intact</w:t>
            </w:r>
          </w:p>
        </w:tc>
        <w:tc>
          <w:tcPr>
            <w:tcW w:type="dxa" w:w="700"/>
            <w:tcMar>
              <w:top w:type="dxa" w:w="40"/>
              <w:left w:type="dxa" w:w="80"/>
              <w:bottom w:type="dxa" w:w="40"/>
              <w:right w:type="dxa" w:w="80"/>
            </w:tcMar>
          </w:tcPr>
          <w:p>
            <w:pPr>
              <w:jc w:val="center"/>
            </w:pPr>
            <w:r>
              <w:rPr>
                <w:b w:val="false"/>
                <w:bCs w:val="false"/>
                <w:sz w:val="19"/>
                <w:szCs w:val="19"/>
              </w:rPr>
              <w:t xml:space="preserve">150</w:t>
            </w:r>
          </w:p>
        </w:tc>
        <w:tc>
          <w:tcPr>
            <w:tcW w:type="dxa" w:w="900"/>
            <w:tcMar>
              <w:top w:type="dxa" w:w="40"/>
              <w:left w:type="dxa" w:w="80"/>
              <w:bottom w:type="dxa" w:w="40"/>
              <w:right w:type="dxa" w:w="80"/>
            </w:tcMar>
          </w:tcPr>
          <w:p>
            <w:pPr>
              <w:jc w:val="center"/>
            </w:pPr>
            <w:r>
              <w:rPr>
                <w:b w:val="false"/>
                <w:bCs w:val="false"/>
                <w:sz w:val="19"/>
                <w:szCs w:val="19"/>
              </w:rPr>
              <w:t xml:space="preserve">94.0%</w:t>
            </w:r>
          </w:p>
        </w:tc>
        <w:tc>
          <w:tcPr>
            <w:tcW w:type="dxa" w:w="950"/>
            <w:tcMar>
              <w:top w:type="dxa" w:w="40"/>
              <w:left w:type="dxa" w:w="80"/>
              <w:bottom w:type="dxa" w:w="40"/>
              <w:right w:type="dxa" w:w="80"/>
            </w:tcMar>
          </w:tcPr>
          <w:p>
            <w:pPr>
              <w:jc w:val="center"/>
            </w:pPr>
            <w:r>
              <w:rPr>
                <w:b w:val="false"/>
                <w:bCs w:val="false"/>
                <w:sz w:val="19"/>
                <w:szCs w:val="19"/>
              </w:rPr>
              <w:t xml:space="preserve">141</w:t>
            </w:r>
          </w:p>
        </w:tc>
        <w:tc>
          <w:tcPr>
            <w:tcW w:type="dxa" w:w="1000"/>
            <w:tcMar>
              <w:top w:type="dxa" w:w="40"/>
              <w:left w:type="dxa" w:w="80"/>
              <w:bottom w:type="dxa" w:w="40"/>
              <w:right w:type="dxa" w:w="80"/>
            </w:tcMar>
          </w:tcPr>
          <w:p>
            <w:pPr>
              <w:jc w:val="center"/>
            </w:pPr>
            <w:r>
              <w:rPr>
                <w:b w:val="false"/>
                <w:bCs w:val="false"/>
                <w:sz w:val="19"/>
                <w:szCs w:val="19"/>
              </w:rPr>
              <w:t xml:space="preserve">3</w:t>
            </w:r>
          </w:p>
        </w:tc>
        <w:tc>
          <w:tcPr>
            <w:tcW w:type="dxa" w:w="1100"/>
            <w:tcMar>
              <w:top w:type="dxa" w:w="40"/>
              <w:left w:type="dxa" w:w="80"/>
              <w:bottom w:type="dxa" w:w="40"/>
              <w:right w:type="dxa" w:w="80"/>
            </w:tcMar>
          </w:tcPr>
          <w:p>
            <w:pPr>
              <w:jc w:val="center"/>
            </w:pPr>
            <w:r>
              <w:rPr>
                <w:b w:val="false"/>
                <w:bCs w:val="false"/>
                <w:sz w:val="19"/>
                <w:szCs w:val="19"/>
              </w:rPr>
              <w:t xml:space="preserve">6</w:t>
            </w:r>
          </w:p>
        </w:tc>
      </w:tr>
      <w:tr>
        <w:tc>
          <w:tcPr>
            <w:tcW w:type="dxa" w:w="1900"/>
            <w:tcMar>
              <w:top w:type="dxa" w:w="40"/>
              <w:left w:type="dxa" w:w="80"/>
              <w:bottom w:type="dxa" w:w="40"/>
              <w:right w:type="dxa" w:w="80"/>
            </w:tcMar>
          </w:tcPr>
          <w:p>
            <w:pPr>
              <w:jc w:val="left"/>
            </w:pPr>
            <w:r>
              <w:rPr>
                <w:b w:val="false"/>
                <w:bCs w:val="false"/>
                <w:sz w:val="19"/>
                <w:szCs w:val="19"/>
              </w:rPr>
              <w:t xml:space="preserve">cot_ablated</w:t>
            </w:r>
          </w:p>
        </w:tc>
        <w:tc>
          <w:tcPr>
            <w:tcW w:type="dxa" w:w="700"/>
            <w:tcMar>
              <w:top w:type="dxa" w:w="40"/>
              <w:left w:type="dxa" w:w="80"/>
              <w:bottom w:type="dxa" w:w="40"/>
              <w:right w:type="dxa" w:w="80"/>
            </w:tcMar>
          </w:tcPr>
          <w:p>
            <w:pPr>
              <w:jc w:val="center"/>
            </w:pPr>
            <w:r>
              <w:rPr>
                <w:b w:val="false"/>
                <w:bCs w:val="false"/>
                <w:sz w:val="19"/>
                <w:szCs w:val="19"/>
              </w:rPr>
              <w:t xml:space="preserve">—</w:t>
            </w:r>
          </w:p>
        </w:tc>
        <w:tc>
          <w:tcPr>
            <w:tcW w:type="dxa" w:w="900"/>
            <w:tcMar>
              <w:top w:type="dxa" w:w="40"/>
              <w:left w:type="dxa" w:w="80"/>
              <w:bottom w:type="dxa" w:w="40"/>
              <w:right w:type="dxa" w:w="80"/>
            </w:tcMar>
          </w:tcPr>
          <w:p>
            <w:pPr>
              <w:jc w:val="center"/>
            </w:pPr>
            <w:r>
              <w:rPr>
                <w:b w:val="false"/>
                <w:bCs w:val="false"/>
                <w:sz w:val="19"/>
                <w:szCs w:val="19"/>
              </w:rPr>
              <w:t xml:space="preserve">pending†</w:t>
            </w:r>
          </w:p>
        </w:tc>
        <w:tc>
          <w:tcPr>
            <w:tcW w:type="dxa" w:w="950"/>
            <w:tcMar>
              <w:top w:type="dxa" w:w="40"/>
              <w:left w:type="dxa" w:w="80"/>
              <w:bottom w:type="dxa" w:w="40"/>
              <w:right w:type="dxa" w:w="80"/>
            </w:tcMar>
          </w:tcPr>
          <w:p>
            <w:pPr>
              <w:jc w:val="center"/>
            </w:pPr>
            <w:r>
              <w:rPr>
                <w:b w:val="false"/>
                <w:bCs w:val="false"/>
                <w:sz w:val="19"/>
                <w:szCs w:val="19"/>
              </w:rPr>
              <w:t xml:space="preserve">—</w:t>
            </w:r>
          </w:p>
        </w:tc>
        <w:tc>
          <w:tcPr>
            <w:tcW w:type="dxa" w:w="1000"/>
            <w:tcMar>
              <w:top w:type="dxa" w:w="40"/>
              <w:left w:type="dxa" w:w="80"/>
              <w:bottom w:type="dxa" w:w="40"/>
              <w:right w:type="dxa" w:w="80"/>
            </w:tcMar>
          </w:tcPr>
          <w:p>
            <w:pPr>
              <w:jc w:val="center"/>
            </w:pPr>
            <w:r>
              <w:rPr>
                <w:b w:val="false"/>
                <w:bCs w:val="false"/>
                <w:sz w:val="19"/>
                <w:szCs w:val="19"/>
              </w:rPr>
              <w:t xml:space="preserve">—</w:t>
            </w:r>
          </w:p>
        </w:tc>
        <w:tc>
          <w:tcPr>
            <w:tcW w:type="dxa" w:w="1100"/>
            <w:tcMar>
              <w:top w:type="dxa" w:w="40"/>
              <w:left w:type="dxa" w:w="80"/>
              <w:bottom w:type="dxa" w:w="40"/>
              <w:right w:type="dxa" w:w="80"/>
            </w:tcMar>
          </w:tcPr>
          <w:p>
            <w:pPr>
              <w:jc w:val="center"/>
            </w:pPr>
            <w:r>
              <w:rPr>
                <w:b w:val="false"/>
                <w:bCs w:val="false"/>
                <w:sz w:val="19"/>
                <w:szCs w:val="19"/>
              </w:rPr>
              <w:t xml:space="preserve">—</w:t>
            </w:r>
          </w:p>
        </w:tc>
      </w:tr>
      <w:tr>
        <w:tc>
          <w:tcPr>
            <w:tcW w:type="dxa" w:w="1900"/>
            <w:tcMar>
              <w:top w:type="dxa" w:w="40"/>
              <w:left w:type="dxa" w:w="80"/>
              <w:bottom w:type="dxa" w:w="40"/>
              <w:right w:type="dxa" w:w="80"/>
            </w:tcMar>
          </w:tcPr>
          <w:p>
            <w:pPr>
              <w:jc w:val="left"/>
            </w:pPr>
            <w:r>
              <w:rPr>
                <w:b w:val="false"/>
                <w:bCs w:val="false"/>
                <w:sz w:val="19"/>
                <w:szCs w:val="19"/>
              </w:rPr>
              <w:t xml:space="preserve">cot_random</w:t>
            </w:r>
          </w:p>
        </w:tc>
        <w:tc>
          <w:tcPr>
            <w:tcW w:type="dxa" w:w="700"/>
            <w:tcMar>
              <w:top w:type="dxa" w:w="40"/>
              <w:left w:type="dxa" w:w="80"/>
              <w:bottom w:type="dxa" w:w="40"/>
              <w:right w:type="dxa" w:w="80"/>
            </w:tcMar>
          </w:tcPr>
          <w:p>
            <w:pPr>
              <w:jc w:val="center"/>
            </w:pPr>
            <w:r>
              <w:rPr>
                <w:b w:val="false"/>
                <w:bCs w:val="false"/>
                <w:sz w:val="19"/>
                <w:szCs w:val="19"/>
              </w:rPr>
              <w:t xml:space="preserve">150</w:t>
            </w:r>
          </w:p>
        </w:tc>
        <w:tc>
          <w:tcPr>
            <w:tcW w:type="dxa" w:w="900"/>
            <w:tcMar>
              <w:top w:type="dxa" w:w="40"/>
              <w:left w:type="dxa" w:w="80"/>
              <w:bottom w:type="dxa" w:w="40"/>
              <w:right w:type="dxa" w:w="80"/>
            </w:tcMar>
          </w:tcPr>
          <w:p>
            <w:pPr>
              <w:jc w:val="center"/>
            </w:pPr>
            <w:r>
              <w:rPr>
                <w:b w:val="false"/>
                <w:bCs w:val="false"/>
                <w:sz w:val="19"/>
                <w:szCs w:val="19"/>
              </w:rPr>
              <w:t xml:space="preserve">96.0%</w:t>
            </w:r>
          </w:p>
        </w:tc>
        <w:tc>
          <w:tcPr>
            <w:tcW w:type="dxa" w:w="950"/>
            <w:tcMar>
              <w:top w:type="dxa" w:w="40"/>
              <w:left w:type="dxa" w:w="80"/>
              <w:bottom w:type="dxa" w:w="40"/>
              <w:right w:type="dxa" w:w="80"/>
            </w:tcMar>
          </w:tcPr>
          <w:p>
            <w:pPr>
              <w:jc w:val="center"/>
            </w:pPr>
            <w:r>
              <w:rPr>
                <w:b w:val="false"/>
                <w:bCs w:val="false"/>
                <w:sz w:val="19"/>
                <w:szCs w:val="19"/>
              </w:rPr>
              <w:t xml:space="preserve">144</w:t>
            </w:r>
          </w:p>
        </w:tc>
        <w:tc>
          <w:tcPr>
            <w:tcW w:type="dxa" w:w="1000"/>
            <w:tcMar>
              <w:top w:type="dxa" w:w="40"/>
              <w:left w:type="dxa" w:w="80"/>
              <w:bottom w:type="dxa" w:w="40"/>
              <w:right w:type="dxa" w:w="80"/>
            </w:tcMar>
          </w:tcPr>
          <w:p>
            <w:pPr>
              <w:jc w:val="center"/>
            </w:pPr>
            <w:r>
              <w:rPr>
                <w:b w:val="false"/>
                <w:bCs w:val="false"/>
                <w:sz w:val="19"/>
                <w:szCs w:val="19"/>
              </w:rPr>
              <w:t xml:space="preserve">3</w:t>
            </w:r>
          </w:p>
        </w:tc>
        <w:tc>
          <w:tcPr>
            <w:tcW w:type="dxa" w:w="1100"/>
            <w:tcMar>
              <w:top w:type="dxa" w:w="40"/>
              <w:left w:type="dxa" w:w="80"/>
              <w:bottom w:type="dxa" w:w="40"/>
              <w:right w:type="dxa" w:w="80"/>
            </w:tcMar>
          </w:tcPr>
          <w:p>
            <w:pPr>
              <w:jc w:val="center"/>
            </w:pPr>
            <w:r>
              <w:rPr>
                <w:b w:val="false"/>
                <w:bCs w:val="false"/>
                <w:sz w:val="19"/>
                <w:szCs w:val="19"/>
              </w:rPr>
              <w:t xml:space="preserve">3</w:t>
            </w:r>
          </w:p>
        </w:tc>
      </w:tr>
      <w:tr>
        <w:tc>
          <w:tcPr>
            <w:tcW w:type="dxa" w:w="1900"/>
            <w:tcMar>
              <w:top w:type="dxa" w:w="40"/>
              <w:left w:type="dxa" w:w="80"/>
              <w:bottom w:type="dxa" w:w="40"/>
              <w:right w:type="dxa" w:w="80"/>
            </w:tcMar>
          </w:tcPr>
          <w:p>
            <w:pPr>
              <w:jc w:val="left"/>
            </w:pPr>
            <w:r>
              <w:rPr>
                <w:b w:val="false"/>
                <w:bCs w:val="false"/>
                <w:sz w:val="19"/>
                <w:szCs w:val="19"/>
              </w:rPr>
              <w:t xml:space="preserve">direct_intact</w:t>
            </w:r>
          </w:p>
        </w:tc>
        <w:tc>
          <w:tcPr>
            <w:tcW w:type="dxa" w:w="700"/>
            <w:tcMar>
              <w:top w:type="dxa" w:w="40"/>
              <w:left w:type="dxa" w:w="80"/>
              <w:bottom w:type="dxa" w:w="40"/>
              <w:right w:type="dxa" w:w="80"/>
            </w:tcMar>
          </w:tcPr>
          <w:p>
            <w:pPr>
              <w:jc w:val="center"/>
            </w:pPr>
            <w:r>
              <w:rPr>
                <w:b w:val="false"/>
                <w:bCs w:val="false"/>
                <w:sz w:val="19"/>
                <w:szCs w:val="19"/>
              </w:rPr>
              <w:t xml:space="preserve">150</w:t>
            </w:r>
          </w:p>
        </w:tc>
        <w:tc>
          <w:tcPr>
            <w:tcW w:type="dxa" w:w="900"/>
            <w:tcMar>
              <w:top w:type="dxa" w:w="40"/>
              <w:left w:type="dxa" w:w="80"/>
              <w:bottom w:type="dxa" w:w="40"/>
              <w:right w:type="dxa" w:w="80"/>
            </w:tcMar>
          </w:tcPr>
          <w:p>
            <w:pPr>
              <w:jc w:val="center"/>
            </w:pPr>
            <w:r>
              <w:rPr>
                <w:b w:val="false"/>
                <w:bCs w:val="false"/>
                <w:sz w:val="19"/>
                <w:szCs w:val="19"/>
              </w:rPr>
              <w:t xml:space="preserve">34.0%</w:t>
            </w:r>
          </w:p>
        </w:tc>
        <w:tc>
          <w:tcPr>
            <w:tcW w:type="dxa" w:w="950"/>
            <w:tcMar>
              <w:top w:type="dxa" w:w="40"/>
              <w:left w:type="dxa" w:w="80"/>
              <w:bottom w:type="dxa" w:w="40"/>
              <w:right w:type="dxa" w:w="80"/>
            </w:tcMar>
          </w:tcPr>
          <w:p>
            <w:pPr>
              <w:jc w:val="center"/>
            </w:pPr>
            <w:r>
              <w:rPr>
                <w:b w:val="false"/>
                <w:bCs w:val="false"/>
                <w:sz w:val="19"/>
                <w:szCs w:val="19"/>
              </w:rPr>
              <w:t xml:space="preserve">51</w:t>
            </w:r>
          </w:p>
        </w:tc>
        <w:tc>
          <w:tcPr>
            <w:tcW w:type="dxa" w:w="1000"/>
            <w:tcMar>
              <w:top w:type="dxa" w:w="40"/>
              <w:left w:type="dxa" w:w="80"/>
              <w:bottom w:type="dxa" w:w="40"/>
              <w:right w:type="dxa" w:w="80"/>
            </w:tcMar>
          </w:tcPr>
          <w:p>
            <w:pPr>
              <w:jc w:val="center"/>
            </w:pPr>
            <w:r>
              <w:rPr>
                <w:b w:val="false"/>
                <w:bCs w:val="false"/>
                <w:sz w:val="19"/>
                <w:szCs w:val="19"/>
              </w:rPr>
              <w:t xml:space="preserve">99</w:t>
            </w:r>
          </w:p>
        </w:tc>
        <w:tc>
          <w:tcPr>
            <w:tcW w:type="dxa" w:w="1100"/>
            <w:tcMar>
              <w:top w:type="dxa" w:w="40"/>
              <w:left w:type="dxa" w:w="80"/>
              <w:bottom w:type="dxa" w:w="40"/>
              <w:right w:type="dxa" w:w="80"/>
            </w:tcMar>
          </w:tcPr>
          <w:p>
            <w:pPr>
              <w:jc w:val="center"/>
            </w:pPr>
            <w:r>
              <w:rPr>
                <w:b w:val="false"/>
                <w:bCs w:val="false"/>
                <w:sz w:val="19"/>
                <w:szCs w:val="19"/>
              </w:rPr>
              <w:t xml:space="preserve">0</w:t>
            </w:r>
          </w:p>
        </w:tc>
      </w:tr>
      <w:tr>
        <w:tc>
          <w:tcPr>
            <w:tcW w:type="dxa" w:w="1900"/>
            <w:tcMar>
              <w:top w:type="dxa" w:w="40"/>
              <w:left w:type="dxa" w:w="80"/>
              <w:bottom w:type="dxa" w:w="40"/>
              <w:right w:type="dxa" w:w="80"/>
            </w:tcMar>
          </w:tcPr>
          <w:p>
            <w:pPr>
              <w:jc w:val="left"/>
            </w:pPr>
            <w:r>
              <w:rPr>
                <w:b w:val="false"/>
                <w:bCs w:val="false"/>
                <w:sz w:val="19"/>
                <w:szCs w:val="19"/>
              </w:rPr>
              <w:t xml:space="preserve">direct_ablated</w:t>
            </w:r>
          </w:p>
        </w:tc>
        <w:tc>
          <w:tcPr>
            <w:tcW w:type="dxa" w:w="700"/>
            <w:tcMar>
              <w:top w:type="dxa" w:w="40"/>
              <w:left w:type="dxa" w:w="80"/>
              <w:bottom w:type="dxa" w:w="40"/>
              <w:right w:type="dxa" w:w="80"/>
            </w:tcMar>
          </w:tcPr>
          <w:p>
            <w:pPr>
              <w:jc w:val="center"/>
            </w:pPr>
            <w:r>
              <w:rPr>
                <w:b w:val="false"/>
                <w:bCs w:val="false"/>
                <w:sz w:val="19"/>
                <w:szCs w:val="19"/>
              </w:rPr>
              <w:t xml:space="preserve">150</w:t>
            </w:r>
          </w:p>
        </w:tc>
        <w:tc>
          <w:tcPr>
            <w:tcW w:type="dxa" w:w="900"/>
            <w:tcMar>
              <w:top w:type="dxa" w:w="40"/>
              <w:left w:type="dxa" w:w="80"/>
              <w:bottom w:type="dxa" w:w="40"/>
              <w:right w:type="dxa" w:w="80"/>
            </w:tcMar>
          </w:tcPr>
          <w:p>
            <w:pPr>
              <w:jc w:val="center"/>
            </w:pPr>
            <w:r>
              <w:rPr>
                <w:b w:val="false"/>
                <w:bCs w:val="false"/>
                <w:sz w:val="19"/>
                <w:szCs w:val="19"/>
              </w:rPr>
              <w:t xml:space="preserve">30.7%</w:t>
            </w:r>
          </w:p>
        </w:tc>
        <w:tc>
          <w:tcPr>
            <w:tcW w:type="dxa" w:w="950"/>
            <w:tcMar>
              <w:top w:type="dxa" w:w="40"/>
              <w:left w:type="dxa" w:w="80"/>
              <w:bottom w:type="dxa" w:w="40"/>
              <w:right w:type="dxa" w:w="80"/>
            </w:tcMar>
          </w:tcPr>
          <w:p>
            <w:pPr>
              <w:jc w:val="center"/>
            </w:pPr>
            <w:r>
              <w:rPr>
                <w:b w:val="false"/>
                <w:bCs w:val="false"/>
                <w:sz w:val="19"/>
                <w:szCs w:val="19"/>
              </w:rPr>
              <w:t xml:space="preserve">46</w:t>
            </w:r>
          </w:p>
        </w:tc>
        <w:tc>
          <w:tcPr>
            <w:tcW w:type="dxa" w:w="1000"/>
            <w:tcMar>
              <w:top w:type="dxa" w:w="40"/>
              <w:left w:type="dxa" w:w="80"/>
              <w:bottom w:type="dxa" w:w="40"/>
              <w:right w:type="dxa" w:w="80"/>
            </w:tcMar>
          </w:tcPr>
          <w:p>
            <w:pPr>
              <w:jc w:val="center"/>
            </w:pPr>
            <w:r>
              <w:rPr>
                <w:b w:val="false"/>
                <w:bCs w:val="false"/>
                <w:sz w:val="19"/>
                <w:szCs w:val="19"/>
              </w:rPr>
              <w:t xml:space="preserve">104</w:t>
            </w:r>
          </w:p>
        </w:tc>
        <w:tc>
          <w:tcPr>
            <w:tcW w:type="dxa" w:w="1100"/>
            <w:tcMar>
              <w:top w:type="dxa" w:w="40"/>
              <w:left w:type="dxa" w:w="80"/>
              <w:bottom w:type="dxa" w:w="40"/>
              <w:right w:type="dxa" w:w="80"/>
            </w:tcMar>
          </w:tcPr>
          <w:p>
            <w:pPr>
              <w:jc w:val="center"/>
            </w:pPr>
            <w:r>
              <w:rPr>
                <w:b w:val="false"/>
                <w:bCs w:val="false"/>
                <w:sz w:val="19"/>
                <w:szCs w:val="19"/>
              </w:rPr>
              <w:t xml:space="preserve">0</w:t>
            </w:r>
          </w:p>
        </w:tc>
      </w:tr>
      <w:tr>
        <w:tc>
          <w:tcPr>
            <w:tcW w:type="dxa" w:w="1900"/>
            <w:tcMar>
              <w:top w:type="dxa" w:w="40"/>
              <w:left w:type="dxa" w:w="80"/>
              <w:bottom w:type="dxa" w:w="40"/>
              <w:right w:type="dxa" w:w="80"/>
            </w:tcMar>
          </w:tcPr>
          <w:p>
            <w:pPr>
              <w:jc w:val="left"/>
            </w:pPr>
            <w:r>
              <w:rPr>
                <w:b w:val="false"/>
                <w:bCs w:val="false"/>
                <w:sz w:val="19"/>
                <w:szCs w:val="19"/>
              </w:rPr>
              <w:t xml:space="preserve">direct_random</w:t>
            </w:r>
          </w:p>
        </w:tc>
        <w:tc>
          <w:tcPr>
            <w:tcW w:type="dxa" w:w="700"/>
            <w:tcMar>
              <w:top w:type="dxa" w:w="40"/>
              <w:left w:type="dxa" w:w="80"/>
              <w:bottom w:type="dxa" w:w="40"/>
              <w:right w:type="dxa" w:w="80"/>
            </w:tcMar>
          </w:tcPr>
          <w:p>
            <w:pPr>
              <w:jc w:val="center"/>
            </w:pPr>
            <w:r>
              <w:rPr>
                <w:b w:val="false"/>
                <w:bCs w:val="false"/>
                <w:sz w:val="19"/>
                <w:szCs w:val="19"/>
              </w:rPr>
              <w:t xml:space="preserve">150</w:t>
            </w:r>
          </w:p>
        </w:tc>
        <w:tc>
          <w:tcPr>
            <w:tcW w:type="dxa" w:w="900"/>
            <w:tcMar>
              <w:top w:type="dxa" w:w="40"/>
              <w:left w:type="dxa" w:w="80"/>
              <w:bottom w:type="dxa" w:w="40"/>
              <w:right w:type="dxa" w:w="80"/>
            </w:tcMar>
          </w:tcPr>
          <w:p>
            <w:pPr>
              <w:jc w:val="center"/>
            </w:pPr>
            <w:r>
              <w:rPr>
                <w:b w:val="false"/>
                <w:bCs w:val="false"/>
                <w:sz w:val="19"/>
                <w:szCs w:val="19"/>
              </w:rPr>
              <w:t xml:space="preserve">28.7%</w:t>
            </w:r>
          </w:p>
        </w:tc>
        <w:tc>
          <w:tcPr>
            <w:tcW w:type="dxa" w:w="950"/>
            <w:tcMar>
              <w:top w:type="dxa" w:w="40"/>
              <w:left w:type="dxa" w:w="80"/>
              <w:bottom w:type="dxa" w:w="40"/>
              <w:right w:type="dxa" w:w="80"/>
            </w:tcMar>
          </w:tcPr>
          <w:p>
            <w:pPr>
              <w:jc w:val="center"/>
            </w:pPr>
            <w:r>
              <w:rPr>
                <w:b w:val="false"/>
                <w:bCs w:val="false"/>
                <w:sz w:val="19"/>
                <w:szCs w:val="19"/>
              </w:rPr>
              <w:t xml:space="preserve">43</w:t>
            </w:r>
          </w:p>
        </w:tc>
        <w:tc>
          <w:tcPr>
            <w:tcW w:type="dxa" w:w="1000"/>
            <w:tcMar>
              <w:top w:type="dxa" w:w="40"/>
              <w:left w:type="dxa" w:w="80"/>
              <w:bottom w:type="dxa" w:w="40"/>
              <w:right w:type="dxa" w:w="80"/>
            </w:tcMar>
          </w:tcPr>
          <w:p>
            <w:pPr>
              <w:jc w:val="center"/>
            </w:pPr>
            <w:r>
              <w:rPr>
                <w:b w:val="false"/>
                <w:bCs w:val="false"/>
                <w:sz w:val="19"/>
                <w:szCs w:val="19"/>
              </w:rPr>
              <w:t xml:space="preserve">107</w:t>
            </w:r>
          </w:p>
        </w:tc>
        <w:tc>
          <w:tcPr>
            <w:tcW w:type="dxa" w:w="1100"/>
            <w:tcMar>
              <w:top w:type="dxa" w:w="40"/>
              <w:left w:type="dxa" w:w="80"/>
              <w:bottom w:type="dxa" w:w="40"/>
              <w:right w:type="dxa" w:w="80"/>
            </w:tcMar>
          </w:tcPr>
          <w:p>
            <w:pPr>
              <w:jc w:val="center"/>
            </w:pPr>
            <w:r>
              <w:rPr>
                <w:b w:val="false"/>
                <w:bCs w:val="false"/>
                <w:sz w:val="19"/>
                <w:szCs w:val="19"/>
              </w:rPr>
              <w:t xml:space="preserve">0</w:t>
            </w:r>
          </w:p>
        </w:tc>
      </w:tr>
    </w:tbl>
    <w:p>
      <w:pPr>
        <w:spacing w:after="200" w:before="60"/>
        <w:jc w:val="center"/>
      </w:pPr>
      <w:r>
        <w:rPr>
          <w:i/>
          <w:iCs/>
          <w:color w:val="555555"/>
          <w:sz w:val="18"/>
          <w:szCs w:val="18"/>
        </w:rPr>
        <w:t xml:space="preserve">Table 3. MATH-500 cell accuracies (level-balanced averages, not comparable to split-weighted published numbers). †The cot_ablated records were accidentally lost before merging; the regenerated cell will be added by noon 8/6.</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1450"/>
        <w:gridCol w:w="1900"/>
        <w:gridCol w:w="1350"/>
        <w:gridCol w:w="1000"/>
      </w:tblGrid>
      <w:tr>
        <w:trPr>
          <w:tblHeader/>
        </w:trPr>
        <w:tc>
          <w:tcPr>
            <w:tcW w:type="dxa" w:w="2400"/>
            <w:shd w:fill="EEEDE6" w:val="clear"/>
            <w:tcMar>
              <w:top w:type="dxa" w:w="40"/>
              <w:left w:type="dxa" w:w="80"/>
              <w:bottom w:type="dxa" w:w="40"/>
              <w:right w:type="dxa" w:w="80"/>
            </w:tcMar>
          </w:tcPr>
          <w:p>
            <w:pPr>
              <w:jc w:val="left"/>
            </w:pPr>
            <w:r>
              <w:rPr>
                <w:b/>
                <w:bCs/>
                <w:sz w:val="19"/>
                <w:szCs w:val="19"/>
              </w:rPr>
              <w:t xml:space="preserve">Contrast</w:t>
            </w:r>
          </w:p>
        </w:tc>
        <w:tc>
          <w:tcPr>
            <w:tcW w:type="dxa" w:w="1450"/>
            <w:shd w:fill="EEEDE6" w:val="clear"/>
            <w:tcMar>
              <w:top w:type="dxa" w:w="40"/>
              <w:left w:type="dxa" w:w="80"/>
              <w:bottom w:type="dxa" w:w="40"/>
              <w:right w:type="dxa" w:w="80"/>
            </w:tcMar>
          </w:tcPr>
          <w:p>
            <w:pPr>
              <w:jc w:val="center"/>
            </w:pPr>
            <w:r>
              <w:rPr>
                <w:b/>
                <w:bCs/>
                <w:sz w:val="19"/>
                <w:szCs w:val="19"/>
              </w:rPr>
              <w:t xml:space="preserve">Point (pts)</w:t>
            </w:r>
          </w:p>
        </w:tc>
        <w:tc>
          <w:tcPr>
            <w:tcW w:type="dxa" w:w="1900"/>
            <w:shd w:fill="EEEDE6" w:val="clear"/>
            <w:tcMar>
              <w:top w:type="dxa" w:w="40"/>
              <w:left w:type="dxa" w:w="80"/>
              <w:bottom w:type="dxa" w:w="40"/>
              <w:right w:type="dxa" w:w="80"/>
            </w:tcMar>
          </w:tcPr>
          <w:p>
            <w:pPr>
              <w:jc w:val="center"/>
            </w:pPr>
            <w:r>
              <w:rPr>
                <w:b/>
                <w:bCs/>
                <w:sz w:val="19"/>
                <w:szCs w:val="19"/>
              </w:rPr>
              <w:t xml:space="preserve">95% CI (pts)</w:t>
            </w:r>
          </w:p>
        </w:tc>
        <w:tc>
          <w:tcPr>
            <w:tcW w:type="dxa" w:w="1350"/>
            <w:shd w:fill="EEEDE6" w:val="clear"/>
            <w:tcMar>
              <w:top w:type="dxa" w:w="40"/>
              <w:left w:type="dxa" w:w="80"/>
              <w:bottom w:type="dxa" w:w="40"/>
              <w:right w:type="dxa" w:w="80"/>
            </w:tcMar>
          </w:tcPr>
          <w:p>
            <w:pPr>
              <w:jc w:val="center"/>
            </w:pPr>
            <w:r>
              <w:rPr>
                <w:b/>
                <w:bCs/>
                <w:sz w:val="19"/>
                <w:szCs w:val="19"/>
              </w:rPr>
              <w:t xml:space="preserve">p</w:t>
            </w:r>
          </w:p>
        </w:tc>
        <w:tc>
          <w:tcPr>
            <w:tcW w:type="dxa" w:w="1000"/>
            <w:shd w:fill="EEEDE6" w:val="clear"/>
            <w:tcMar>
              <w:top w:type="dxa" w:w="40"/>
              <w:left w:type="dxa" w:w="80"/>
              <w:bottom w:type="dxa" w:w="40"/>
              <w:right w:type="dxa" w:w="80"/>
            </w:tcMar>
          </w:tcPr>
          <w:p>
            <w:pPr>
              <w:jc w:val="center"/>
            </w:pPr>
            <w:r>
              <w:rPr>
                <w:b/>
                <w:bCs/>
                <w:sz w:val="19"/>
                <w:szCs w:val="19"/>
              </w:rPr>
              <w:t xml:space="preserve">n pairs</w:t>
            </w:r>
          </w:p>
        </w:tc>
      </w:tr>
      <w:tr>
        <w:tc>
          <w:tcPr>
            <w:tcW w:type="dxa" w:w="2400"/>
            <w:tcMar>
              <w:top w:type="dxa" w:w="40"/>
              <w:left w:type="dxa" w:w="80"/>
              <w:bottom w:type="dxa" w:w="40"/>
              <w:right w:type="dxa" w:w="80"/>
            </w:tcMar>
          </w:tcPr>
          <w:p>
            <w:pPr>
              <w:jc w:val="left"/>
            </w:pPr>
            <w:r>
              <w:rPr>
                <w:b w:val="false"/>
                <w:bCs w:val="false"/>
                <w:sz w:val="19"/>
                <w:szCs w:val="19"/>
              </w:rPr>
              <w:t xml:space="preserve">CoT: random vs intact (McNemar)</w:t>
            </w:r>
          </w:p>
        </w:tc>
        <w:tc>
          <w:tcPr>
            <w:tcW w:type="dxa" w:w="1450"/>
            <w:tcMar>
              <w:top w:type="dxa" w:w="40"/>
              <w:left w:type="dxa" w:w="80"/>
              <w:bottom w:type="dxa" w:w="40"/>
              <w:right w:type="dxa" w:w="80"/>
            </w:tcMar>
          </w:tcPr>
          <w:p>
            <w:pPr>
              <w:jc w:val="center"/>
            </w:pPr>
            <w:r>
              <w:rPr>
                <w:b w:val="false"/>
                <w:bCs w:val="false"/>
                <w:sz w:val="19"/>
                <w:szCs w:val="19"/>
              </w:rPr>
              <w:t xml:space="preserve">+2.0</w:t>
            </w:r>
          </w:p>
        </w:tc>
        <w:tc>
          <w:tcPr>
            <w:tcW w:type="dxa" w:w="1900"/>
            <w:tcMar>
              <w:top w:type="dxa" w:w="40"/>
              <w:left w:type="dxa" w:w="80"/>
              <w:bottom w:type="dxa" w:w="40"/>
              <w:right w:type="dxa" w:w="80"/>
            </w:tcMar>
          </w:tcPr>
          <w:p>
            <w:pPr>
              <w:jc w:val="center"/>
            </w:pPr>
            <w:r>
              <w:rPr>
                <w:b w:val="false"/>
                <w:bCs w:val="false"/>
                <w:sz w:val="19"/>
                <w:szCs w:val="19"/>
              </w:rPr>
              <w:t xml:space="preserve">—</w:t>
            </w:r>
          </w:p>
        </w:tc>
        <w:tc>
          <w:tcPr>
            <w:tcW w:type="dxa" w:w="1350"/>
            <w:tcMar>
              <w:top w:type="dxa" w:w="40"/>
              <w:left w:type="dxa" w:w="80"/>
              <w:bottom w:type="dxa" w:w="40"/>
              <w:right w:type="dxa" w:w="80"/>
            </w:tcMar>
          </w:tcPr>
          <w:p>
            <w:pPr>
              <w:jc w:val="center"/>
            </w:pPr>
            <w:r>
              <w:rPr>
                <w:b w:val="false"/>
                <w:bCs w:val="false"/>
                <w:sz w:val="19"/>
                <w:szCs w:val="19"/>
              </w:rPr>
              <w:t xml:space="preserve">0.453</w:t>
            </w:r>
          </w:p>
        </w:tc>
        <w:tc>
          <w:tcPr>
            <w:tcW w:type="dxa" w:w="1000"/>
            <w:tcMar>
              <w:top w:type="dxa" w:w="40"/>
              <w:left w:type="dxa" w:w="80"/>
              <w:bottom w:type="dxa" w:w="40"/>
              <w:right w:type="dxa" w:w="80"/>
            </w:tcMar>
          </w:tcPr>
          <w:p>
            <w:pPr>
              <w:jc w:val="center"/>
            </w:pPr>
            <w:r>
              <w:rPr>
                <w:b w:val="false"/>
                <w:bCs w:val="false"/>
                <w:sz w:val="19"/>
                <w:szCs w:val="19"/>
              </w:rPr>
              <w:t xml:space="preserve">150</w:t>
            </w:r>
          </w:p>
        </w:tc>
      </w:tr>
      <w:tr>
        <w:tc>
          <w:tcPr>
            <w:tcW w:type="dxa" w:w="2400"/>
            <w:tcMar>
              <w:top w:type="dxa" w:w="40"/>
              <w:left w:type="dxa" w:w="80"/>
              <w:bottom w:type="dxa" w:w="40"/>
              <w:right w:type="dxa" w:w="80"/>
            </w:tcMar>
          </w:tcPr>
          <w:p>
            <w:pPr>
              <w:jc w:val="left"/>
            </w:pPr>
            <w:r>
              <w:rPr>
                <w:b w:val="false"/>
                <w:bCs w:val="false"/>
                <w:sz w:val="19"/>
                <w:szCs w:val="19"/>
              </w:rPr>
              <w:t xml:space="preserve">Direct: ablated vs intact (McNemar)</w:t>
            </w:r>
          </w:p>
        </w:tc>
        <w:tc>
          <w:tcPr>
            <w:tcW w:type="dxa" w:w="1450"/>
            <w:tcMar>
              <w:top w:type="dxa" w:w="40"/>
              <w:left w:type="dxa" w:w="80"/>
              <w:bottom w:type="dxa" w:w="40"/>
              <w:right w:type="dxa" w:w="80"/>
            </w:tcMar>
          </w:tcPr>
          <w:p>
            <w:pPr>
              <w:jc w:val="center"/>
            </w:pPr>
            <w:r>
              <w:rPr>
                <w:b w:val="false"/>
                <w:bCs w:val="false"/>
                <w:sz w:val="19"/>
                <w:szCs w:val="19"/>
              </w:rPr>
              <w:t xml:space="preserve">−3.3</w:t>
            </w:r>
          </w:p>
        </w:tc>
        <w:tc>
          <w:tcPr>
            <w:tcW w:type="dxa" w:w="1900"/>
            <w:tcMar>
              <w:top w:type="dxa" w:w="40"/>
              <w:left w:type="dxa" w:w="80"/>
              <w:bottom w:type="dxa" w:w="40"/>
              <w:right w:type="dxa" w:w="80"/>
            </w:tcMar>
          </w:tcPr>
          <w:p>
            <w:pPr>
              <w:jc w:val="center"/>
            </w:pPr>
            <w:r>
              <w:rPr>
                <w:b w:val="false"/>
                <w:bCs w:val="false"/>
                <w:sz w:val="19"/>
                <w:szCs w:val="19"/>
              </w:rPr>
              <w:t xml:space="preserve">—</w:t>
            </w:r>
          </w:p>
        </w:tc>
        <w:tc>
          <w:tcPr>
            <w:tcW w:type="dxa" w:w="1350"/>
            <w:tcMar>
              <w:top w:type="dxa" w:w="40"/>
              <w:left w:type="dxa" w:w="80"/>
              <w:bottom w:type="dxa" w:w="40"/>
              <w:right w:type="dxa" w:w="80"/>
            </w:tcMar>
          </w:tcPr>
          <w:p>
            <w:pPr>
              <w:jc w:val="center"/>
            </w:pPr>
            <w:r>
              <w:rPr>
                <w:b w:val="false"/>
                <w:bCs w:val="false"/>
                <w:sz w:val="19"/>
                <w:szCs w:val="19"/>
              </w:rPr>
              <w:t xml:space="preserve">0.227</w:t>
            </w:r>
          </w:p>
        </w:tc>
        <w:tc>
          <w:tcPr>
            <w:tcW w:type="dxa" w:w="1000"/>
            <w:tcMar>
              <w:top w:type="dxa" w:w="40"/>
              <w:left w:type="dxa" w:w="80"/>
              <w:bottom w:type="dxa" w:w="40"/>
              <w:right w:type="dxa" w:w="80"/>
            </w:tcMar>
          </w:tcPr>
          <w:p>
            <w:pPr>
              <w:jc w:val="center"/>
            </w:pPr>
            <w:r>
              <w:rPr>
                <w:b w:val="false"/>
                <w:bCs w:val="false"/>
                <w:sz w:val="19"/>
                <w:szCs w:val="19"/>
              </w:rPr>
              <w:t xml:space="preserve">150</w:t>
            </w:r>
          </w:p>
        </w:tc>
      </w:tr>
      <w:tr>
        <w:tc>
          <w:tcPr>
            <w:tcW w:type="dxa" w:w="2400"/>
            <w:tcMar>
              <w:top w:type="dxa" w:w="40"/>
              <w:left w:type="dxa" w:w="80"/>
              <w:bottom w:type="dxa" w:w="40"/>
              <w:right w:type="dxa" w:w="80"/>
            </w:tcMar>
          </w:tcPr>
          <w:p>
            <w:pPr>
              <w:jc w:val="left"/>
            </w:pPr>
            <w:r>
              <w:rPr>
                <w:b w:val="false"/>
                <w:bCs w:val="false"/>
                <w:sz w:val="19"/>
                <w:szCs w:val="19"/>
              </w:rPr>
              <w:t xml:space="preserve">Direct: random vs intact (McNemar)</w:t>
            </w:r>
          </w:p>
        </w:tc>
        <w:tc>
          <w:tcPr>
            <w:tcW w:type="dxa" w:w="1450"/>
            <w:tcMar>
              <w:top w:type="dxa" w:w="40"/>
              <w:left w:type="dxa" w:w="80"/>
              <w:bottom w:type="dxa" w:w="40"/>
              <w:right w:type="dxa" w:w="80"/>
            </w:tcMar>
          </w:tcPr>
          <w:p>
            <w:pPr>
              <w:jc w:val="center"/>
            </w:pPr>
            <w:r>
              <w:rPr>
                <w:b w:val="false"/>
                <w:bCs w:val="false"/>
                <w:sz w:val="19"/>
                <w:szCs w:val="19"/>
              </w:rPr>
              <w:t xml:space="preserve">−5.3</w:t>
            </w:r>
          </w:p>
        </w:tc>
        <w:tc>
          <w:tcPr>
            <w:tcW w:type="dxa" w:w="1900"/>
            <w:tcMar>
              <w:top w:type="dxa" w:w="40"/>
              <w:left w:type="dxa" w:w="80"/>
              <w:bottom w:type="dxa" w:w="40"/>
              <w:right w:type="dxa" w:w="80"/>
            </w:tcMar>
          </w:tcPr>
          <w:p>
            <w:pPr>
              <w:jc w:val="center"/>
            </w:pPr>
            <w:r>
              <w:rPr>
                <w:b w:val="false"/>
                <w:bCs w:val="false"/>
                <w:sz w:val="19"/>
                <w:szCs w:val="19"/>
              </w:rPr>
              <w:t xml:space="preserve">—</w:t>
            </w:r>
          </w:p>
        </w:tc>
        <w:tc>
          <w:tcPr>
            <w:tcW w:type="dxa" w:w="1350"/>
            <w:tcMar>
              <w:top w:type="dxa" w:w="40"/>
              <w:left w:type="dxa" w:w="80"/>
              <w:bottom w:type="dxa" w:w="40"/>
              <w:right w:type="dxa" w:w="80"/>
            </w:tcMar>
          </w:tcPr>
          <w:p>
            <w:pPr>
              <w:jc w:val="center"/>
            </w:pPr>
            <w:r>
              <w:rPr>
                <w:b w:val="false"/>
                <w:bCs w:val="false"/>
                <w:sz w:val="19"/>
                <w:szCs w:val="19"/>
              </w:rPr>
              <w:t xml:space="preserve">0.008</w:t>
            </w:r>
          </w:p>
        </w:tc>
        <w:tc>
          <w:tcPr>
            <w:tcW w:type="dxa" w:w="1000"/>
            <w:tcMar>
              <w:top w:type="dxa" w:w="40"/>
              <w:left w:type="dxa" w:w="80"/>
              <w:bottom w:type="dxa" w:w="40"/>
              <w:right w:type="dxa" w:w="80"/>
            </w:tcMar>
          </w:tcPr>
          <w:p>
            <w:pPr>
              <w:jc w:val="center"/>
            </w:pPr>
            <w:r>
              <w:rPr>
                <w:b w:val="false"/>
                <w:bCs w:val="false"/>
                <w:sz w:val="19"/>
                <w:szCs w:val="19"/>
              </w:rPr>
              <w:t xml:space="preserve">150</w:t>
            </w:r>
          </w:p>
        </w:tc>
      </w:tr>
      <w:tr>
        <w:tc>
          <w:tcPr>
            <w:tcW w:type="dxa" w:w="2400"/>
            <w:tcMar>
              <w:top w:type="dxa" w:w="40"/>
              <w:left w:type="dxa" w:w="80"/>
              <w:bottom w:type="dxa" w:w="40"/>
              <w:right w:type="dxa" w:w="80"/>
            </w:tcMar>
          </w:tcPr>
          <w:p>
            <w:pPr>
              <w:jc w:val="left"/>
            </w:pPr>
            <w:r>
              <w:rPr>
                <w:b w:val="false"/>
                <w:bCs w:val="false"/>
                <w:sz w:val="19"/>
                <w:szCs w:val="19"/>
              </w:rPr>
              <w:t xml:space="preserve">Selectivity, direct arm</w:t>
            </w:r>
          </w:p>
        </w:tc>
        <w:tc>
          <w:tcPr>
            <w:tcW w:type="dxa" w:w="1450"/>
            <w:tcMar>
              <w:top w:type="dxa" w:w="40"/>
              <w:left w:type="dxa" w:w="80"/>
              <w:bottom w:type="dxa" w:w="40"/>
              <w:right w:type="dxa" w:w="80"/>
            </w:tcMar>
          </w:tcPr>
          <w:p>
            <w:pPr>
              <w:jc w:val="center"/>
            </w:pPr>
            <w:r>
              <w:rPr>
                <w:b w:val="false"/>
                <w:bCs w:val="false"/>
                <w:sz w:val="19"/>
                <w:szCs w:val="19"/>
              </w:rPr>
              <w:t xml:space="preserve">−2.0</w:t>
            </w:r>
          </w:p>
        </w:tc>
        <w:tc>
          <w:tcPr>
            <w:tcW w:type="dxa" w:w="1900"/>
            <w:tcMar>
              <w:top w:type="dxa" w:w="40"/>
              <w:left w:type="dxa" w:w="80"/>
              <w:bottom w:type="dxa" w:w="40"/>
              <w:right w:type="dxa" w:w="80"/>
            </w:tcMar>
          </w:tcPr>
          <w:p>
            <w:pPr>
              <w:jc w:val="center"/>
            </w:pPr>
            <w:r>
              <w:rPr>
                <w:b w:val="false"/>
                <w:bCs w:val="false"/>
                <w:sz w:val="19"/>
                <w:szCs w:val="19"/>
              </w:rPr>
              <w:t xml:space="preserve">[−6.7, +2.7]</w:t>
            </w:r>
          </w:p>
        </w:tc>
        <w:tc>
          <w:tcPr>
            <w:tcW w:type="dxa" w:w="1350"/>
            <w:tcMar>
              <w:top w:type="dxa" w:w="40"/>
              <w:left w:type="dxa" w:w="80"/>
              <w:bottom w:type="dxa" w:w="40"/>
              <w:right w:type="dxa" w:w="80"/>
            </w:tcMar>
          </w:tcPr>
          <w:p>
            <w:pPr>
              <w:jc w:val="center"/>
            </w:pPr>
            <w:r>
              <w:rPr>
                <w:b w:val="false"/>
                <w:bCs w:val="false"/>
                <w:sz w:val="19"/>
                <w:szCs w:val="19"/>
              </w:rPr>
              <w:t xml:space="preserve">0.487</w:t>
            </w:r>
          </w:p>
        </w:tc>
        <w:tc>
          <w:tcPr>
            <w:tcW w:type="dxa" w:w="1000"/>
            <w:tcMar>
              <w:top w:type="dxa" w:w="40"/>
              <w:left w:type="dxa" w:w="80"/>
              <w:bottom w:type="dxa" w:w="40"/>
              <w:right w:type="dxa" w:w="80"/>
            </w:tcMar>
          </w:tcPr>
          <w:p>
            <w:pPr>
              <w:jc w:val="center"/>
            </w:pPr>
            <w:r>
              <w:rPr>
                <w:b w:val="false"/>
                <w:bCs w:val="false"/>
                <w:sz w:val="19"/>
                <w:szCs w:val="19"/>
              </w:rPr>
              <w:t xml:space="preserve">150</w:t>
            </w:r>
          </w:p>
        </w:tc>
      </w:tr>
      <w:tr>
        <w:tc>
          <w:tcPr>
            <w:tcW w:type="dxa" w:w="2400"/>
            <w:tcMar>
              <w:top w:type="dxa" w:w="40"/>
              <w:left w:type="dxa" w:w="80"/>
              <w:bottom w:type="dxa" w:w="40"/>
              <w:right w:type="dxa" w:w="80"/>
            </w:tcMar>
          </w:tcPr>
          <w:p>
            <w:pPr>
              <w:jc w:val="left"/>
            </w:pPr>
            <w:r>
              <w:rPr>
                <w:b w:val="false"/>
                <w:bCs w:val="false"/>
                <w:sz w:val="19"/>
                <w:szCs w:val="19"/>
              </w:rPr>
              <w:t xml:space="preserve">Interaction (random control)</w:t>
            </w:r>
          </w:p>
        </w:tc>
        <w:tc>
          <w:tcPr>
            <w:tcW w:type="dxa" w:w="1450"/>
            <w:tcMar>
              <w:top w:type="dxa" w:w="40"/>
              <w:left w:type="dxa" w:w="80"/>
              <w:bottom w:type="dxa" w:w="40"/>
              <w:right w:type="dxa" w:w="80"/>
            </w:tcMar>
          </w:tcPr>
          <w:p>
            <w:pPr>
              <w:jc w:val="center"/>
            </w:pPr>
            <w:r>
              <w:rPr>
                <w:b w:val="false"/>
                <w:bCs w:val="false"/>
                <w:sz w:val="19"/>
                <w:szCs w:val="19"/>
              </w:rPr>
              <w:t xml:space="preserve">+7.3</w:t>
            </w:r>
          </w:p>
        </w:tc>
        <w:tc>
          <w:tcPr>
            <w:tcW w:type="dxa" w:w="1900"/>
            <w:tcMar>
              <w:top w:type="dxa" w:w="40"/>
              <w:left w:type="dxa" w:w="80"/>
              <w:bottom w:type="dxa" w:w="40"/>
              <w:right w:type="dxa" w:w="80"/>
            </w:tcMar>
          </w:tcPr>
          <w:p>
            <w:pPr>
              <w:jc w:val="center"/>
            </w:pPr>
            <w:r>
              <w:rPr>
                <w:b w:val="false"/>
                <w:bCs w:val="false"/>
                <w:sz w:val="19"/>
                <w:szCs w:val="19"/>
              </w:rPr>
              <w:t xml:space="preserve">[+2.7, +12.7]</w:t>
            </w:r>
          </w:p>
        </w:tc>
        <w:tc>
          <w:tcPr>
            <w:tcW w:type="dxa" w:w="1350"/>
            <w:tcMar>
              <w:top w:type="dxa" w:w="40"/>
              <w:left w:type="dxa" w:w="80"/>
              <w:bottom w:type="dxa" w:w="40"/>
              <w:right w:type="dxa" w:w="80"/>
            </w:tcMar>
          </w:tcPr>
          <w:p>
            <w:pPr>
              <w:jc w:val="center"/>
            </w:pPr>
            <w:r>
              <w:rPr>
                <w:b w:val="false"/>
                <w:bCs w:val="false"/>
                <w:sz w:val="19"/>
                <w:szCs w:val="19"/>
              </w:rPr>
              <w:t xml:space="preserve">0.003</w:t>
            </w:r>
          </w:p>
        </w:tc>
        <w:tc>
          <w:tcPr>
            <w:tcW w:type="dxa" w:w="1000"/>
            <w:tcMar>
              <w:top w:type="dxa" w:w="40"/>
              <w:left w:type="dxa" w:w="80"/>
              <w:bottom w:type="dxa" w:w="40"/>
              <w:right w:type="dxa" w:w="80"/>
            </w:tcMar>
          </w:tcPr>
          <w:p>
            <w:pPr>
              <w:jc w:val="center"/>
            </w:pPr>
            <w:r>
              <w:rPr>
                <w:b w:val="false"/>
                <w:bCs w:val="false"/>
                <w:sz w:val="19"/>
                <w:szCs w:val="19"/>
              </w:rPr>
              <w:t xml:space="preserve">150</w:t>
            </w:r>
          </w:p>
        </w:tc>
      </w:tr>
    </w:tbl>
    <w:p>
      <w:pPr>
        <w:spacing w:after="200" w:before="60"/>
        <w:jc w:val="center"/>
      </w:pPr>
      <w:r>
        <w:rPr>
          <w:i/>
          <w:iCs/>
          <w:color w:val="555555"/>
          <w:sz w:val="18"/>
          <w:szCs w:val="18"/>
        </w:rPr>
        <w:t xml:space="preserve">Table 4. MATH-500 paired contrasts over the five available cells. The CoT-arm selectivity and the ablation interaction require cot_ablated and are pending.</w:t>
      </w:r>
    </w:p>
    <w:p>
      <w:pPr>
        <w:spacing w:after="120" w:line="264"/>
        <w:jc w:val="both"/>
      </w:pPr>
      <w:r>
        <w:rPr>
          <w:sz w:val="21"/>
          <w:szCs w:val="21"/>
        </w:rPr>
        <w:t xml:space="preserve">Intact CoT accuracy is 94.0% — near ceiling, the mirror image of AIME's direct-arm floor — so the CoT arm has little headroom to show a deficit, and the random control in fact scores 2.0 points </w:t>
      </w:r>
      <w:r>
        <w:rPr>
          <w:i/>
          <w:iCs/>
          <w:sz w:val="21"/>
          <w:szCs w:val="21"/>
        </w:rPr>
        <w:t xml:space="preserve">above</w:t>
      </w:r>
      <w:r>
        <w:rPr>
          <w:sz w:val="21"/>
          <w:szCs w:val="21"/>
        </w:rPr>
        <w:t xml:space="preserve"> intact (n.s.). The informative arm is direct: ablation costs 3.3 points (n.s.), but the matched random control costs 5.3 points and is the only McNemar-significant drop in the study (p = 0.008), so direct-arm selectivity is −2.0 [−6.7, +2.7] — targeted ablation no worse than random, consistent with GSM8K. The consequence lands in the control interaction: +7.3 points, 95% CI [+2.7, +12.7], p = 0.003 — </w:t>
      </w:r>
      <w:r>
        <w:rPr>
          <w:b/>
          <w:bCs/>
          <w:sz w:val="21"/>
          <w:szCs w:val="21"/>
        </w:rPr>
        <w:t xml:space="preserve">significantly non-zero</w:t>
      </w:r>
      <w:r>
        <w:rPr>
          <w:sz w:val="21"/>
          <w:szCs w:val="21"/>
        </w:rPr>
        <w:t xml:space="preserve">. Projecting out ten random unembedding directions hurts no-CoT answering more than CoT answering on this dataset. Intact CoT incompletes are 6/150 (4%), consistent with the disclosed budget-cap expectation (~15% of the level-5 fifth of the sample).</w:t>
      </w:r>
    </w:p>
    <w:p>
      <w:pPr>
        <w:pBdr>
          <w:left w:val="single" w:color="EDA100" w:sz="12"/>
        </w:pBdr>
        <w:shd w:fill="FFF3C4" w:val="clear"/>
        <w:spacing w:after="140" w:before="100" w:line="264"/>
      </w:pPr>
      <w:r>
        <w:rPr>
          <w:i/>
          <w:iCs/>
          <w:color w:val="6b5900"/>
          <w:sz w:val="21"/>
          <w:szCs w:val="21"/>
        </w:rPr>
        <w:t xml:space="preserve">[Pending, by noon 8/6: the regenerated cot_ablated cell, giving the CoT-arm selectivity and the ablation interaction — which, per §5, must be read against the +7.3 control interaction rather than against zero.]</w:t>
      </w:r>
    </w:p>
    <w:p>
      <w:pPr>
        <w:pStyle w:val="Heading2"/>
        <w:spacing w:after="100" w:before="180"/>
      </w:pPr>
      <w:r>
        <w:rPr>
          <w:b/>
          <w:bCs/>
          <w:color w:val="1a1a19"/>
          <w:sz w:val="22"/>
          <w:szCs w:val="22"/>
        </w:rPr>
        <w:t xml:space="preserve">AIME 2024 (n = 30; cot_ablated n = 20)</w:t>
      </w:r>
    </w:p>
    <w:tbl>
      <w:tblPr>
        <w:tblW w:type="dxa" w:w="655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900"/>
        <w:gridCol w:w="950"/>
        <w:gridCol w:w="1000"/>
        <w:gridCol w:w="1100"/>
      </w:tblGrid>
      <w:tr>
        <w:trPr>
          <w:tblHeader/>
        </w:trPr>
        <w:tc>
          <w:tcPr>
            <w:tcW w:type="dxa" w:w="1900"/>
            <w:shd w:fill="EEEDE6" w:val="clear"/>
            <w:tcMar>
              <w:top w:type="dxa" w:w="40"/>
              <w:left w:type="dxa" w:w="80"/>
              <w:bottom w:type="dxa" w:w="40"/>
              <w:right w:type="dxa" w:w="80"/>
            </w:tcMar>
          </w:tcPr>
          <w:p>
            <w:pPr>
              <w:jc w:val="left"/>
            </w:pPr>
            <w:r>
              <w:rPr>
                <w:b/>
                <w:bCs/>
                <w:sz w:val="19"/>
                <w:szCs w:val="19"/>
              </w:rPr>
              <w:t xml:space="preserve">Condition</w:t>
            </w:r>
          </w:p>
        </w:tc>
        <w:tc>
          <w:tcPr>
            <w:tcW w:type="dxa" w:w="700"/>
            <w:shd w:fill="EEEDE6" w:val="clear"/>
            <w:tcMar>
              <w:top w:type="dxa" w:w="40"/>
              <w:left w:type="dxa" w:w="80"/>
              <w:bottom w:type="dxa" w:w="40"/>
              <w:right w:type="dxa" w:w="80"/>
            </w:tcMar>
          </w:tcPr>
          <w:p>
            <w:pPr>
              <w:jc w:val="center"/>
            </w:pPr>
            <w:r>
              <w:rPr>
                <w:b/>
                <w:bCs/>
                <w:sz w:val="19"/>
                <w:szCs w:val="19"/>
              </w:rPr>
              <w:t xml:space="preserve">n</w:t>
            </w:r>
          </w:p>
        </w:tc>
        <w:tc>
          <w:tcPr>
            <w:tcW w:type="dxa" w:w="900"/>
            <w:shd w:fill="EEEDE6" w:val="clear"/>
            <w:tcMar>
              <w:top w:type="dxa" w:w="40"/>
              <w:left w:type="dxa" w:w="80"/>
              <w:bottom w:type="dxa" w:w="40"/>
              <w:right w:type="dxa" w:w="80"/>
            </w:tcMar>
          </w:tcPr>
          <w:p>
            <w:pPr>
              <w:jc w:val="center"/>
            </w:pPr>
            <w:r>
              <w:rPr>
                <w:b/>
                <w:bCs/>
                <w:sz w:val="19"/>
                <w:szCs w:val="19"/>
              </w:rPr>
              <w:t xml:space="preserve">Acc.</w:t>
            </w:r>
          </w:p>
        </w:tc>
        <w:tc>
          <w:tcPr>
            <w:tcW w:type="dxa" w:w="950"/>
            <w:shd w:fill="EEEDE6" w:val="clear"/>
            <w:tcMar>
              <w:top w:type="dxa" w:w="40"/>
              <w:left w:type="dxa" w:w="80"/>
              <w:bottom w:type="dxa" w:w="40"/>
              <w:right w:type="dxa" w:w="80"/>
            </w:tcMar>
          </w:tcPr>
          <w:p>
            <w:pPr>
              <w:jc w:val="center"/>
            </w:pPr>
            <w:r>
              <w:rPr>
                <w:b/>
                <w:bCs/>
                <w:sz w:val="19"/>
                <w:szCs w:val="19"/>
              </w:rPr>
              <w:t xml:space="preserve">Correct</w:t>
            </w:r>
          </w:p>
        </w:tc>
        <w:tc>
          <w:tcPr>
            <w:tcW w:type="dxa" w:w="1000"/>
            <w:shd w:fill="EEEDE6" w:val="clear"/>
            <w:tcMar>
              <w:top w:type="dxa" w:w="40"/>
              <w:left w:type="dxa" w:w="80"/>
              <w:bottom w:type="dxa" w:w="40"/>
              <w:right w:type="dxa" w:w="80"/>
            </w:tcMar>
          </w:tcPr>
          <w:p>
            <w:pPr>
              <w:jc w:val="center"/>
            </w:pPr>
            <w:r>
              <w:rPr>
                <w:b/>
                <w:bCs/>
                <w:sz w:val="19"/>
                <w:szCs w:val="19"/>
              </w:rPr>
              <w:t xml:space="preserve">Incorrect</w:t>
            </w:r>
          </w:p>
        </w:tc>
        <w:tc>
          <w:tcPr>
            <w:tcW w:type="dxa" w:w="1100"/>
            <w:shd w:fill="EEEDE6" w:val="clear"/>
            <w:tcMar>
              <w:top w:type="dxa" w:w="40"/>
              <w:left w:type="dxa" w:w="80"/>
              <w:bottom w:type="dxa" w:w="40"/>
              <w:right w:type="dxa" w:w="80"/>
            </w:tcMar>
          </w:tcPr>
          <w:p>
            <w:pPr>
              <w:jc w:val="center"/>
            </w:pPr>
            <w:r>
              <w:rPr>
                <w:b/>
                <w:bCs/>
                <w:sz w:val="19"/>
                <w:szCs w:val="19"/>
              </w:rPr>
              <w:t xml:space="preserve">Incomplete</w:t>
            </w:r>
          </w:p>
        </w:tc>
      </w:tr>
      <w:tr>
        <w:tc>
          <w:tcPr>
            <w:tcW w:type="dxa" w:w="1900"/>
            <w:tcMar>
              <w:top w:type="dxa" w:w="40"/>
              <w:left w:type="dxa" w:w="80"/>
              <w:bottom w:type="dxa" w:w="40"/>
              <w:right w:type="dxa" w:w="80"/>
            </w:tcMar>
          </w:tcPr>
          <w:p>
            <w:pPr>
              <w:jc w:val="left"/>
            </w:pPr>
            <w:r>
              <w:rPr>
                <w:b w:val="false"/>
                <w:bCs w:val="false"/>
                <w:sz w:val="19"/>
                <w:szCs w:val="19"/>
              </w:rPr>
              <w:t xml:space="preserve">cot_intact</w:t>
            </w:r>
          </w:p>
        </w:tc>
        <w:tc>
          <w:tcPr>
            <w:tcW w:type="dxa" w:w="700"/>
            <w:tcMar>
              <w:top w:type="dxa" w:w="40"/>
              <w:left w:type="dxa" w:w="80"/>
              <w:bottom w:type="dxa" w:w="40"/>
              <w:right w:type="dxa" w:w="80"/>
            </w:tcMar>
          </w:tcPr>
          <w:p>
            <w:pPr>
              <w:jc w:val="center"/>
            </w:pPr>
            <w:r>
              <w:rPr>
                <w:b w:val="false"/>
                <w:bCs w:val="false"/>
                <w:sz w:val="19"/>
                <w:szCs w:val="19"/>
              </w:rPr>
              <w:t xml:space="preserve">30</w:t>
            </w:r>
          </w:p>
        </w:tc>
        <w:tc>
          <w:tcPr>
            <w:tcW w:type="dxa" w:w="900"/>
            <w:tcMar>
              <w:top w:type="dxa" w:w="40"/>
              <w:left w:type="dxa" w:w="80"/>
              <w:bottom w:type="dxa" w:w="40"/>
              <w:right w:type="dxa" w:w="80"/>
            </w:tcMar>
          </w:tcPr>
          <w:p>
            <w:pPr>
              <w:jc w:val="center"/>
            </w:pPr>
            <w:r>
              <w:rPr>
                <w:b w:val="false"/>
                <w:bCs w:val="false"/>
                <w:sz w:val="19"/>
                <w:szCs w:val="19"/>
              </w:rPr>
              <w:t xml:space="preserve">66.7%</w:t>
            </w:r>
          </w:p>
        </w:tc>
        <w:tc>
          <w:tcPr>
            <w:tcW w:type="dxa" w:w="950"/>
            <w:tcMar>
              <w:top w:type="dxa" w:w="40"/>
              <w:left w:type="dxa" w:w="80"/>
              <w:bottom w:type="dxa" w:w="40"/>
              <w:right w:type="dxa" w:w="80"/>
            </w:tcMar>
          </w:tcPr>
          <w:p>
            <w:pPr>
              <w:jc w:val="center"/>
            </w:pPr>
            <w:r>
              <w:rPr>
                <w:b w:val="false"/>
                <w:bCs w:val="false"/>
                <w:sz w:val="19"/>
                <w:szCs w:val="19"/>
              </w:rPr>
              <w:t xml:space="preserve">20</w:t>
            </w:r>
          </w:p>
        </w:tc>
        <w:tc>
          <w:tcPr>
            <w:tcW w:type="dxa" w:w="1000"/>
            <w:tcMar>
              <w:top w:type="dxa" w:w="40"/>
              <w:left w:type="dxa" w:w="80"/>
              <w:bottom w:type="dxa" w:w="40"/>
              <w:right w:type="dxa" w:w="80"/>
            </w:tcMar>
          </w:tcPr>
          <w:p>
            <w:pPr>
              <w:jc w:val="center"/>
            </w:pPr>
            <w:r>
              <w:rPr>
                <w:b w:val="false"/>
                <w:bCs w:val="false"/>
                <w:sz w:val="19"/>
                <w:szCs w:val="19"/>
              </w:rPr>
              <w:t xml:space="preserve">5</w:t>
            </w:r>
          </w:p>
        </w:tc>
        <w:tc>
          <w:tcPr>
            <w:tcW w:type="dxa" w:w="1100"/>
            <w:tcMar>
              <w:top w:type="dxa" w:w="40"/>
              <w:left w:type="dxa" w:w="80"/>
              <w:bottom w:type="dxa" w:w="40"/>
              <w:right w:type="dxa" w:w="80"/>
            </w:tcMar>
          </w:tcPr>
          <w:p>
            <w:pPr>
              <w:jc w:val="center"/>
            </w:pPr>
            <w:r>
              <w:rPr>
                <w:b w:val="false"/>
                <w:bCs w:val="false"/>
                <w:sz w:val="19"/>
                <w:szCs w:val="19"/>
              </w:rPr>
              <w:t xml:space="preserve">5</w:t>
            </w:r>
          </w:p>
        </w:tc>
      </w:tr>
      <w:tr>
        <w:tc>
          <w:tcPr>
            <w:tcW w:type="dxa" w:w="1900"/>
            <w:tcMar>
              <w:top w:type="dxa" w:w="40"/>
              <w:left w:type="dxa" w:w="80"/>
              <w:bottom w:type="dxa" w:w="40"/>
              <w:right w:type="dxa" w:w="80"/>
            </w:tcMar>
          </w:tcPr>
          <w:p>
            <w:pPr>
              <w:jc w:val="left"/>
            </w:pPr>
            <w:r>
              <w:rPr>
                <w:b w:val="false"/>
                <w:bCs w:val="false"/>
                <w:sz w:val="19"/>
                <w:szCs w:val="19"/>
              </w:rPr>
              <w:t xml:space="preserve">cot_ablated</w:t>
            </w:r>
          </w:p>
        </w:tc>
        <w:tc>
          <w:tcPr>
            <w:tcW w:type="dxa" w:w="700"/>
            <w:tcMar>
              <w:top w:type="dxa" w:w="40"/>
              <w:left w:type="dxa" w:w="80"/>
              <w:bottom w:type="dxa" w:w="40"/>
              <w:right w:type="dxa" w:w="80"/>
            </w:tcMar>
          </w:tcPr>
          <w:p>
            <w:pPr>
              <w:jc w:val="center"/>
            </w:pPr>
            <w:r>
              <w:rPr>
                <w:b w:val="false"/>
                <w:bCs w:val="false"/>
                <w:sz w:val="19"/>
                <w:szCs w:val="19"/>
              </w:rPr>
              <w:t xml:space="preserve">20*</w:t>
            </w:r>
          </w:p>
        </w:tc>
        <w:tc>
          <w:tcPr>
            <w:tcW w:type="dxa" w:w="900"/>
            <w:tcMar>
              <w:top w:type="dxa" w:w="40"/>
              <w:left w:type="dxa" w:w="80"/>
              <w:bottom w:type="dxa" w:w="40"/>
              <w:right w:type="dxa" w:w="80"/>
            </w:tcMar>
          </w:tcPr>
          <w:p>
            <w:pPr>
              <w:jc w:val="center"/>
            </w:pPr>
            <w:r>
              <w:rPr>
                <w:b w:val="false"/>
                <w:bCs w:val="false"/>
                <w:sz w:val="19"/>
                <w:szCs w:val="19"/>
              </w:rPr>
              <w:t xml:space="preserve">55.0%</w:t>
            </w:r>
          </w:p>
        </w:tc>
        <w:tc>
          <w:tcPr>
            <w:tcW w:type="dxa" w:w="950"/>
            <w:tcMar>
              <w:top w:type="dxa" w:w="40"/>
              <w:left w:type="dxa" w:w="80"/>
              <w:bottom w:type="dxa" w:w="40"/>
              <w:right w:type="dxa" w:w="80"/>
            </w:tcMar>
          </w:tcPr>
          <w:p>
            <w:pPr>
              <w:jc w:val="center"/>
            </w:pPr>
            <w:r>
              <w:rPr>
                <w:b w:val="false"/>
                <w:bCs w:val="false"/>
                <w:sz w:val="19"/>
                <w:szCs w:val="19"/>
              </w:rPr>
              <w:t xml:space="preserve">11</w:t>
            </w:r>
          </w:p>
        </w:tc>
        <w:tc>
          <w:tcPr>
            <w:tcW w:type="dxa" w:w="1000"/>
            <w:tcMar>
              <w:top w:type="dxa" w:w="40"/>
              <w:left w:type="dxa" w:w="80"/>
              <w:bottom w:type="dxa" w:w="40"/>
              <w:right w:type="dxa" w:w="80"/>
            </w:tcMar>
          </w:tcPr>
          <w:p>
            <w:pPr>
              <w:jc w:val="center"/>
            </w:pPr>
            <w:r>
              <w:rPr>
                <w:b w:val="false"/>
                <w:bCs w:val="false"/>
                <w:sz w:val="19"/>
                <w:szCs w:val="19"/>
              </w:rPr>
              <w:t xml:space="preserve">1</w:t>
            </w:r>
          </w:p>
        </w:tc>
        <w:tc>
          <w:tcPr>
            <w:tcW w:type="dxa" w:w="1100"/>
            <w:tcMar>
              <w:top w:type="dxa" w:w="40"/>
              <w:left w:type="dxa" w:w="80"/>
              <w:bottom w:type="dxa" w:w="40"/>
              <w:right w:type="dxa" w:w="80"/>
            </w:tcMar>
          </w:tcPr>
          <w:p>
            <w:pPr>
              <w:jc w:val="center"/>
            </w:pPr>
            <w:r>
              <w:rPr>
                <w:b w:val="false"/>
                <w:bCs w:val="false"/>
                <w:sz w:val="19"/>
                <w:szCs w:val="19"/>
              </w:rPr>
              <w:t xml:space="preserve">8</w:t>
            </w:r>
          </w:p>
        </w:tc>
      </w:tr>
      <w:tr>
        <w:tc>
          <w:tcPr>
            <w:tcW w:type="dxa" w:w="1900"/>
            <w:tcMar>
              <w:top w:type="dxa" w:w="40"/>
              <w:left w:type="dxa" w:w="80"/>
              <w:bottom w:type="dxa" w:w="40"/>
              <w:right w:type="dxa" w:w="80"/>
            </w:tcMar>
          </w:tcPr>
          <w:p>
            <w:pPr>
              <w:jc w:val="left"/>
            </w:pPr>
            <w:r>
              <w:rPr>
                <w:b w:val="false"/>
                <w:bCs w:val="false"/>
                <w:sz w:val="19"/>
                <w:szCs w:val="19"/>
              </w:rPr>
              <w:t xml:space="preserve">cot_random</w:t>
            </w:r>
          </w:p>
        </w:tc>
        <w:tc>
          <w:tcPr>
            <w:tcW w:type="dxa" w:w="700"/>
            <w:tcMar>
              <w:top w:type="dxa" w:w="40"/>
              <w:left w:type="dxa" w:w="80"/>
              <w:bottom w:type="dxa" w:w="40"/>
              <w:right w:type="dxa" w:w="80"/>
            </w:tcMar>
          </w:tcPr>
          <w:p>
            <w:pPr>
              <w:jc w:val="center"/>
            </w:pPr>
            <w:r>
              <w:rPr>
                <w:b w:val="false"/>
                <w:bCs w:val="false"/>
                <w:sz w:val="19"/>
                <w:szCs w:val="19"/>
              </w:rPr>
              <w:t xml:space="preserve">30</w:t>
            </w:r>
          </w:p>
        </w:tc>
        <w:tc>
          <w:tcPr>
            <w:tcW w:type="dxa" w:w="900"/>
            <w:tcMar>
              <w:top w:type="dxa" w:w="40"/>
              <w:left w:type="dxa" w:w="80"/>
              <w:bottom w:type="dxa" w:w="40"/>
              <w:right w:type="dxa" w:w="80"/>
            </w:tcMar>
          </w:tcPr>
          <w:p>
            <w:pPr>
              <w:jc w:val="center"/>
            </w:pPr>
            <w:r>
              <w:rPr>
                <w:b w:val="false"/>
                <w:bCs w:val="false"/>
                <w:sz w:val="19"/>
                <w:szCs w:val="19"/>
              </w:rPr>
              <w:t xml:space="preserve">73.3%</w:t>
            </w:r>
          </w:p>
        </w:tc>
        <w:tc>
          <w:tcPr>
            <w:tcW w:type="dxa" w:w="950"/>
            <w:tcMar>
              <w:top w:type="dxa" w:w="40"/>
              <w:left w:type="dxa" w:w="80"/>
              <w:bottom w:type="dxa" w:w="40"/>
              <w:right w:type="dxa" w:w="80"/>
            </w:tcMar>
          </w:tcPr>
          <w:p>
            <w:pPr>
              <w:jc w:val="center"/>
            </w:pPr>
            <w:r>
              <w:rPr>
                <w:b w:val="false"/>
                <w:bCs w:val="false"/>
                <w:sz w:val="19"/>
                <w:szCs w:val="19"/>
              </w:rPr>
              <w:t xml:space="preserve">22</w:t>
            </w:r>
          </w:p>
        </w:tc>
        <w:tc>
          <w:tcPr>
            <w:tcW w:type="dxa" w:w="1000"/>
            <w:tcMar>
              <w:top w:type="dxa" w:w="40"/>
              <w:left w:type="dxa" w:w="80"/>
              <w:bottom w:type="dxa" w:w="40"/>
              <w:right w:type="dxa" w:w="80"/>
            </w:tcMar>
          </w:tcPr>
          <w:p>
            <w:pPr>
              <w:jc w:val="center"/>
            </w:pPr>
            <w:r>
              <w:rPr>
                <w:b w:val="false"/>
                <w:bCs w:val="false"/>
                <w:sz w:val="19"/>
                <w:szCs w:val="19"/>
              </w:rPr>
              <w:t xml:space="preserve">7</w:t>
            </w:r>
          </w:p>
        </w:tc>
        <w:tc>
          <w:tcPr>
            <w:tcW w:type="dxa" w:w="1100"/>
            <w:tcMar>
              <w:top w:type="dxa" w:w="40"/>
              <w:left w:type="dxa" w:w="80"/>
              <w:bottom w:type="dxa" w:w="40"/>
              <w:right w:type="dxa" w:w="80"/>
            </w:tcMar>
          </w:tcPr>
          <w:p>
            <w:pPr>
              <w:jc w:val="center"/>
            </w:pPr>
            <w:r>
              <w:rPr>
                <w:b w:val="false"/>
                <w:bCs w:val="false"/>
                <w:sz w:val="19"/>
                <w:szCs w:val="19"/>
              </w:rPr>
              <w:t xml:space="preserve">1</w:t>
            </w:r>
          </w:p>
        </w:tc>
      </w:tr>
      <w:tr>
        <w:tc>
          <w:tcPr>
            <w:tcW w:type="dxa" w:w="1900"/>
            <w:tcMar>
              <w:top w:type="dxa" w:w="40"/>
              <w:left w:type="dxa" w:w="80"/>
              <w:bottom w:type="dxa" w:w="40"/>
              <w:right w:type="dxa" w:w="80"/>
            </w:tcMar>
          </w:tcPr>
          <w:p>
            <w:pPr>
              <w:jc w:val="left"/>
            </w:pPr>
            <w:r>
              <w:rPr>
                <w:b w:val="false"/>
                <w:bCs w:val="false"/>
                <w:sz w:val="19"/>
                <w:szCs w:val="19"/>
              </w:rPr>
              <w:t xml:space="preserve">direct_intact</w:t>
            </w:r>
          </w:p>
        </w:tc>
        <w:tc>
          <w:tcPr>
            <w:tcW w:type="dxa" w:w="700"/>
            <w:tcMar>
              <w:top w:type="dxa" w:w="40"/>
              <w:left w:type="dxa" w:w="80"/>
              <w:bottom w:type="dxa" w:w="40"/>
              <w:right w:type="dxa" w:w="80"/>
            </w:tcMar>
          </w:tcPr>
          <w:p>
            <w:pPr>
              <w:jc w:val="center"/>
            </w:pPr>
            <w:r>
              <w:rPr>
                <w:b w:val="false"/>
                <w:bCs w:val="false"/>
                <w:sz w:val="19"/>
                <w:szCs w:val="19"/>
              </w:rPr>
              <w:t xml:space="preserve">30</w:t>
            </w:r>
          </w:p>
        </w:tc>
        <w:tc>
          <w:tcPr>
            <w:tcW w:type="dxa" w:w="900"/>
            <w:tcMar>
              <w:top w:type="dxa" w:w="40"/>
              <w:left w:type="dxa" w:w="80"/>
              <w:bottom w:type="dxa" w:w="40"/>
              <w:right w:type="dxa" w:w="80"/>
            </w:tcMar>
          </w:tcPr>
          <w:p>
            <w:pPr>
              <w:jc w:val="center"/>
            </w:pPr>
            <w:r>
              <w:rPr>
                <w:b w:val="false"/>
                <w:bCs w:val="false"/>
                <w:sz w:val="19"/>
                <w:szCs w:val="19"/>
              </w:rPr>
              <w:t xml:space="preserve">0.0%</w:t>
            </w:r>
          </w:p>
        </w:tc>
        <w:tc>
          <w:tcPr>
            <w:tcW w:type="dxa" w:w="950"/>
            <w:tcMar>
              <w:top w:type="dxa" w:w="40"/>
              <w:left w:type="dxa" w:w="80"/>
              <w:bottom w:type="dxa" w:w="40"/>
              <w:right w:type="dxa" w:w="80"/>
            </w:tcMar>
          </w:tcPr>
          <w:p>
            <w:pPr>
              <w:jc w:val="center"/>
            </w:pPr>
            <w:r>
              <w:rPr>
                <w:b w:val="false"/>
                <w:bCs w:val="false"/>
                <w:sz w:val="19"/>
                <w:szCs w:val="19"/>
              </w:rPr>
              <w:t xml:space="preserve">0</w:t>
            </w:r>
          </w:p>
        </w:tc>
        <w:tc>
          <w:tcPr>
            <w:tcW w:type="dxa" w:w="1000"/>
            <w:tcMar>
              <w:top w:type="dxa" w:w="40"/>
              <w:left w:type="dxa" w:w="80"/>
              <w:bottom w:type="dxa" w:w="40"/>
              <w:right w:type="dxa" w:w="80"/>
            </w:tcMar>
          </w:tcPr>
          <w:p>
            <w:pPr>
              <w:jc w:val="center"/>
            </w:pPr>
            <w:r>
              <w:rPr>
                <w:b w:val="false"/>
                <w:bCs w:val="false"/>
                <w:sz w:val="19"/>
                <w:szCs w:val="19"/>
              </w:rPr>
              <w:t xml:space="preserve">30</w:t>
            </w:r>
          </w:p>
        </w:tc>
        <w:tc>
          <w:tcPr>
            <w:tcW w:type="dxa" w:w="1100"/>
            <w:tcMar>
              <w:top w:type="dxa" w:w="40"/>
              <w:left w:type="dxa" w:w="80"/>
              <w:bottom w:type="dxa" w:w="40"/>
              <w:right w:type="dxa" w:w="80"/>
            </w:tcMar>
          </w:tcPr>
          <w:p>
            <w:pPr>
              <w:jc w:val="center"/>
            </w:pPr>
            <w:r>
              <w:rPr>
                <w:b w:val="false"/>
                <w:bCs w:val="false"/>
                <w:sz w:val="19"/>
                <w:szCs w:val="19"/>
              </w:rPr>
              <w:t xml:space="preserve">0</w:t>
            </w:r>
          </w:p>
        </w:tc>
      </w:tr>
      <w:tr>
        <w:tc>
          <w:tcPr>
            <w:tcW w:type="dxa" w:w="1900"/>
            <w:tcMar>
              <w:top w:type="dxa" w:w="40"/>
              <w:left w:type="dxa" w:w="80"/>
              <w:bottom w:type="dxa" w:w="40"/>
              <w:right w:type="dxa" w:w="80"/>
            </w:tcMar>
          </w:tcPr>
          <w:p>
            <w:pPr>
              <w:jc w:val="left"/>
            </w:pPr>
            <w:r>
              <w:rPr>
                <w:b w:val="false"/>
                <w:bCs w:val="false"/>
                <w:sz w:val="19"/>
                <w:szCs w:val="19"/>
              </w:rPr>
              <w:t xml:space="preserve">direct_ablated</w:t>
            </w:r>
          </w:p>
        </w:tc>
        <w:tc>
          <w:tcPr>
            <w:tcW w:type="dxa" w:w="700"/>
            <w:tcMar>
              <w:top w:type="dxa" w:w="40"/>
              <w:left w:type="dxa" w:w="80"/>
              <w:bottom w:type="dxa" w:w="40"/>
              <w:right w:type="dxa" w:w="80"/>
            </w:tcMar>
          </w:tcPr>
          <w:p>
            <w:pPr>
              <w:jc w:val="center"/>
            </w:pPr>
            <w:r>
              <w:rPr>
                <w:b w:val="false"/>
                <w:bCs w:val="false"/>
                <w:sz w:val="19"/>
                <w:szCs w:val="19"/>
              </w:rPr>
              <w:t xml:space="preserve">30</w:t>
            </w:r>
          </w:p>
        </w:tc>
        <w:tc>
          <w:tcPr>
            <w:tcW w:type="dxa" w:w="900"/>
            <w:tcMar>
              <w:top w:type="dxa" w:w="40"/>
              <w:left w:type="dxa" w:w="80"/>
              <w:bottom w:type="dxa" w:w="40"/>
              <w:right w:type="dxa" w:w="80"/>
            </w:tcMar>
          </w:tcPr>
          <w:p>
            <w:pPr>
              <w:jc w:val="center"/>
            </w:pPr>
            <w:r>
              <w:rPr>
                <w:b w:val="false"/>
                <w:bCs w:val="false"/>
                <w:sz w:val="19"/>
                <w:szCs w:val="19"/>
              </w:rPr>
              <w:t xml:space="preserve">0.0%</w:t>
            </w:r>
          </w:p>
        </w:tc>
        <w:tc>
          <w:tcPr>
            <w:tcW w:type="dxa" w:w="950"/>
            <w:tcMar>
              <w:top w:type="dxa" w:w="40"/>
              <w:left w:type="dxa" w:w="80"/>
              <w:bottom w:type="dxa" w:w="40"/>
              <w:right w:type="dxa" w:w="80"/>
            </w:tcMar>
          </w:tcPr>
          <w:p>
            <w:pPr>
              <w:jc w:val="center"/>
            </w:pPr>
            <w:r>
              <w:rPr>
                <w:b w:val="false"/>
                <w:bCs w:val="false"/>
                <w:sz w:val="19"/>
                <w:szCs w:val="19"/>
              </w:rPr>
              <w:t xml:space="preserve">0</w:t>
            </w:r>
          </w:p>
        </w:tc>
        <w:tc>
          <w:tcPr>
            <w:tcW w:type="dxa" w:w="1000"/>
            <w:tcMar>
              <w:top w:type="dxa" w:w="40"/>
              <w:left w:type="dxa" w:w="80"/>
              <w:bottom w:type="dxa" w:w="40"/>
              <w:right w:type="dxa" w:w="80"/>
            </w:tcMar>
          </w:tcPr>
          <w:p>
            <w:pPr>
              <w:jc w:val="center"/>
            </w:pPr>
            <w:r>
              <w:rPr>
                <w:b w:val="false"/>
                <w:bCs w:val="false"/>
                <w:sz w:val="19"/>
                <w:szCs w:val="19"/>
              </w:rPr>
              <w:t xml:space="preserve">30</w:t>
            </w:r>
          </w:p>
        </w:tc>
        <w:tc>
          <w:tcPr>
            <w:tcW w:type="dxa" w:w="1100"/>
            <w:tcMar>
              <w:top w:type="dxa" w:w="40"/>
              <w:left w:type="dxa" w:w="80"/>
              <w:bottom w:type="dxa" w:w="40"/>
              <w:right w:type="dxa" w:w="80"/>
            </w:tcMar>
          </w:tcPr>
          <w:p>
            <w:pPr>
              <w:jc w:val="center"/>
            </w:pPr>
            <w:r>
              <w:rPr>
                <w:b w:val="false"/>
                <w:bCs w:val="false"/>
                <w:sz w:val="19"/>
                <w:szCs w:val="19"/>
              </w:rPr>
              <w:t xml:space="preserve">0</w:t>
            </w:r>
          </w:p>
        </w:tc>
      </w:tr>
      <w:tr>
        <w:tc>
          <w:tcPr>
            <w:tcW w:type="dxa" w:w="1900"/>
            <w:tcMar>
              <w:top w:type="dxa" w:w="40"/>
              <w:left w:type="dxa" w:w="80"/>
              <w:bottom w:type="dxa" w:w="40"/>
              <w:right w:type="dxa" w:w="80"/>
            </w:tcMar>
          </w:tcPr>
          <w:p>
            <w:pPr>
              <w:jc w:val="left"/>
            </w:pPr>
            <w:r>
              <w:rPr>
                <w:b w:val="false"/>
                <w:bCs w:val="false"/>
                <w:sz w:val="19"/>
                <w:szCs w:val="19"/>
              </w:rPr>
              <w:t xml:space="preserve">direct_random</w:t>
            </w:r>
          </w:p>
        </w:tc>
        <w:tc>
          <w:tcPr>
            <w:tcW w:type="dxa" w:w="700"/>
            <w:tcMar>
              <w:top w:type="dxa" w:w="40"/>
              <w:left w:type="dxa" w:w="80"/>
              <w:bottom w:type="dxa" w:w="40"/>
              <w:right w:type="dxa" w:w="80"/>
            </w:tcMar>
          </w:tcPr>
          <w:p>
            <w:pPr>
              <w:jc w:val="center"/>
            </w:pPr>
            <w:r>
              <w:rPr>
                <w:b w:val="false"/>
                <w:bCs w:val="false"/>
                <w:sz w:val="19"/>
                <w:szCs w:val="19"/>
              </w:rPr>
              <w:t xml:space="preserve">30</w:t>
            </w:r>
          </w:p>
        </w:tc>
        <w:tc>
          <w:tcPr>
            <w:tcW w:type="dxa" w:w="900"/>
            <w:tcMar>
              <w:top w:type="dxa" w:w="40"/>
              <w:left w:type="dxa" w:w="80"/>
              <w:bottom w:type="dxa" w:w="40"/>
              <w:right w:type="dxa" w:w="80"/>
            </w:tcMar>
          </w:tcPr>
          <w:p>
            <w:pPr>
              <w:jc w:val="center"/>
            </w:pPr>
            <w:r>
              <w:rPr>
                <w:b w:val="false"/>
                <w:bCs w:val="false"/>
                <w:sz w:val="19"/>
                <w:szCs w:val="19"/>
              </w:rPr>
              <w:t xml:space="preserve">0.0%</w:t>
            </w:r>
          </w:p>
        </w:tc>
        <w:tc>
          <w:tcPr>
            <w:tcW w:type="dxa" w:w="950"/>
            <w:tcMar>
              <w:top w:type="dxa" w:w="40"/>
              <w:left w:type="dxa" w:w="80"/>
              <w:bottom w:type="dxa" w:w="40"/>
              <w:right w:type="dxa" w:w="80"/>
            </w:tcMar>
          </w:tcPr>
          <w:p>
            <w:pPr>
              <w:jc w:val="center"/>
            </w:pPr>
            <w:r>
              <w:rPr>
                <w:b w:val="false"/>
                <w:bCs w:val="false"/>
                <w:sz w:val="19"/>
                <w:szCs w:val="19"/>
              </w:rPr>
              <w:t xml:space="preserve">0</w:t>
            </w:r>
          </w:p>
        </w:tc>
        <w:tc>
          <w:tcPr>
            <w:tcW w:type="dxa" w:w="1000"/>
            <w:tcMar>
              <w:top w:type="dxa" w:w="40"/>
              <w:left w:type="dxa" w:w="80"/>
              <w:bottom w:type="dxa" w:w="40"/>
              <w:right w:type="dxa" w:w="80"/>
            </w:tcMar>
          </w:tcPr>
          <w:p>
            <w:pPr>
              <w:jc w:val="center"/>
            </w:pPr>
            <w:r>
              <w:rPr>
                <w:b w:val="false"/>
                <w:bCs w:val="false"/>
                <w:sz w:val="19"/>
                <w:szCs w:val="19"/>
              </w:rPr>
              <w:t xml:space="preserve">30</w:t>
            </w:r>
          </w:p>
        </w:tc>
        <w:tc>
          <w:tcPr>
            <w:tcW w:type="dxa" w:w="1100"/>
            <w:tcMar>
              <w:top w:type="dxa" w:w="40"/>
              <w:left w:type="dxa" w:w="80"/>
              <w:bottom w:type="dxa" w:w="40"/>
              <w:right w:type="dxa" w:w="80"/>
            </w:tcMar>
          </w:tcPr>
          <w:p>
            <w:pPr>
              <w:jc w:val="center"/>
            </w:pPr>
            <w:r>
              <w:rPr>
                <w:b w:val="false"/>
                <w:bCs w:val="false"/>
                <w:sz w:val="19"/>
                <w:szCs w:val="19"/>
              </w:rPr>
              <w:t xml:space="preserve">0</w:t>
            </w:r>
          </w:p>
        </w:tc>
      </w:tr>
    </w:tbl>
    <w:p>
      <w:pPr>
        <w:spacing w:after="200" w:before="60"/>
        <w:jc w:val="center"/>
      </w:pPr>
      <w:r>
        <w:rPr>
          <w:i/>
          <w:iCs/>
          <w:color w:val="555555"/>
          <w:sz w:val="18"/>
          <w:szCs w:val="18"/>
        </w:rPr>
        <w:t xml:space="preserve">Table 5. AIME 2024 cell accuracies. *cot_ablated stopped at 20 of 30 problems: the pre-registered degeneration gate fired on its cap-hit rate (see text); its paired contrasts use those 20 pairs.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1450"/>
        <w:gridCol w:w="1900"/>
        <w:gridCol w:w="1350"/>
        <w:gridCol w:w="1000"/>
      </w:tblGrid>
      <w:tr>
        <w:trPr>
          <w:tblHeader/>
        </w:trPr>
        <w:tc>
          <w:tcPr>
            <w:tcW w:type="dxa" w:w="2400"/>
            <w:shd w:fill="EEEDE6" w:val="clear"/>
            <w:tcMar>
              <w:top w:type="dxa" w:w="40"/>
              <w:left w:type="dxa" w:w="80"/>
              <w:bottom w:type="dxa" w:w="40"/>
              <w:right w:type="dxa" w:w="80"/>
            </w:tcMar>
          </w:tcPr>
          <w:p>
            <w:pPr>
              <w:jc w:val="left"/>
            </w:pPr>
            <w:r>
              <w:rPr>
                <w:b/>
                <w:bCs/>
                <w:sz w:val="19"/>
                <w:szCs w:val="19"/>
              </w:rPr>
              <w:t xml:space="preserve">Contrast</w:t>
            </w:r>
          </w:p>
        </w:tc>
        <w:tc>
          <w:tcPr>
            <w:tcW w:type="dxa" w:w="1450"/>
            <w:shd w:fill="EEEDE6" w:val="clear"/>
            <w:tcMar>
              <w:top w:type="dxa" w:w="40"/>
              <w:left w:type="dxa" w:w="80"/>
              <w:bottom w:type="dxa" w:w="40"/>
              <w:right w:type="dxa" w:w="80"/>
            </w:tcMar>
          </w:tcPr>
          <w:p>
            <w:pPr>
              <w:jc w:val="center"/>
            </w:pPr>
            <w:r>
              <w:rPr>
                <w:b/>
                <w:bCs/>
                <w:sz w:val="19"/>
                <w:szCs w:val="19"/>
              </w:rPr>
              <w:t xml:space="preserve">Point (pts)</w:t>
            </w:r>
          </w:p>
        </w:tc>
        <w:tc>
          <w:tcPr>
            <w:tcW w:type="dxa" w:w="1900"/>
            <w:shd w:fill="EEEDE6" w:val="clear"/>
            <w:tcMar>
              <w:top w:type="dxa" w:w="40"/>
              <w:left w:type="dxa" w:w="80"/>
              <w:bottom w:type="dxa" w:w="40"/>
              <w:right w:type="dxa" w:w="80"/>
            </w:tcMar>
          </w:tcPr>
          <w:p>
            <w:pPr>
              <w:jc w:val="center"/>
            </w:pPr>
            <w:r>
              <w:rPr>
                <w:b/>
                <w:bCs/>
                <w:sz w:val="19"/>
                <w:szCs w:val="19"/>
              </w:rPr>
              <w:t xml:space="preserve">95% CI (pts)</w:t>
            </w:r>
          </w:p>
        </w:tc>
        <w:tc>
          <w:tcPr>
            <w:tcW w:type="dxa" w:w="1350"/>
            <w:shd w:fill="EEEDE6" w:val="clear"/>
            <w:tcMar>
              <w:top w:type="dxa" w:w="40"/>
              <w:left w:type="dxa" w:w="80"/>
              <w:bottom w:type="dxa" w:w="40"/>
              <w:right w:type="dxa" w:w="80"/>
            </w:tcMar>
          </w:tcPr>
          <w:p>
            <w:pPr>
              <w:jc w:val="center"/>
            </w:pPr>
            <w:r>
              <w:rPr>
                <w:b/>
                <w:bCs/>
                <w:sz w:val="19"/>
                <w:szCs w:val="19"/>
              </w:rPr>
              <w:t xml:space="preserve">p</w:t>
            </w:r>
          </w:p>
        </w:tc>
        <w:tc>
          <w:tcPr>
            <w:tcW w:type="dxa" w:w="1000"/>
            <w:shd w:fill="EEEDE6" w:val="clear"/>
            <w:tcMar>
              <w:top w:type="dxa" w:w="40"/>
              <w:left w:type="dxa" w:w="80"/>
              <w:bottom w:type="dxa" w:w="40"/>
              <w:right w:type="dxa" w:w="80"/>
            </w:tcMar>
          </w:tcPr>
          <w:p>
            <w:pPr>
              <w:jc w:val="center"/>
            </w:pPr>
            <w:r>
              <w:rPr>
                <w:b/>
                <w:bCs/>
                <w:sz w:val="19"/>
                <w:szCs w:val="19"/>
              </w:rPr>
              <w:t xml:space="preserve">n pairs</w:t>
            </w:r>
          </w:p>
        </w:tc>
      </w:tr>
      <w:tr>
        <w:tc>
          <w:tcPr>
            <w:tcW w:type="dxa" w:w="2400"/>
            <w:tcMar>
              <w:top w:type="dxa" w:w="40"/>
              <w:left w:type="dxa" w:w="80"/>
              <w:bottom w:type="dxa" w:w="40"/>
              <w:right w:type="dxa" w:w="80"/>
            </w:tcMar>
          </w:tcPr>
          <w:p>
            <w:pPr>
              <w:jc w:val="left"/>
            </w:pPr>
            <w:r>
              <w:rPr>
                <w:b w:val="false"/>
                <w:bCs w:val="false"/>
                <w:sz w:val="19"/>
                <w:szCs w:val="19"/>
              </w:rPr>
              <w:t xml:space="preserve">CoT: ablated vs intact (McNemar)</w:t>
            </w:r>
          </w:p>
        </w:tc>
        <w:tc>
          <w:tcPr>
            <w:tcW w:type="dxa" w:w="1450"/>
            <w:tcMar>
              <w:top w:type="dxa" w:w="40"/>
              <w:left w:type="dxa" w:w="80"/>
              <w:bottom w:type="dxa" w:w="40"/>
              <w:right w:type="dxa" w:w="80"/>
            </w:tcMar>
          </w:tcPr>
          <w:p>
            <w:pPr>
              <w:jc w:val="center"/>
            </w:pPr>
            <w:r>
              <w:rPr>
                <w:b w:val="false"/>
                <w:bCs w:val="false"/>
                <w:sz w:val="19"/>
                <w:szCs w:val="19"/>
              </w:rPr>
              <w:t xml:space="preserve">−11.7</w:t>
            </w:r>
          </w:p>
        </w:tc>
        <w:tc>
          <w:tcPr>
            <w:tcW w:type="dxa" w:w="1900"/>
            <w:tcMar>
              <w:top w:type="dxa" w:w="40"/>
              <w:left w:type="dxa" w:w="80"/>
              <w:bottom w:type="dxa" w:w="40"/>
              <w:right w:type="dxa" w:w="80"/>
            </w:tcMar>
          </w:tcPr>
          <w:p>
            <w:pPr>
              <w:jc w:val="center"/>
            </w:pPr>
            <w:r>
              <w:rPr>
                <w:b w:val="false"/>
                <w:bCs w:val="false"/>
                <w:sz w:val="19"/>
                <w:szCs w:val="19"/>
              </w:rPr>
              <w:t xml:space="preserve">—</w:t>
            </w:r>
          </w:p>
        </w:tc>
        <w:tc>
          <w:tcPr>
            <w:tcW w:type="dxa" w:w="1350"/>
            <w:tcMar>
              <w:top w:type="dxa" w:w="40"/>
              <w:left w:type="dxa" w:w="80"/>
              <w:bottom w:type="dxa" w:w="40"/>
              <w:right w:type="dxa" w:w="80"/>
            </w:tcMar>
          </w:tcPr>
          <w:p>
            <w:pPr>
              <w:jc w:val="center"/>
            </w:pPr>
            <w:r>
              <w:rPr>
                <w:b w:val="false"/>
                <w:bCs w:val="false"/>
                <w:sz w:val="19"/>
                <w:szCs w:val="19"/>
              </w:rPr>
              <w:t xml:space="preserve">0.219</w:t>
            </w:r>
          </w:p>
        </w:tc>
        <w:tc>
          <w:tcPr>
            <w:tcW w:type="dxa" w:w="1000"/>
            <w:tcMar>
              <w:top w:type="dxa" w:w="40"/>
              <w:left w:type="dxa" w:w="80"/>
              <w:bottom w:type="dxa" w:w="40"/>
              <w:right w:type="dxa" w:w="80"/>
            </w:tcMar>
          </w:tcPr>
          <w:p>
            <w:pPr>
              <w:jc w:val="center"/>
            </w:pPr>
            <w:r>
              <w:rPr>
                <w:b w:val="false"/>
                <w:bCs w:val="false"/>
                <w:sz w:val="19"/>
                <w:szCs w:val="19"/>
              </w:rPr>
              <w:t xml:space="preserve">20</w:t>
            </w:r>
          </w:p>
        </w:tc>
      </w:tr>
      <w:tr>
        <w:tc>
          <w:tcPr>
            <w:tcW w:type="dxa" w:w="2400"/>
            <w:tcMar>
              <w:top w:type="dxa" w:w="40"/>
              <w:left w:type="dxa" w:w="80"/>
              <w:bottom w:type="dxa" w:w="40"/>
              <w:right w:type="dxa" w:w="80"/>
            </w:tcMar>
          </w:tcPr>
          <w:p>
            <w:pPr>
              <w:jc w:val="left"/>
            </w:pPr>
            <w:r>
              <w:rPr>
                <w:b w:val="false"/>
                <w:bCs w:val="false"/>
                <w:sz w:val="19"/>
                <w:szCs w:val="19"/>
              </w:rPr>
              <w:t xml:space="preserve">CoT: random vs intact (McNemar)</w:t>
            </w:r>
          </w:p>
        </w:tc>
        <w:tc>
          <w:tcPr>
            <w:tcW w:type="dxa" w:w="1450"/>
            <w:tcMar>
              <w:top w:type="dxa" w:w="40"/>
              <w:left w:type="dxa" w:w="80"/>
              <w:bottom w:type="dxa" w:w="40"/>
              <w:right w:type="dxa" w:w="80"/>
            </w:tcMar>
          </w:tcPr>
          <w:p>
            <w:pPr>
              <w:jc w:val="center"/>
            </w:pPr>
            <w:r>
              <w:rPr>
                <w:b w:val="false"/>
                <w:bCs w:val="false"/>
                <w:sz w:val="19"/>
                <w:szCs w:val="19"/>
              </w:rPr>
              <w:t xml:space="preserve">+6.7</w:t>
            </w:r>
          </w:p>
        </w:tc>
        <w:tc>
          <w:tcPr>
            <w:tcW w:type="dxa" w:w="1900"/>
            <w:tcMar>
              <w:top w:type="dxa" w:w="40"/>
              <w:left w:type="dxa" w:w="80"/>
              <w:bottom w:type="dxa" w:w="40"/>
              <w:right w:type="dxa" w:w="80"/>
            </w:tcMar>
          </w:tcPr>
          <w:p>
            <w:pPr>
              <w:jc w:val="center"/>
            </w:pPr>
            <w:r>
              <w:rPr>
                <w:b w:val="false"/>
                <w:bCs w:val="false"/>
                <w:sz w:val="19"/>
                <w:szCs w:val="19"/>
              </w:rPr>
              <w:t xml:space="preserve">—</w:t>
            </w:r>
          </w:p>
        </w:tc>
        <w:tc>
          <w:tcPr>
            <w:tcW w:type="dxa" w:w="1350"/>
            <w:tcMar>
              <w:top w:type="dxa" w:w="40"/>
              <w:left w:type="dxa" w:w="80"/>
              <w:bottom w:type="dxa" w:w="40"/>
              <w:right w:type="dxa" w:w="80"/>
            </w:tcMar>
          </w:tcPr>
          <w:p>
            <w:pPr>
              <w:jc w:val="center"/>
            </w:pPr>
            <w:r>
              <w:rPr>
                <w:b w:val="false"/>
                <w:bCs w:val="false"/>
                <w:sz w:val="19"/>
                <w:szCs w:val="19"/>
              </w:rPr>
              <w:t xml:space="preserve">1.000</w:t>
            </w:r>
          </w:p>
        </w:tc>
        <w:tc>
          <w:tcPr>
            <w:tcW w:type="dxa" w:w="1000"/>
            <w:tcMar>
              <w:top w:type="dxa" w:w="40"/>
              <w:left w:type="dxa" w:w="80"/>
              <w:bottom w:type="dxa" w:w="40"/>
              <w:right w:type="dxa" w:w="80"/>
            </w:tcMar>
          </w:tcPr>
          <w:p>
            <w:pPr>
              <w:jc w:val="center"/>
            </w:pPr>
            <w:r>
              <w:rPr>
                <w:b w:val="false"/>
                <w:bCs w:val="false"/>
                <w:sz w:val="19"/>
                <w:szCs w:val="19"/>
              </w:rPr>
              <w:t xml:space="preserve">30</w:t>
            </w:r>
          </w:p>
        </w:tc>
      </w:tr>
      <w:tr>
        <w:tc>
          <w:tcPr>
            <w:tcW w:type="dxa" w:w="2400"/>
            <w:tcMar>
              <w:top w:type="dxa" w:w="40"/>
              <w:left w:type="dxa" w:w="80"/>
              <w:bottom w:type="dxa" w:w="40"/>
              <w:right w:type="dxa" w:w="80"/>
            </w:tcMar>
          </w:tcPr>
          <w:p>
            <w:pPr>
              <w:jc w:val="left"/>
            </w:pPr>
            <w:r>
              <w:rPr>
                <w:b w:val="false"/>
                <w:bCs w:val="false"/>
                <w:sz w:val="19"/>
                <w:szCs w:val="19"/>
              </w:rPr>
              <w:t xml:space="preserve">Selectivity, CoT arm</w:t>
            </w:r>
          </w:p>
        </w:tc>
        <w:tc>
          <w:tcPr>
            <w:tcW w:type="dxa" w:w="1450"/>
            <w:tcMar>
              <w:top w:type="dxa" w:w="40"/>
              <w:left w:type="dxa" w:w="80"/>
              <w:bottom w:type="dxa" w:w="40"/>
              <w:right w:type="dxa" w:w="80"/>
            </w:tcMar>
          </w:tcPr>
          <w:p>
            <w:pPr>
              <w:jc w:val="center"/>
            </w:pPr>
            <w:r>
              <w:rPr>
                <w:b w:val="false"/>
                <w:bCs w:val="false"/>
                <w:sz w:val="19"/>
                <w:szCs w:val="19"/>
              </w:rPr>
              <w:t xml:space="preserve">+20.0</w:t>
            </w:r>
          </w:p>
        </w:tc>
        <w:tc>
          <w:tcPr>
            <w:tcW w:type="dxa" w:w="1900"/>
            <w:tcMar>
              <w:top w:type="dxa" w:w="40"/>
              <w:left w:type="dxa" w:w="80"/>
              <w:bottom w:type="dxa" w:w="40"/>
              <w:right w:type="dxa" w:w="80"/>
            </w:tcMar>
          </w:tcPr>
          <w:p>
            <w:pPr>
              <w:jc w:val="center"/>
            </w:pPr>
            <w:r>
              <w:rPr>
                <w:b w:val="false"/>
                <w:bCs w:val="false"/>
                <w:sz w:val="19"/>
                <w:szCs w:val="19"/>
              </w:rPr>
              <w:t xml:space="preserve">[+0.0, +40.0]</w:t>
            </w:r>
          </w:p>
        </w:tc>
        <w:tc>
          <w:tcPr>
            <w:tcW w:type="dxa" w:w="1350"/>
            <w:tcMar>
              <w:top w:type="dxa" w:w="40"/>
              <w:left w:type="dxa" w:w="80"/>
              <w:bottom w:type="dxa" w:w="40"/>
              <w:right w:type="dxa" w:w="80"/>
            </w:tcMar>
          </w:tcPr>
          <w:p>
            <w:pPr>
              <w:jc w:val="center"/>
            </w:pPr>
            <w:r>
              <w:rPr>
                <w:b w:val="false"/>
                <w:bCs w:val="false"/>
                <w:sz w:val="19"/>
                <w:szCs w:val="19"/>
              </w:rPr>
              <w:t xml:space="preserve">0.115</w:t>
            </w:r>
          </w:p>
        </w:tc>
        <w:tc>
          <w:tcPr>
            <w:tcW w:type="dxa" w:w="1000"/>
            <w:tcMar>
              <w:top w:type="dxa" w:w="40"/>
              <w:left w:type="dxa" w:w="80"/>
              <w:bottom w:type="dxa" w:w="40"/>
              <w:right w:type="dxa" w:w="80"/>
            </w:tcMar>
          </w:tcPr>
          <w:p>
            <w:pPr>
              <w:jc w:val="center"/>
            </w:pPr>
            <w:r>
              <w:rPr>
                <w:b w:val="false"/>
                <w:bCs w:val="false"/>
                <w:sz w:val="19"/>
                <w:szCs w:val="19"/>
              </w:rPr>
              <w:t xml:space="preserve">20</w:t>
            </w:r>
          </w:p>
        </w:tc>
      </w:tr>
      <w:tr>
        <w:tc>
          <w:tcPr>
            <w:tcW w:type="dxa" w:w="2400"/>
            <w:tcMar>
              <w:top w:type="dxa" w:w="40"/>
              <w:left w:type="dxa" w:w="80"/>
              <w:bottom w:type="dxa" w:w="40"/>
              <w:right w:type="dxa" w:w="80"/>
            </w:tcMar>
          </w:tcPr>
          <w:p>
            <w:pPr>
              <w:jc w:val="left"/>
            </w:pPr>
            <w:r>
              <w:rPr>
                <w:b w:val="false"/>
                <w:bCs w:val="false"/>
                <w:sz w:val="19"/>
                <w:szCs w:val="19"/>
              </w:rPr>
              <w:t xml:space="preserve">Selectivity, direct arm</w:t>
            </w:r>
          </w:p>
        </w:tc>
        <w:tc>
          <w:tcPr>
            <w:tcW w:type="dxa" w:w="1450"/>
            <w:tcMar>
              <w:top w:type="dxa" w:w="40"/>
              <w:left w:type="dxa" w:w="80"/>
              <w:bottom w:type="dxa" w:w="40"/>
              <w:right w:type="dxa" w:w="80"/>
            </w:tcMar>
          </w:tcPr>
          <w:p>
            <w:pPr>
              <w:jc w:val="center"/>
            </w:pPr>
            <w:r>
              <w:rPr>
                <w:b w:val="false"/>
                <w:bCs w:val="false"/>
                <w:sz w:val="19"/>
                <w:szCs w:val="19"/>
              </w:rPr>
              <w:t xml:space="preserve">+0.0</w:t>
            </w:r>
          </w:p>
        </w:tc>
        <w:tc>
          <w:tcPr>
            <w:tcW w:type="dxa" w:w="1900"/>
            <w:tcMar>
              <w:top w:type="dxa" w:w="40"/>
              <w:left w:type="dxa" w:w="80"/>
              <w:bottom w:type="dxa" w:w="40"/>
              <w:right w:type="dxa" w:w="80"/>
            </w:tcMar>
          </w:tcPr>
          <w:p>
            <w:pPr>
              <w:jc w:val="center"/>
            </w:pPr>
            <w:r>
              <w:rPr>
                <w:b w:val="false"/>
                <w:bCs w:val="false"/>
                <w:sz w:val="19"/>
                <w:szCs w:val="19"/>
              </w:rPr>
              <w:t xml:space="preserve">[+0.0, +0.0]</w:t>
            </w:r>
          </w:p>
        </w:tc>
        <w:tc>
          <w:tcPr>
            <w:tcW w:type="dxa" w:w="1350"/>
            <w:tcMar>
              <w:top w:type="dxa" w:w="40"/>
              <w:left w:type="dxa" w:w="80"/>
              <w:bottom w:type="dxa" w:w="40"/>
              <w:right w:type="dxa" w:w="80"/>
            </w:tcMar>
          </w:tcPr>
          <w:p>
            <w:pPr>
              <w:jc w:val="center"/>
            </w:pPr>
            <w:r>
              <w:rPr>
                <w:b w:val="false"/>
                <w:bCs w:val="false"/>
                <w:sz w:val="19"/>
                <w:szCs w:val="19"/>
              </w:rPr>
              <w:t xml:space="preserve">1.000</w:t>
            </w:r>
          </w:p>
        </w:tc>
        <w:tc>
          <w:tcPr>
            <w:tcW w:type="dxa" w:w="1000"/>
            <w:tcMar>
              <w:top w:type="dxa" w:w="40"/>
              <w:left w:type="dxa" w:w="80"/>
              <w:bottom w:type="dxa" w:w="40"/>
              <w:right w:type="dxa" w:w="80"/>
            </w:tcMar>
          </w:tcPr>
          <w:p>
            <w:pPr>
              <w:jc w:val="center"/>
            </w:pPr>
            <w:r>
              <w:rPr>
                <w:b w:val="false"/>
                <w:bCs w:val="false"/>
                <w:sz w:val="19"/>
                <w:szCs w:val="19"/>
              </w:rPr>
              <w:t xml:space="preserve">30</w:t>
            </w:r>
          </w:p>
        </w:tc>
      </w:tr>
      <w:tr>
        <w:tc>
          <w:tcPr>
            <w:tcW w:type="dxa" w:w="2400"/>
            <w:tcMar>
              <w:top w:type="dxa" w:w="40"/>
              <w:left w:type="dxa" w:w="80"/>
              <w:bottom w:type="dxa" w:w="40"/>
              <w:right w:type="dxa" w:w="80"/>
            </w:tcMar>
          </w:tcPr>
          <w:p>
            <w:pPr>
              <w:jc w:val="left"/>
            </w:pPr>
            <w:r>
              <w:rPr>
                <w:b w:val="false"/>
                <w:bCs w:val="false"/>
                <w:sz w:val="19"/>
                <w:szCs w:val="19"/>
              </w:rPr>
              <w:t xml:space="preserve">Interaction (ablation)</w:t>
            </w:r>
          </w:p>
        </w:tc>
        <w:tc>
          <w:tcPr>
            <w:tcW w:type="dxa" w:w="1450"/>
            <w:tcMar>
              <w:top w:type="dxa" w:w="40"/>
              <w:left w:type="dxa" w:w="80"/>
              <w:bottom w:type="dxa" w:w="40"/>
              <w:right w:type="dxa" w:w="80"/>
            </w:tcMar>
          </w:tcPr>
          <w:p>
            <w:pPr>
              <w:jc w:val="center"/>
            </w:pPr>
            <w:r>
              <w:rPr>
                <w:b w:val="false"/>
                <w:bCs w:val="false"/>
                <w:sz w:val="19"/>
                <w:szCs w:val="19"/>
              </w:rPr>
              <w:t xml:space="preserve">−20.0</w:t>
            </w:r>
          </w:p>
        </w:tc>
        <w:tc>
          <w:tcPr>
            <w:tcW w:type="dxa" w:w="1900"/>
            <w:tcMar>
              <w:top w:type="dxa" w:w="40"/>
              <w:left w:type="dxa" w:w="80"/>
              <w:bottom w:type="dxa" w:w="40"/>
              <w:right w:type="dxa" w:w="80"/>
            </w:tcMar>
          </w:tcPr>
          <w:p>
            <w:pPr>
              <w:jc w:val="center"/>
            </w:pPr>
            <w:r>
              <w:rPr>
                <w:b w:val="false"/>
                <w:bCs w:val="false"/>
                <w:sz w:val="19"/>
                <w:szCs w:val="19"/>
              </w:rPr>
              <w:t xml:space="preserve">[−40.0, +0.0]</w:t>
            </w:r>
          </w:p>
        </w:tc>
        <w:tc>
          <w:tcPr>
            <w:tcW w:type="dxa" w:w="1350"/>
            <w:tcMar>
              <w:top w:type="dxa" w:w="40"/>
              <w:left w:type="dxa" w:w="80"/>
              <w:bottom w:type="dxa" w:w="40"/>
              <w:right w:type="dxa" w:w="80"/>
            </w:tcMar>
          </w:tcPr>
          <w:p>
            <w:pPr>
              <w:jc w:val="center"/>
            </w:pPr>
            <w:r>
              <w:rPr>
                <w:b w:val="false"/>
                <w:bCs w:val="false"/>
                <w:sz w:val="19"/>
                <w:szCs w:val="19"/>
              </w:rPr>
              <w:t xml:space="preserve">0.113</w:t>
            </w:r>
          </w:p>
        </w:tc>
        <w:tc>
          <w:tcPr>
            <w:tcW w:type="dxa" w:w="1000"/>
            <w:tcMar>
              <w:top w:type="dxa" w:w="40"/>
              <w:left w:type="dxa" w:w="80"/>
              <w:bottom w:type="dxa" w:w="40"/>
              <w:right w:type="dxa" w:w="80"/>
            </w:tcMar>
          </w:tcPr>
          <w:p>
            <w:pPr>
              <w:jc w:val="center"/>
            </w:pPr>
            <w:r>
              <w:rPr>
                <w:b w:val="false"/>
                <w:bCs w:val="false"/>
                <w:sz w:val="19"/>
                <w:szCs w:val="19"/>
              </w:rPr>
              <w:t xml:space="preserve">20</w:t>
            </w:r>
          </w:p>
        </w:tc>
      </w:tr>
      <w:tr>
        <w:tc>
          <w:tcPr>
            <w:tcW w:type="dxa" w:w="2400"/>
            <w:tcMar>
              <w:top w:type="dxa" w:w="40"/>
              <w:left w:type="dxa" w:w="80"/>
              <w:bottom w:type="dxa" w:w="40"/>
              <w:right w:type="dxa" w:w="80"/>
            </w:tcMar>
          </w:tcPr>
          <w:p>
            <w:pPr>
              <w:jc w:val="left"/>
            </w:pPr>
            <w:r>
              <w:rPr>
                <w:b w:val="false"/>
                <w:bCs w:val="false"/>
                <w:sz w:val="19"/>
                <w:szCs w:val="19"/>
              </w:rPr>
              <w:t xml:space="preserve">Interaction (random control)</w:t>
            </w:r>
          </w:p>
        </w:tc>
        <w:tc>
          <w:tcPr>
            <w:tcW w:type="dxa" w:w="1450"/>
            <w:tcMar>
              <w:top w:type="dxa" w:w="40"/>
              <w:left w:type="dxa" w:w="80"/>
              <w:bottom w:type="dxa" w:w="40"/>
              <w:right w:type="dxa" w:w="80"/>
            </w:tcMar>
          </w:tcPr>
          <w:p>
            <w:pPr>
              <w:jc w:val="center"/>
            </w:pPr>
            <w:r>
              <w:rPr>
                <w:b w:val="false"/>
                <w:bCs w:val="false"/>
                <w:sz w:val="19"/>
                <w:szCs w:val="19"/>
              </w:rPr>
              <w:t xml:space="preserve">+0.0</w:t>
            </w:r>
          </w:p>
        </w:tc>
        <w:tc>
          <w:tcPr>
            <w:tcW w:type="dxa" w:w="1900"/>
            <w:tcMar>
              <w:top w:type="dxa" w:w="40"/>
              <w:left w:type="dxa" w:w="80"/>
              <w:bottom w:type="dxa" w:w="40"/>
              <w:right w:type="dxa" w:w="80"/>
            </w:tcMar>
          </w:tcPr>
          <w:p>
            <w:pPr>
              <w:jc w:val="center"/>
            </w:pPr>
            <w:r>
              <w:rPr>
                <w:b w:val="false"/>
                <w:bCs w:val="false"/>
                <w:sz w:val="19"/>
                <w:szCs w:val="19"/>
              </w:rPr>
              <w:t xml:space="preserve">[−15.0, +15.0]</w:t>
            </w:r>
          </w:p>
        </w:tc>
        <w:tc>
          <w:tcPr>
            <w:tcW w:type="dxa" w:w="1350"/>
            <w:tcMar>
              <w:top w:type="dxa" w:w="40"/>
              <w:left w:type="dxa" w:w="80"/>
              <w:bottom w:type="dxa" w:w="40"/>
              <w:right w:type="dxa" w:w="80"/>
            </w:tcMar>
          </w:tcPr>
          <w:p>
            <w:pPr>
              <w:jc w:val="center"/>
            </w:pPr>
            <w:r>
              <w:rPr>
                <w:b w:val="false"/>
                <w:bCs w:val="false"/>
                <w:sz w:val="19"/>
                <w:szCs w:val="19"/>
              </w:rPr>
              <w:t xml:space="preserve">1.000</w:t>
            </w:r>
          </w:p>
        </w:tc>
        <w:tc>
          <w:tcPr>
            <w:tcW w:type="dxa" w:w="1000"/>
            <w:tcMar>
              <w:top w:type="dxa" w:w="40"/>
              <w:left w:type="dxa" w:w="80"/>
              <w:bottom w:type="dxa" w:w="40"/>
              <w:right w:type="dxa" w:w="80"/>
            </w:tcMar>
          </w:tcPr>
          <w:p>
            <w:pPr>
              <w:jc w:val="center"/>
            </w:pPr>
            <w:r>
              <w:rPr>
                <w:b w:val="false"/>
                <w:bCs w:val="false"/>
                <w:sz w:val="19"/>
                <w:szCs w:val="19"/>
              </w:rPr>
              <w:t xml:space="preserve">20</w:t>
            </w:r>
          </w:p>
        </w:tc>
      </w:tr>
    </w:tbl>
    <w:p>
      <w:pPr>
        <w:spacing w:after="200" w:before="60"/>
        <w:jc w:val="center"/>
      </w:pPr>
      <w:r>
        <w:rPr>
          <w:i/>
          <w:iCs/>
          <w:color w:val="555555"/>
          <w:sz w:val="18"/>
          <w:szCs w:val="18"/>
        </w:rPr>
        <w:t xml:space="preserve">Table 6. AIME 2024 paired contrasts. The direct arm is at floor (0%) in all cells, so its rows carry no information.</w:t>
      </w:r>
    </w:p>
    <w:p>
      <w:pPr>
        <w:spacing w:after="120" w:line="264"/>
        <w:jc w:val="both"/>
      </w:pPr>
      <w:r>
        <w:rPr>
          <w:sz w:val="21"/>
          <w:szCs w:val="21"/>
        </w:rPr>
        <w:t xml:space="preserve">Every direct cell scored 0/30: at AIME difficulty Qwen3-4B cannot answer without reasoning, so the direct arm — and therefore the interaction — is uninformative by floor effect. In the CoT arm, ablation cost 11.7 points on the 20 paired problems while the random control </w:t>
      </w:r>
      <w:r>
        <w:rPr>
          <w:i/>
          <w:iCs/>
          <w:sz w:val="21"/>
          <w:szCs w:val="21"/>
        </w:rPr>
        <w:t xml:space="preserve">gained</w:t>
      </w:r>
      <w:r>
        <w:rPr>
          <w:sz w:val="21"/>
          <w:szCs w:val="21"/>
        </w:rPr>
        <w:t xml:space="preserve"> 6.7, giving a selectivity point estimate of +20.0 — the largest targeted deficit observed anywhere in the study — but with a CI of [+0.0, +40.0] (p = 0.115). The analysis tool's own pre-registered rule flags any CI wider than 25 points as unable to distinguish “no effect” from “too few problems”, and this one is 40 wide. The cell holds 20 rather than 30 problems by protocol, not accident: the degeneration gate compares ablated CoT's unusable rate to intact's over its first 20 problems, and it fired — 40% of ablated generations were unusable against intact's 5%, a +35-point delta against the 15-point threshold — stopping the cell before the last 10 problems were generated. All eight unusable ablated generations ran to the 32,768-token cap, six ending in verbatim repetition loops, against one intact cap hit on the same problems. The 20-point selective deficit and the gate firing are therefore the same observation read twice: ablation's dominant effect on AIME CoT is to prevent termination.</w:t>
      </w:r>
    </w:p>
    <w:p>
      <w:pPr>
        <w:spacing w:after="40" w:before="120"/>
        <w:jc w:val="center"/>
      </w:pPr>
      <w:r>
        <w:drawing>
          <wp:inline distT="0" distB="0" distL="0" distR="0">
            <wp:extent cx="5943600" cy="15270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527048"/>
                    </a:xfrm>
                    <a:prstGeom prst="rect">
                      <a:avLst/>
                    </a:prstGeom>
                  </pic:spPr>
                </pic:pic>
              </a:graphicData>
            </a:graphic>
          </wp:inline>
        </w:drawing>
      </w:r>
    </w:p>
    <w:p>
      <w:pPr>
        <w:spacing w:after="200" w:before="60"/>
        <w:jc w:val="center"/>
      </w:pPr>
      <w:r>
        <w:rPr>
          <w:i/>
          <w:iCs/>
          <w:color w:val="555555"/>
          <w:sz w:val="18"/>
          <w:szCs w:val="18"/>
        </w:rPr>
        <w:t xml:space="preserve">Figure 1. Accuracy by cell. *AIME cot_ablated is n = 20 of 30 (the degeneration gate fired); MATH-500 cot_ablated is pending (records lost; due 8/6).</w:t>
      </w:r>
    </w:p>
    <w:p>
      <w:pPr>
        <w:spacing w:after="40" w:before="120"/>
        <w:jc w:val="center"/>
      </w:pPr>
      <w:r>
        <w:drawing>
          <wp:inline distT="0" distB="0" distL="0" distR="0">
            <wp:extent cx="5120640" cy="47183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4718304"/>
                    </a:xfrm>
                    <a:prstGeom prst="rect">
                      <a:avLst/>
                    </a:prstGeom>
                  </pic:spPr>
                </pic:pic>
              </a:graphicData>
            </a:graphic>
          </wp:inline>
        </w:drawing>
      </w:r>
    </w:p>
    <w:p>
      <w:pPr>
        <w:spacing w:after="200" w:before="60"/>
        <w:jc w:val="center"/>
      </w:pPr>
      <w:r>
        <w:rPr>
          <w:i/>
          <w:iCs/>
          <w:color w:val="555555"/>
          <w:sz w:val="18"/>
          <w:szCs w:val="18"/>
        </w:rPr>
        <w:t xml:space="preserve">Figure 2. Pre-registered contrasts with 95% bootstrap CIs. H1 predicts a positive ablation interaction; the random-control interaction should sit at zero — on MATH-500 it does not (+7.3, p = 0.003). MATH-500's CoT-arm selectivity and ablation interaction await the regenerated cot_ablated cell.</w:t>
      </w:r>
    </w:p>
    <w:p>
      <w:pPr>
        <w:pStyle w:val="Heading1"/>
        <w:spacing w:after="120" w:before="240"/>
      </w:pPr>
      <w:r>
        <w:rPr>
          <w:b/>
          <w:bCs/>
          <w:color w:val="1a1a19"/>
          <w:sz w:val="26"/>
          <w:szCs w:val="26"/>
        </w:rPr>
        <w:t xml:space="preserve">5. Analysis of results</w:t>
      </w:r>
    </w:p>
    <w:p>
      <w:pPr>
        <w:spacing w:after="120" w:line="264"/>
        <w:jc w:val="both"/>
      </w:pPr>
      <w:r>
        <w:rPr>
          <w:b/>
          <w:bCs/>
          <w:sz w:val="21"/>
          <w:szCs w:val="21"/>
        </w:rPr>
        <w:t xml:space="preserve">The substitution hypothesis is not supported. </w:t>
      </w:r>
      <w:r>
        <w:rPr>
          <w:sz w:val="21"/>
          <w:szCs w:val="21"/>
        </w:rPr>
        <w:t xml:space="preserve">On GSM8K — the only dataset where both arms are off floor and fully powered — the interaction is slightly negative and its CI excludes the large positive effect H1 predicted: a substitution effect of ≥8 points would have been visible, and none was. The nominally significant CoT ablation drop (p = 0.035) does not survive the matched control; at this band and strength, projecting out the top-10 readout directions is not measurably worse than projecting out 10 random unembedding rows. We report this as an informative null for large effects, not merely an absence of evidence.</w:t>
      </w:r>
    </w:p>
    <w:p>
      <w:pPr>
        <w:spacing w:after="120" w:line="264"/>
        <w:jc w:val="both"/>
      </w:pPr>
      <w:r>
        <w:rPr>
          <w:b/>
          <w:bCs/>
          <w:sz w:val="21"/>
          <w:szCs w:val="21"/>
        </w:rPr>
        <w:t xml:space="preserve">The difficulty trend runs opposite to substitution, but is inconclusive. </w:t>
      </w:r>
      <w:r>
        <w:rPr>
          <w:sz w:val="21"/>
          <w:szCs w:val="21"/>
        </w:rPr>
        <w:t xml:space="preserve">The only suggestive targeted effect in the study is in the AIME CoT arm (+20 points selectivity), i.e., ablation biting harder exactly where reasoning is longest — the direction H2's complementary account predicts, not H1. Three things stop us from claiming it: the CI touches zero and is 40 points wide; the deficit is mostly non-termination — eight of the nine ablated failures ran to the token cap, which is the very observation that fired the gate, so the selectivity estimate and the gate are one finding counted twice, not corroborating evidence; and the direct arm's floor removes the within-dataset interaction that would anchor the comparison. MATH-500 sits between the two in difficulty with both arms off floor and should adjudicate — but its CoT arm is near ceiling (94%) and its control interaction is significantly non-zero, so its pending ablation interaction must clear +7.3 points, not zero.</w:t>
      </w:r>
    </w:p>
    <w:p>
      <w:pPr>
        <w:spacing w:after="120" w:line="264"/>
        <w:jc w:val="both"/>
      </w:pPr>
      <w:r>
        <w:rPr>
          <w:b/>
          <w:bCs/>
          <w:sz w:val="21"/>
          <w:szCs w:val="21"/>
        </w:rPr>
        <w:t xml:space="preserve">MATH-500's control interaction breaks the read-against-zero rule — and would have counterfeited H1. </w:t>
      </w:r>
      <w:r>
        <w:rPr>
          <w:sz w:val="21"/>
          <w:szCs w:val="21"/>
        </w:rPr>
        <w:t xml:space="preserve">The +7.3-point control interaction is in exactly the direction H1 predicts for the </w:t>
      </w:r>
      <w:r>
        <w:rPr>
          <w:i/>
          <w:iCs/>
          <w:sz w:val="21"/>
          <w:szCs w:val="21"/>
        </w:rPr>
        <w:t xml:space="preserve">ablation</w:t>
      </w:r>
      <w:r>
        <w:rPr>
          <w:sz w:val="21"/>
          <w:szCs w:val="21"/>
        </w:rPr>
        <w:t xml:space="preserve"> interaction: had the random control not been run, an ablation interaction of that size would have read as textbook substitution. What it actually shows is that the direct arm is fragile to removing </w:t>
      </w:r>
      <w:r>
        <w:rPr>
          <w:i/>
          <w:iCs/>
          <w:sz w:val="21"/>
          <w:szCs w:val="21"/>
        </w:rPr>
        <w:t xml:space="preserve">any</w:t>
      </w:r>
      <w:r>
        <w:rPr>
          <w:sz w:val="21"/>
          <w:szCs w:val="21"/>
        </w:rPr>
        <w:t xml:space="preserve"> ten directions in the band while CoT answering absorbs the same damage (94–96% regardless) — a real internal/external asymmetry, but one about the degradation-robustness that externalized reasoning confers, not about the J-space specifically. Methodologically, it means the pre-registered rule of reading the ablation interaction against zero is insufficient on this dataset: when the regenerated cot_ablated cell lands, only the excess over +7.3 can be attributed to J-space targeting. The direct-arm selectivity of −2.0 is meanwhile consistent with GSM8K's null — nowhere that both can be measured do the targeted directions do more damage than random ones.</w:t>
      </w:r>
    </w:p>
    <w:p>
      <w:pPr>
        <w:pBdr>
          <w:left w:val="single" w:color="EDA100" w:sz="12"/>
        </w:pBdr>
        <w:shd w:fill="FFF3C4" w:val="clear"/>
        <w:spacing w:after="140" w:before="100" w:line="264"/>
      </w:pPr>
      <w:r>
        <w:rPr>
          <w:i/>
          <w:iCs/>
          <w:color w:val="6b5900"/>
          <w:sz w:val="21"/>
          <w:szCs w:val="21"/>
        </w:rPr>
        <w:t xml:space="preserve">[Pending cot_ablated (due noon 8/6): the MATH-500 CoT-arm selectivity and ablation interaction, read against the +7.3 control baseline, and the H2 monotonicity check GSM8K → MATH-500 → AIME; plus a per-level breakdown as a within-dataset difficulty test.]</w:t>
      </w:r>
    </w:p>
    <w:p>
      <w:pPr>
        <w:pStyle w:val="Heading2"/>
        <w:spacing w:after="100" w:before="180"/>
      </w:pPr>
      <w:r>
        <w:rPr>
          <w:b/>
          <w:bCs/>
          <w:color w:val="1a1a19"/>
          <w:sz w:val="22"/>
          <w:szCs w:val="22"/>
        </w:rPr>
        <w:t xml:space="preserve">Alternative explanations that remain open</w:t>
      </w:r>
    </w:p>
    <w:p>
      <w:pPr>
        <w:pStyle w:val="ListParagraph"/>
        <w:numPr>
          <w:ilvl w:val="0"/>
          <w:numId w:val="2"/>
        </w:numPr>
        <w:spacing w:after="80" w:line="264"/>
        <w:jc w:val="both"/>
      </w:pPr>
      <w:r>
        <w:rPr>
          <w:b/>
          <w:bCs/>
          <w:sz w:val="21"/>
          <w:szCs w:val="21"/>
        </w:rPr>
        <w:t xml:space="preserve">The J = I approximation may miss the real J-space. </w:t>
      </w:r>
      <w:r>
        <w:rPr>
          <w:sz w:val="21"/>
          <w:szCs w:val="21"/>
        </w:rPr>
        <w:t xml:space="preserve">Our “J-lens” is the gain-aware logit lens, which reads what an activation is disposed to say </w:t>
      </w:r>
      <w:r>
        <w:rPr>
          <w:i/>
          <w:iCs/>
          <w:sz w:val="21"/>
          <w:szCs w:val="21"/>
        </w:rPr>
        <w:t xml:space="preserve">now</w:t>
      </w:r>
      <w:r>
        <w:rPr>
          <w:sz w:val="21"/>
          <w:szCs w:val="21"/>
        </w:rPr>
        <w:t xml:space="preserve">, not the paper's Jacobian-averaged disposition. A directions probe found the gold answer is not linearly readable in the ablated band at all (gold@10 = 0% through layers 14–19, first reaching 100% at layer 32), so the top-10 readout there may be tokenizer noise rather than workspace content. A null under J = I does not falsify the paper's claim.</w:t>
      </w:r>
    </w:p>
    <w:p>
      <w:pPr>
        <w:pStyle w:val="ListParagraph"/>
        <w:numPr>
          <w:ilvl w:val="0"/>
          <w:numId w:val="2"/>
        </w:numPr>
        <w:spacing w:after="80" w:line="264"/>
        <w:jc w:val="both"/>
      </w:pPr>
      <w:r>
        <w:rPr>
          <w:b/>
          <w:bCs/>
          <w:sz w:val="21"/>
          <w:szCs w:val="21"/>
        </w:rPr>
        <w:t xml:space="preserve">Scale. </w:t>
      </w:r>
      <w:r>
        <w:rPr>
          <w:sz w:val="21"/>
          <w:szCs w:val="21"/>
        </w:rPr>
        <w:t xml:space="preserve">The paper's clean effects are on frontier-scale models and it reports that its smallest model degraded in coherence before showing qualitative workspace effects. Qwen3-4B may simply be below the scale at which a verbalizable workspace is cleanly separable.</w:t>
      </w:r>
    </w:p>
    <w:p>
      <w:pPr>
        <w:pStyle w:val="ListParagraph"/>
        <w:numPr>
          <w:ilvl w:val="0"/>
          <w:numId w:val="2"/>
        </w:numPr>
        <w:spacing w:after="80" w:line="264"/>
        <w:jc w:val="both"/>
      </w:pPr>
      <w:r>
        <w:rPr>
          <w:b/>
          <w:bCs/>
          <w:sz w:val="21"/>
          <w:szCs w:val="21"/>
        </w:rPr>
        <w:t xml:space="preserve">Band granularity and placement. </w:t>
      </w:r>
      <w:r>
        <w:rPr>
          <w:sz w:val="21"/>
          <w:szCs w:val="21"/>
        </w:rPr>
        <w:t xml:space="preserve">The paper's 16-point-deep light band maps to just 6 of 36 layers, and a fixed-width sliding-window sweep (14–19, 20–25, 26–31, plus full-width 14–33) run at the pre-registered settings found no window with selective damage — but all windows shared the band's coarseness. Strength was never escalated to the medium/heavy bands, deliberately, to avoid the incoherence confound.</w:t>
      </w:r>
    </w:p>
    <w:p>
      <w:pPr>
        <w:pStyle w:val="ListParagraph"/>
        <w:numPr>
          <w:ilvl w:val="0"/>
          <w:numId w:val="2"/>
        </w:numPr>
        <w:spacing w:after="80" w:line="264"/>
        <w:jc w:val="both"/>
      </w:pPr>
      <w:r>
        <w:rPr>
          <w:b/>
          <w:bCs/>
          <w:sz w:val="21"/>
          <w:szCs w:val="21"/>
        </w:rPr>
        <w:t xml:space="preserve">Cap asymmetries. </w:t>
      </w:r>
      <w:r>
        <w:rPr>
          <w:sz w:val="21"/>
          <w:szCs w:val="21"/>
        </w:rPr>
        <w:t xml:space="preserve">Incomplete counts rise under both ablation and control (GSM8K CoT: 24 → 30/28), so part of every drop is non-termination rather than wrong reasoning. The caps are shared across states, and the control absorbs the same penalty, so this biases the selectivity estimates toward zero rather than manufacturing effects — but on AIME the 8/20 ablated cap-hit rate is what fired the gate, and there non-termination is not a nuisance on top of the effect, it is the effect.</w:t>
      </w:r>
    </w:p>
    <w:p>
      <w:pPr>
        <w:pStyle w:val="ListParagraph"/>
        <w:numPr>
          <w:ilvl w:val="0"/>
          <w:numId w:val="2"/>
        </w:numPr>
        <w:spacing w:after="80" w:line="264"/>
        <w:jc w:val="both"/>
      </w:pPr>
      <w:r>
        <w:rPr>
          <w:b/>
          <w:bCs/>
          <w:sz w:val="21"/>
          <w:szCs w:val="21"/>
        </w:rPr>
        <w:t xml:space="preserve">Control choice. </w:t>
      </w:r>
      <w:r>
        <w:rPr>
          <w:sz w:val="21"/>
          <w:szCs w:val="21"/>
        </w:rPr>
        <w:t xml:space="preserve">Our control matches the operation (same k, band, projection) with randomized selection. The paper also uses matched-norm random perturbations; a norm-matched noise control (implemented but not run) could separate “removing any structured directions” from “removing this much signal”.</w:t>
      </w:r>
    </w:p>
    <w:p>
      <w:pPr>
        <w:pStyle w:val="Heading2"/>
        <w:spacing w:after="100" w:before="180"/>
      </w:pPr>
      <w:r>
        <w:rPr>
          <w:b/>
          <w:bCs/>
          <w:color w:val="1a1a19"/>
          <w:sz w:val="22"/>
          <w:szCs w:val="22"/>
        </w:rPr>
        <w:t xml:space="preserve">What we would test next</w:t>
      </w:r>
    </w:p>
    <w:p>
      <w:pPr>
        <w:pStyle w:val="ListParagraph"/>
        <w:numPr>
          <w:ilvl w:val="0"/>
          <w:numId w:val="2"/>
        </w:numPr>
        <w:spacing w:after="80" w:line="264"/>
        <w:jc w:val="both"/>
      </w:pPr>
      <w:r>
        <w:rPr>
          <w:sz w:val="21"/>
          <w:szCs w:val="21"/>
        </w:rPr>
        <w:t xml:space="preserve">Add the regenerated MATH-500 cot_ablated cell (due 8/6) and read its interaction against the +7.3 control baseline. For AIME, generating the last 10 cot_ablated problems would mean overriding a fired pre-registered gate — a documented shard script exists for it (src/shard_ablated_tail.sh, with a mandatory disclosure file) — but the defensible fix is revising the cap or band and re-running the cell under the gate, not completing it unguarded.</w:t>
      </w:r>
    </w:p>
    <w:p>
      <w:pPr>
        <w:pStyle w:val="ListParagraph"/>
        <w:numPr>
          <w:ilvl w:val="0"/>
          <w:numId w:val="2"/>
        </w:numPr>
        <w:spacing w:after="80" w:line="264"/>
        <w:jc w:val="both"/>
      </w:pPr>
      <w:r>
        <w:rPr>
          <w:sz w:val="21"/>
          <w:szCs w:val="21"/>
        </w:rPr>
        <w:t xml:space="preserve">A dose–response curve over band width (light → medium → heavy) with the coherence gate as the stopping rule, testing whether selectivity appears before degeneration does.</w:t>
      </w:r>
    </w:p>
    <w:p>
      <w:pPr>
        <w:pStyle w:val="ListParagraph"/>
        <w:numPr>
          <w:ilvl w:val="0"/>
          <w:numId w:val="2"/>
        </w:numPr>
        <w:spacing w:after="80" w:line="264"/>
        <w:jc w:val="both"/>
      </w:pPr>
      <w:r>
        <w:rPr>
          <w:sz w:val="21"/>
          <w:szCs w:val="21"/>
        </w:rPr>
        <w:t xml:space="preserve">The </w:t>
      </w:r>
      <w:r>
        <w:rPr>
          <w:i/>
          <w:iCs/>
          <w:sz w:val="21"/>
          <w:szCs w:val="21"/>
        </w:rPr>
        <w:t xml:space="preserve">nothink</w:t>
      </w:r>
      <w:r>
        <w:rPr>
          <w:sz w:val="21"/>
          <w:szCs w:val="21"/>
        </w:rPr>
        <w:t xml:space="preserve"> middle rung (thinking disabled, no answer-only instruction), pre-registered but unrun — it separates “no externalization” from “forced immediate answer”.</w:t>
      </w:r>
    </w:p>
    <w:p>
      <w:pPr>
        <w:pStyle w:val="ListParagraph"/>
        <w:numPr>
          <w:ilvl w:val="0"/>
          <w:numId w:val="2"/>
        </w:numPr>
        <w:spacing w:after="80" w:line="264"/>
        <w:jc w:val="both"/>
      </w:pPr>
      <w:r>
        <w:rPr>
          <w:sz w:val="21"/>
          <w:szCs w:val="21"/>
        </w:rPr>
        <w:t xml:space="preserve">Estimate actual per-layer Jacobians on a subset of prompts to test whether J ≠ I selects materially different directions in the workspace band — the direct test of the biggest approximation in this study.</w:t>
      </w:r>
    </w:p>
    <w:p>
      <w:pPr>
        <w:pStyle w:val="ListParagraph"/>
        <w:numPr>
          <w:ilvl w:val="0"/>
          <w:numId w:val="2"/>
        </w:numPr>
        <w:spacing w:after="80" w:line="264"/>
        <w:jc w:val="both"/>
      </w:pPr>
      <w:r>
        <w:rPr>
          <w:sz w:val="21"/>
          <w:szCs w:val="21"/>
        </w:rPr>
        <w:t xml:space="preserve">Report observed power: re-run the power analysis at the measured accuracies and correlation, so the widths of the null CIs are themselves interpretable.</w:t>
      </w:r>
    </w:p>
    <w:p>
      <w:pPr>
        <w:spacing w:after="120"/>
      </w:pPr>
    </w:p>
    <w:p>
      <w:pPr>
        <w:spacing w:after="120" w:line="264"/>
        <w:jc w:val="left"/>
      </w:pPr>
      <w:r>
        <w:rPr>
          <w:b/>
          <w:bCs/>
          <w:sz w:val="21"/>
          <w:szCs w:val="21"/>
        </w:rPr>
        <w:t xml:space="preserve">Reproducibility. </w:t>
      </w:r>
      <w:r>
        <w:rPr>
          <w:sz w:val="21"/>
          <w:szCs w:val="21"/>
        </w:rPr>
        <w:t xml:space="preserve">All prompts, pre-registered constants, run manifests, and scored records are in the repository; analyze.py regenerates every number above from the committed .jsonl run files.</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c90676506d45ff1bcb99441c2bcef4ff9699fe.png"/><Relationship Id="rId8" Type="http://schemas.openxmlformats.org/officeDocument/2006/relationships/image" Target="media/bd4d6dfe32a53059b4c320834b120b8b86353b2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2026-08-06T03:47:43.690Z</dcterms:created>
  <dcterms:modified xsi:type="dcterms:W3CDTF">2026-08-06T03:47:43.695Z</dcterms:modified>
</cp:coreProperties>
</file>

<file path=docProps/custom.xml><?xml version="1.0" encoding="utf-8"?>
<Properties xmlns="http://schemas.openxmlformats.org/officeDocument/2006/custom-properties" xmlns:vt="http://schemas.openxmlformats.org/officeDocument/2006/docPropsVTypes"/>
</file>