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sz w:val="48"/>
          <w:szCs w:val="48"/>
          <w:lang w:val="en-US"/>
        </w:rPr>
      </w:pPr>
    </w:p>
    <w:p w:rsidR="003E7111" w:rsidRDefault="00451D09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sz w:val="48"/>
          <w:szCs w:val="48"/>
          <w:lang w:val="en-US"/>
        </w:rPr>
      </w:pPr>
      <w:r>
        <w:rPr>
          <w:rFonts w:ascii="黑体" w:eastAsia="黑体" w:hint="eastAsia"/>
          <w:sz w:val="48"/>
          <w:szCs w:val="48"/>
          <w:lang w:val="en-US"/>
        </w:rPr>
        <w:t>招商银行业</w:t>
      </w:r>
      <w:proofErr w:type="gramStart"/>
      <w:r>
        <w:rPr>
          <w:rFonts w:ascii="黑体" w:eastAsia="黑体" w:hint="eastAsia"/>
          <w:sz w:val="48"/>
          <w:szCs w:val="48"/>
          <w:lang w:val="en-US"/>
        </w:rPr>
        <w:t>务需</w:t>
      </w:r>
      <w:proofErr w:type="gramEnd"/>
      <w:r>
        <w:rPr>
          <w:rFonts w:ascii="黑体" w:eastAsia="黑体" w:hint="eastAsia"/>
          <w:sz w:val="48"/>
          <w:szCs w:val="48"/>
          <w:lang w:val="en-US"/>
        </w:rPr>
        <w:t>求说明书</w:t>
      </w:r>
    </w:p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tbl>
      <w:tblPr>
        <w:tblW w:w="692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636"/>
        <w:gridCol w:w="1636"/>
        <w:gridCol w:w="1636"/>
      </w:tblGrid>
      <w:tr w:rsidR="003E7111">
        <w:trPr>
          <w:cantSplit/>
          <w:trHeight w:val="425"/>
          <w:jc w:val="center"/>
        </w:trPr>
        <w:tc>
          <w:tcPr>
            <w:tcW w:w="2019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需求名称</w:t>
            </w:r>
          </w:p>
        </w:tc>
        <w:tc>
          <w:tcPr>
            <w:tcW w:w="4908" w:type="dxa"/>
            <w:gridSpan w:val="3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江苏省铁路集团有限公司融资管理平台融资报表需求说明书.doc</w:t>
            </w:r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需求类型</w:t>
            </w:r>
          </w:p>
        </w:tc>
        <w:tc>
          <w:tcPr>
            <w:tcW w:w="4908" w:type="dxa"/>
            <w:gridSpan w:val="3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ascii="仿宋_GB2312" w:eastAsia="仿宋_GB2312" w:hint="eastAsia"/>
                <w:szCs w:val="21"/>
              </w:rPr>
              <w:t>新业务系统</w:t>
            </w: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ascii="仿宋_GB2312" w:eastAsia="仿宋_GB2312" w:hint="eastAsia"/>
                <w:szCs w:val="21"/>
              </w:rPr>
              <w:t>功能改进</w:t>
            </w:r>
            <w:r>
              <w:rPr>
                <w:rFonts w:ascii="仿宋_GB2312" w:eastAsia="仿宋_GB2312" w:hint="eastAsia"/>
                <w:szCs w:val="21"/>
              </w:rPr>
              <w:sym w:font="Wingdings" w:char="F071"/>
            </w:r>
            <w:r>
              <w:rPr>
                <w:rFonts w:ascii="仿宋_GB2312" w:eastAsia="仿宋_GB2312" w:hint="eastAsia"/>
                <w:szCs w:val="21"/>
              </w:rPr>
              <w:t xml:space="preserve">故障问题 </w:t>
            </w:r>
            <w:r>
              <w:rPr>
                <w:rFonts w:ascii="仿宋_GB2312" w:eastAsia="仿宋_GB2312" w:hint="eastAsia"/>
                <w:szCs w:val="21"/>
              </w:rPr>
              <w:sym w:font="Wingdings" w:char="F071"/>
            </w:r>
            <w:r>
              <w:rPr>
                <w:rFonts w:ascii="仿宋_GB2312" w:eastAsia="仿宋_GB2312" w:hint="eastAsia"/>
                <w:szCs w:val="21"/>
              </w:rPr>
              <w:t xml:space="preserve">咨询评估 </w:t>
            </w:r>
            <w:r>
              <w:rPr>
                <w:rFonts w:ascii="仿宋_GB2312" w:eastAsia="仿宋_GB2312" w:hint="eastAsia"/>
                <w:szCs w:val="21"/>
              </w:rPr>
              <w:sym w:font="Wingdings" w:char="F071"/>
            </w:r>
            <w:r>
              <w:rPr>
                <w:rFonts w:ascii="仿宋_GB2312" w:eastAsia="仿宋_GB2312" w:hint="eastAsia"/>
                <w:szCs w:val="21"/>
              </w:rPr>
              <w:t>其它</w:t>
            </w:r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监管需求</w:t>
            </w:r>
          </w:p>
        </w:tc>
        <w:tc>
          <w:tcPr>
            <w:tcW w:w="4908" w:type="dxa"/>
            <w:gridSpan w:val="3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hint="eastAsia"/>
                <w:szCs w:val="21"/>
              </w:rPr>
              <w:t xml:space="preserve"> 是            </w:t>
            </w: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hint="eastAsia"/>
                <w:szCs w:val="21"/>
              </w:rPr>
              <w:t xml:space="preserve"> 否</w:t>
            </w:r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年度需求</w:t>
            </w:r>
          </w:p>
        </w:tc>
        <w:tc>
          <w:tcPr>
            <w:tcW w:w="4908" w:type="dxa"/>
            <w:gridSpan w:val="3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hint="eastAsia"/>
                <w:szCs w:val="21"/>
              </w:rPr>
              <w:t xml:space="preserve"> 是            </w:t>
            </w:r>
            <w:r>
              <w:rPr>
                <w:rFonts w:hint="eastAsia"/>
                <w:szCs w:val="21"/>
              </w:rPr>
              <w:sym w:font="Wingdings" w:char="F071"/>
            </w:r>
            <w:r>
              <w:rPr>
                <w:rFonts w:hint="eastAsia"/>
                <w:szCs w:val="21"/>
              </w:rPr>
              <w:t xml:space="preserve"> 否</w:t>
            </w:r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申请部门</w:t>
            </w:r>
          </w:p>
        </w:tc>
        <w:tc>
          <w:tcPr>
            <w:tcW w:w="1636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战略客户部</w:t>
            </w:r>
          </w:p>
        </w:tc>
        <w:tc>
          <w:tcPr>
            <w:tcW w:w="1636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业务联系人</w:t>
            </w:r>
          </w:p>
        </w:tc>
        <w:tc>
          <w:tcPr>
            <w:tcW w:w="1636" w:type="dxa"/>
          </w:tcPr>
          <w:p w:rsidR="003E7111" w:rsidRDefault="00451D09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羊盛</w:t>
            </w:r>
            <w:proofErr w:type="gramEnd"/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  <w:vAlign w:val="center"/>
          </w:tcPr>
          <w:p w:rsidR="003E7111" w:rsidRDefault="00451D09" w:rsidP="00897956">
            <w:pPr>
              <w:pStyle w:val="a3"/>
              <w:spacing w:beforeLines="40" w:before="124" w:afterLines="40" w:after="124" w:line="40" w:lineRule="atLeast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信息办联系人</w:t>
            </w:r>
          </w:p>
        </w:tc>
        <w:tc>
          <w:tcPr>
            <w:tcW w:w="4908" w:type="dxa"/>
            <w:gridSpan w:val="3"/>
          </w:tcPr>
          <w:p w:rsidR="003E7111" w:rsidRDefault="003E7111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</w:p>
        </w:tc>
      </w:tr>
      <w:tr w:rsidR="003E7111">
        <w:trPr>
          <w:cantSplit/>
          <w:trHeight w:val="425"/>
          <w:jc w:val="center"/>
        </w:trPr>
        <w:tc>
          <w:tcPr>
            <w:tcW w:w="2019" w:type="dxa"/>
            <w:vAlign w:val="center"/>
          </w:tcPr>
          <w:p w:rsidR="003E7111" w:rsidRDefault="00451D09" w:rsidP="00897956">
            <w:pPr>
              <w:pStyle w:val="a3"/>
              <w:spacing w:beforeLines="40" w:before="124" w:afterLines="40" w:after="124" w:line="40" w:lineRule="atLeast"/>
              <w:ind w:firstLineChars="3" w:firstLine="6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其它说明</w:t>
            </w:r>
          </w:p>
        </w:tc>
        <w:tc>
          <w:tcPr>
            <w:tcW w:w="4908" w:type="dxa"/>
            <w:gridSpan w:val="3"/>
          </w:tcPr>
          <w:p w:rsidR="003E7111" w:rsidRDefault="003E7111" w:rsidP="00897956">
            <w:pPr>
              <w:pStyle w:val="a3"/>
              <w:spacing w:beforeLines="40" w:before="124" w:afterLines="40" w:after="124"/>
              <w:ind w:firstLineChars="0" w:firstLine="0"/>
              <w:rPr>
                <w:szCs w:val="21"/>
              </w:rPr>
            </w:pPr>
          </w:p>
        </w:tc>
      </w:tr>
    </w:tbl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p w:rsidR="003E7111" w:rsidRDefault="00451D09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Theme="minorEastAsia" w:eastAsiaTheme="minorEastAsia" w:hAnsiTheme="minorEastAsia"/>
          <w:b w:val="0"/>
          <w:sz w:val="24"/>
          <w:szCs w:val="24"/>
          <w:lang w:val="en-US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  <w:lang w:val="en-US"/>
        </w:rPr>
        <w:t>需求方：江苏省铁路集团有限公司</w:t>
      </w:r>
    </w:p>
    <w:p w:rsidR="003E7111" w:rsidRDefault="00451D09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Theme="minorEastAsia" w:eastAsiaTheme="minorEastAsia" w:hAnsiTheme="minorEastAsia"/>
          <w:b w:val="0"/>
          <w:sz w:val="24"/>
          <w:szCs w:val="24"/>
          <w:lang w:val="en-US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  <w:lang w:val="en-US"/>
        </w:rPr>
        <w:t>201</w:t>
      </w:r>
      <w:r>
        <w:rPr>
          <w:rFonts w:asciiTheme="minorEastAsia" w:eastAsiaTheme="minorEastAsia" w:hAnsiTheme="minorEastAsia"/>
          <w:b w:val="0"/>
          <w:sz w:val="24"/>
          <w:szCs w:val="24"/>
          <w:lang w:val="en-US"/>
        </w:rPr>
        <w:t>9</w:t>
      </w:r>
      <w:r>
        <w:rPr>
          <w:rFonts w:asciiTheme="minorEastAsia" w:eastAsiaTheme="minorEastAsia" w:hAnsiTheme="minorEastAsia" w:hint="eastAsia"/>
          <w:b w:val="0"/>
          <w:sz w:val="24"/>
          <w:szCs w:val="24"/>
          <w:lang w:val="en-US"/>
        </w:rPr>
        <w:t>年11月10日</w:t>
      </w:r>
    </w:p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p w:rsidR="003E7111" w:rsidRDefault="003E7111" w:rsidP="00897956">
      <w:pPr>
        <w:pStyle w:val="af7"/>
        <w:widowControl w:val="0"/>
        <w:spacing w:beforeLines="50" w:before="156" w:afterLines="50" w:after="156"/>
        <w:ind w:left="0"/>
        <w:jc w:val="center"/>
        <w:rPr>
          <w:rFonts w:ascii="黑体" w:eastAsia="黑体"/>
          <w:lang w:val="en-US"/>
        </w:rPr>
      </w:pPr>
    </w:p>
    <w:p w:rsidR="003E7111" w:rsidRDefault="00451D09">
      <w:pPr>
        <w:spacing w:before="50" w:after="50"/>
      </w:pPr>
      <w:r>
        <w:br w:type="page"/>
      </w:r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414"/>
        <w:gridCol w:w="2086"/>
        <w:gridCol w:w="900"/>
        <w:gridCol w:w="1090"/>
        <w:gridCol w:w="2190"/>
      </w:tblGrid>
      <w:tr w:rsidR="003E7111">
        <w:trPr>
          <w:trHeight w:val="600"/>
          <w:jc w:val="center"/>
        </w:trPr>
        <w:tc>
          <w:tcPr>
            <w:tcW w:w="9400" w:type="dxa"/>
            <w:gridSpan w:val="6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修订历史</w:t>
            </w:r>
          </w:p>
        </w:tc>
      </w:tr>
      <w:tr w:rsidR="003E7111">
        <w:trPr>
          <w:trHeight w:val="600"/>
          <w:jc w:val="center"/>
        </w:trPr>
        <w:tc>
          <w:tcPr>
            <w:tcW w:w="720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2414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086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描述</w:t>
            </w:r>
          </w:p>
        </w:tc>
        <w:tc>
          <w:tcPr>
            <w:tcW w:w="900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版本</w:t>
            </w:r>
          </w:p>
        </w:tc>
        <w:tc>
          <w:tcPr>
            <w:tcW w:w="1090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作者</w:t>
            </w:r>
          </w:p>
        </w:tc>
        <w:tc>
          <w:tcPr>
            <w:tcW w:w="2190" w:type="dxa"/>
            <w:vAlign w:val="center"/>
          </w:tcPr>
          <w:p w:rsidR="003E7111" w:rsidRDefault="00451D09">
            <w:pPr>
              <w:spacing w:before="50" w:after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</w:t>
            </w:r>
          </w:p>
        </w:tc>
      </w:tr>
      <w:tr w:rsidR="003E7111">
        <w:trPr>
          <w:trHeight w:val="396"/>
          <w:jc w:val="center"/>
        </w:trPr>
        <w:tc>
          <w:tcPr>
            <w:tcW w:w="720" w:type="dxa"/>
            <w:vAlign w:val="center"/>
          </w:tcPr>
          <w:p w:rsidR="003E7111" w:rsidRDefault="00451D09">
            <w:pPr>
              <w:spacing w:before="50" w:after="5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414" w:type="dxa"/>
            <w:vAlign w:val="center"/>
          </w:tcPr>
          <w:p w:rsidR="003E7111" w:rsidRDefault="00451D09" w:rsidP="00451D09">
            <w:pPr>
              <w:spacing w:before="50" w:after="5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9</w:t>
            </w:r>
            <w:r>
              <w:rPr>
                <w:rFonts w:ascii="Arial" w:hAnsi="宋体" w:cs="Arial" w:hint="eastAsia"/>
                <w:szCs w:val="21"/>
              </w:rPr>
              <w:t>-11-10</w:t>
            </w:r>
          </w:p>
        </w:tc>
        <w:tc>
          <w:tcPr>
            <w:tcW w:w="2086" w:type="dxa"/>
            <w:vAlign w:val="center"/>
          </w:tcPr>
          <w:p w:rsidR="003E7111" w:rsidRDefault="00451D09">
            <w:pPr>
              <w:spacing w:before="50" w:after="50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创建</w:t>
            </w:r>
          </w:p>
        </w:tc>
        <w:tc>
          <w:tcPr>
            <w:tcW w:w="900" w:type="dxa"/>
            <w:vAlign w:val="center"/>
          </w:tcPr>
          <w:p w:rsidR="003E7111" w:rsidRDefault="00451D09">
            <w:pPr>
              <w:spacing w:before="50" w:after="5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V1.0</w:t>
            </w:r>
          </w:p>
        </w:tc>
        <w:tc>
          <w:tcPr>
            <w:tcW w:w="1090" w:type="dxa"/>
            <w:vAlign w:val="center"/>
          </w:tcPr>
          <w:p w:rsidR="003E7111" w:rsidRDefault="00451D09">
            <w:pPr>
              <w:spacing w:before="50" w:after="5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羊盛</w:t>
            </w:r>
            <w:proofErr w:type="gramEnd"/>
          </w:p>
        </w:tc>
        <w:tc>
          <w:tcPr>
            <w:tcW w:w="219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宋体" w:hAnsi="宋体"/>
                <w:sz w:val="24"/>
              </w:rPr>
            </w:pPr>
          </w:p>
        </w:tc>
      </w:tr>
      <w:tr w:rsidR="003E7111">
        <w:trPr>
          <w:trHeight w:val="89"/>
          <w:jc w:val="center"/>
        </w:trPr>
        <w:tc>
          <w:tcPr>
            <w:tcW w:w="720" w:type="dxa"/>
            <w:vAlign w:val="center"/>
          </w:tcPr>
          <w:p w:rsidR="003E7111" w:rsidRDefault="00451D09">
            <w:pPr>
              <w:spacing w:before="50" w:after="50"/>
              <w:jc w:val="left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2</w:t>
            </w:r>
          </w:p>
        </w:tc>
        <w:tc>
          <w:tcPr>
            <w:tcW w:w="2414" w:type="dxa"/>
            <w:vAlign w:val="center"/>
          </w:tcPr>
          <w:p w:rsidR="003E7111" w:rsidRDefault="00D9468A">
            <w:pPr>
              <w:spacing w:before="50" w:after="50"/>
              <w:jc w:val="left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2</w:t>
            </w:r>
            <w:r>
              <w:rPr>
                <w:rFonts w:ascii="Arial" w:hAnsi="宋体" w:cs="Arial"/>
                <w:szCs w:val="21"/>
              </w:rPr>
              <w:t>019-11-21</w:t>
            </w:r>
          </w:p>
        </w:tc>
        <w:tc>
          <w:tcPr>
            <w:tcW w:w="2086" w:type="dxa"/>
            <w:vAlign w:val="center"/>
          </w:tcPr>
          <w:p w:rsidR="003E7111" w:rsidRDefault="00D9468A">
            <w:pPr>
              <w:spacing w:before="50" w:after="50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修改</w:t>
            </w:r>
          </w:p>
        </w:tc>
        <w:tc>
          <w:tcPr>
            <w:tcW w:w="900" w:type="dxa"/>
            <w:vAlign w:val="center"/>
          </w:tcPr>
          <w:p w:rsidR="003E7111" w:rsidRDefault="00D9468A">
            <w:pPr>
              <w:spacing w:before="50" w:after="5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1.1</w:t>
            </w:r>
          </w:p>
        </w:tc>
        <w:tc>
          <w:tcPr>
            <w:tcW w:w="1090" w:type="dxa"/>
            <w:vAlign w:val="center"/>
          </w:tcPr>
          <w:p w:rsidR="003E7111" w:rsidRDefault="00D9468A">
            <w:pPr>
              <w:spacing w:before="50" w:after="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赵璜</w:t>
            </w:r>
          </w:p>
        </w:tc>
        <w:tc>
          <w:tcPr>
            <w:tcW w:w="2190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</w:tr>
      <w:tr w:rsidR="003E7111">
        <w:trPr>
          <w:trHeight w:val="70"/>
          <w:jc w:val="center"/>
        </w:trPr>
        <w:tc>
          <w:tcPr>
            <w:tcW w:w="720" w:type="dxa"/>
            <w:vAlign w:val="center"/>
          </w:tcPr>
          <w:p w:rsidR="003E7111" w:rsidRDefault="00451D09">
            <w:pPr>
              <w:spacing w:before="50" w:after="50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3</w:t>
            </w:r>
          </w:p>
        </w:tc>
        <w:tc>
          <w:tcPr>
            <w:tcW w:w="2414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  <w:tc>
          <w:tcPr>
            <w:tcW w:w="2086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  <w:tc>
          <w:tcPr>
            <w:tcW w:w="1090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3E7111" w:rsidRDefault="003E7111">
            <w:pPr>
              <w:spacing w:before="50" w:after="50"/>
              <w:rPr>
                <w:rFonts w:ascii="Arial" w:hAnsi="宋体" w:cs="Arial"/>
                <w:szCs w:val="21"/>
              </w:rPr>
            </w:pPr>
          </w:p>
        </w:tc>
      </w:tr>
      <w:tr w:rsidR="003E7111">
        <w:trPr>
          <w:trHeight w:val="70"/>
          <w:jc w:val="center"/>
        </w:trPr>
        <w:tc>
          <w:tcPr>
            <w:tcW w:w="72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414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086" w:type="dxa"/>
            <w:vAlign w:val="center"/>
          </w:tcPr>
          <w:p w:rsidR="003E7111" w:rsidRDefault="003E7111">
            <w:pPr>
              <w:spacing w:before="50" w:after="50"/>
              <w:rPr>
                <w:rFonts w:ascii="楷体_GB2312" w:eastAsia="楷体_GB2312"/>
                <w:sz w:val="24"/>
              </w:rPr>
            </w:pPr>
          </w:p>
        </w:tc>
        <w:tc>
          <w:tcPr>
            <w:tcW w:w="900" w:type="dxa"/>
            <w:vAlign w:val="center"/>
          </w:tcPr>
          <w:p w:rsidR="003E7111" w:rsidRDefault="003E7111">
            <w:pPr>
              <w:spacing w:before="50" w:after="50"/>
              <w:rPr>
                <w:rFonts w:ascii="楷体_GB2312" w:eastAsia="楷体_GB2312"/>
                <w:sz w:val="24"/>
              </w:rPr>
            </w:pPr>
          </w:p>
        </w:tc>
        <w:tc>
          <w:tcPr>
            <w:tcW w:w="109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19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3E7111">
        <w:trPr>
          <w:trHeight w:val="70"/>
          <w:jc w:val="center"/>
        </w:trPr>
        <w:tc>
          <w:tcPr>
            <w:tcW w:w="72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414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086" w:type="dxa"/>
            <w:vAlign w:val="center"/>
          </w:tcPr>
          <w:p w:rsidR="003E7111" w:rsidRDefault="003E7111">
            <w:pPr>
              <w:spacing w:before="50" w:after="50"/>
              <w:rPr>
                <w:rFonts w:ascii="楷体_GB2312" w:eastAsia="楷体_GB2312"/>
                <w:sz w:val="24"/>
              </w:rPr>
            </w:pPr>
          </w:p>
        </w:tc>
        <w:tc>
          <w:tcPr>
            <w:tcW w:w="900" w:type="dxa"/>
            <w:vAlign w:val="center"/>
          </w:tcPr>
          <w:p w:rsidR="003E7111" w:rsidRDefault="003E7111">
            <w:pPr>
              <w:spacing w:before="50" w:after="50"/>
              <w:rPr>
                <w:rFonts w:ascii="楷体_GB2312" w:eastAsia="楷体_GB2312"/>
                <w:sz w:val="24"/>
              </w:rPr>
            </w:pPr>
          </w:p>
        </w:tc>
        <w:tc>
          <w:tcPr>
            <w:tcW w:w="109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190" w:type="dxa"/>
            <w:vAlign w:val="center"/>
          </w:tcPr>
          <w:p w:rsidR="003E7111" w:rsidRDefault="003E7111">
            <w:pPr>
              <w:spacing w:before="50" w:after="50"/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3E7111" w:rsidRDefault="003E7111">
      <w:pPr>
        <w:spacing w:before="50" w:after="50"/>
      </w:pPr>
    </w:p>
    <w:p w:rsidR="003E7111" w:rsidRDefault="00451D09">
      <w:pPr>
        <w:spacing w:before="50" w:after="5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>目  录</w:t>
      </w:r>
    </w:p>
    <w:p w:rsidR="00C95ACA" w:rsidRDefault="000E4CA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451D09">
        <w:rPr>
          <w:rFonts w:hint="eastAsia"/>
        </w:rPr>
        <w:instrText>TOC \o "1-5" \h \z \u</w:instrText>
      </w:r>
      <w:r>
        <w:fldChar w:fldCharType="separate"/>
      </w:r>
      <w:hyperlink w:anchor="_Toc24384645" w:history="1">
        <w:r w:rsidR="00C95ACA" w:rsidRPr="007A53E4">
          <w:rPr>
            <w:rStyle w:val="af4"/>
            <w:noProof/>
          </w:rPr>
          <w:t>1.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需求综述</w:t>
        </w:r>
        <w:r w:rsidR="00C95A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46" w:history="1">
        <w:r w:rsidR="00C95ACA" w:rsidRPr="007A53E4">
          <w:rPr>
            <w:rStyle w:val="af4"/>
            <w:noProof/>
          </w:rPr>
          <w:t>1.1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背景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_Toc24384646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5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47" w:history="1">
        <w:r w:rsidR="00C95ACA" w:rsidRPr="007A53E4">
          <w:rPr>
            <w:rStyle w:val="af4"/>
            <w:noProof/>
          </w:rPr>
          <w:t>1.2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目标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_Toc24384647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5</w:t>
        </w:r>
        <w:r w:rsidR="000E4CA6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48" w:history="1">
        <w:r w:rsidR="00C95ACA" w:rsidRPr="00C95ACA">
          <w:rPr>
            <w:rStyle w:val="af4"/>
            <w:noProof/>
            <w:color w:val="auto"/>
          </w:rPr>
          <w:t>1.3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相关方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_Toc24384648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5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49" w:history="1">
        <w:r w:rsidR="00C95ACA" w:rsidRPr="00C95ACA">
          <w:rPr>
            <w:rStyle w:val="af4"/>
            <w:noProof/>
            <w:color w:val="auto"/>
          </w:rPr>
          <w:t>2.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业务功能定义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_Toc24384649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5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1" w:history="1">
        <w:r w:rsidR="00C95ACA" w:rsidRPr="00C95ACA">
          <w:rPr>
            <w:rStyle w:val="af4"/>
            <w:noProof/>
            <w:color w:val="auto"/>
          </w:rPr>
          <w:t>2.1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授信明细表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_Toc24384651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5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2" w:history="1">
        <w:r w:rsidR="00C95ACA" w:rsidRPr="00C95ACA">
          <w:rPr>
            <w:rStyle w:val="af4"/>
            <w:noProof/>
            <w:color w:val="auto"/>
          </w:rPr>
          <w:t>2.1.1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业务功能说明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_Toc24384652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5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3" w:history="1">
        <w:r w:rsidR="00C95ACA" w:rsidRPr="00C95ACA">
          <w:rPr>
            <w:rStyle w:val="af4"/>
            <w:noProof/>
            <w:color w:val="auto"/>
          </w:rPr>
          <w:t>2.1.2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业务流程描述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_Toc24384653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6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4" w:history="1">
        <w:r w:rsidR="00C95ACA" w:rsidRPr="00C95ACA">
          <w:rPr>
            <w:rStyle w:val="af4"/>
            <w:noProof/>
            <w:color w:val="auto"/>
          </w:rPr>
          <w:t>2.1.3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业务要素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_Toc24384654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6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5" w:history="1">
        <w:r w:rsidR="00C95ACA" w:rsidRPr="00C95ACA">
          <w:rPr>
            <w:rStyle w:val="af4"/>
            <w:noProof/>
            <w:color w:val="auto"/>
          </w:rPr>
          <w:t>2.1.4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业务规则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_Toc24384655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6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6" w:history="1">
        <w:r w:rsidR="00C95ACA" w:rsidRPr="00C95ACA">
          <w:rPr>
            <w:rStyle w:val="af4"/>
            <w:noProof/>
            <w:color w:val="auto"/>
          </w:rPr>
          <w:t>2.2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付息债务明细台账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_Toc24384656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7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7" w:history="1">
        <w:r w:rsidR="00C95ACA" w:rsidRPr="00C95ACA">
          <w:rPr>
            <w:rStyle w:val="af4"/>
            <w:noProof/>
            <w:color w:val="auto"/>
          </w:rPr>
          <w:t>2.2.1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_Toc24384657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7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8" w:history="1">
        <w:r w:rsidR="00C95ACA" w:rsidRPr="00C95ACA">
          <w:rPr>
            <w:rStyle w:val="af4"/>
            <w:noProof/>
            <w:color w:val="auto"/>
          </w:rPr>
          <w:t>2.2.2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业务流程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_Toc24384658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7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59" w:history="1">
        <w:r w:rsidR="00C95ACA" w:rsidRPr="00C95ACA">
          <w:rPr>
            <w:rStyle w:val="af4"/>
            <w:noProof/>
            <w:color w:val="auto"/>
          </w:rPr>
          <w:t>2.2.3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业务要素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_Toc24384659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8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0" w:history="1">
        <w:r w:rsidR="00C95ACA" w:rsidRPr="00C95ACA">
          <w:rPr>
            <w:rStyle w:val="af4"/>
            <w:noProof/>
            <w:color w:val="auto"/>
          </w:rPr>
          <w:t>2.2.4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业务规则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_Toc24384660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8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1" w:history="1">
        <w:r w:rsidR="00C95ACA" w:rsidRPr="00C95ACA">
          <w:rPr>
            <w:rStyle w:val="af4"/>
            <w:noProof/>
            <w:color w:val="auto"/>
          </w:rPr>
          <w:t>2.3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债务期限结构分析表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_Toc24384661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8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2" w:history="1">
        <w:r w:rsidR="00C95ACA" w:rsidRPr="00C95ACA">
          <w:rPr>
            <w:rStyle w:val="af4"/>
            <w:noProof/>
            <w:color w:val="auto"/>
          </w:rPr>
          <w:t>2.3.1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_Toc24384662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8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3" w:history="1">
        <w:r w:rsidR="00C95ACA" w:rsidRPr="00C95ACA">
          <w:rPr>
            <w:rStyle w:val="af4"/>
            <w:noProof/>
            <w:color w:val="auto"/>
          </w:rPr>
          <w:t>2.3.2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业务流程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_Toc24384663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9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4" w:history="1">
        <w:r w:rsidR="00C95ACA" w:rsidRPr="00C95ACA">
          <w:rPr>
            <w:rStyle w:val="af4"/>
            <w:noProof/>
            <w:color w:val="auto"/>
          </w:rPr>
          <w:t>2.3.3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业务要素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_Toc24384664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9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5" w:history="1">
        <w:r w:rsidR="00C95ACA" w:rsidRPr="00C95ACA">
          <w:rPr>
            <w:rStyle w:val="af4"/>
            <w:noProof/>
            <w:color w:val="auto"/>
          </w:rPr>
          <w:t>2.3.4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业务规则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_Toc24384665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9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6" w:history="1">
        <w:r w:rsidR="00C95ACA" w:rsidRPr="00C95ACA">
          <w:rPr>
            <w:rStyle w:val="af4"/>
            <w:noProof/>
            <w:color w:val="auto"/>
          </w:rPr>
          <w:t>2.4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融资成本分析表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_Toc24384666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10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7" w:history="1">
        <w:r w:rsidR="00C95ACA" w:rsidRPr="00C95ACA">
          <w:rPr>
            <w:rStyle w:val="af4"/>
            <w:noProof/>
            <w:color w:val="auto"/>
          </w:rPr>
          <w:t>2.4.1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_Toc24384667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10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8" w:history="1">
        <w:r w:rsidR="00C95ACA" w:rsidRPr="00C95ACA">
          <w:rPr>
            <w:rStyle w:val="af4"/>
            <w:noProof/>
            <w:color w:val="auto"/>
          </w:rPr>
          <w:t>2.4.2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业务流程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_Toc24384668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11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69" w:history="1">
        <w:r w:rsidR="00C95ACA" w:rsidRPr="00C95ACA">
          <w:rPr>
            <w:rStyle w:val="af4"/>
            <w:noProof/>
            <w:color w:val="auto"/>
          </w:rPr>
          <w:t>2.4.3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业务要素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_Toc24384669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11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0" w:history="1">
        <w:r w:rsidR="00C95ACA" w:rsidRPr="00C95ACA">
          <w:rPr>
            <w:rStyle w:val="af4"/>
            <w:noProof/>
            <w:color w:val="auto"/>
          </w:rPr>
          <w:t>2.4.4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业务规则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_Toc24384670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11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1" w:history="1">
        <w:r w:rsidR="00C95ACA" w:rsidRPr="00C95ACA">
          <w:rPr>
            <w:rStyle w:val="af4"/>
            <w:noProof/>
            <w:color w:val="auto"/>
          </w:rPr>
          <w:t>2.5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金融机构贷款分析表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_Toc24384671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12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2" w:history="1">
        <w:r w:rsidR="00C95ACA" w:rsidRPr="00C95ACA">
          <w:rPr>
            <w:rStyle w:val="af4"/>
            <w:noProof/>
            <w:color w:val="auto"/>
          </w:rPr>
          <w:t>2.5.1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业务功能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_Toc24384672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12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3" w:history="1">
        <w:r w:rsidR="00C95ACA" w:rsidRPr="00C95ACA">
          <w:rPr>
            <w:rStyle w:val="af4"/>
            <w:noProof/>
            <w:color w:val="auto"/>
          </w:rPr>
          <w:t>2.5.2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业务流程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_Toc24384673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12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P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4" w:history="1">
        <w:r w:rsidR="00C95ACA" w:rsidRPr="00C95ACA">
          <w:rPr>
            <w:rStyle w:val="af4"/>
            <w:noProof/>
            <w:color w:val="auto"/>
          </w:rPr>
          <w:t>2.5.3</w:t>
        </w:r>
        <w:r w:rsidR="00C95ACA" w:rsidRP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C95ACA">
          <w:rPr>
            <w:rStyle w:val="af4"/>
            <w:rFonts w:hint="eastAsia"/>
            <w:noProof/>
            <w:color w:val="auto"/>
          </w:rPr>
          <w:t>业务要素</w:t>
        </w:r>
        <w:r w:rsidR="00C95ACA" w:rsidRPr="00C95ACA">
          <w:rPr>
            <w:noProof/>
            <w:webHidden/>
          </w:rPr>
          <w:tab/>
        </w:r>
        <w:r w:rsidR="000E4CA6" w:rsidRPr="00C95ACA">
          <w:rPr>
            <w:noProof/>
            <w:webHidden/>
          </w:rPr>
          <w:fldChar w:fldCharType="begin"/>
        </w:r>
        <w:r w:rsidR="00C95ACA" w:rsidRPr="00C95ACA">
          <w:rPr>
            <w:noProof/>
            <w:webHidden/>
          </w:rPr>
          <w:instrText xml:space="preserve"> PAGEREF _Toc24384674 \h </w:instrText>
        </w:r>
        <w:r w:rsidR="000E4CA6" w:rsidRPr="00C95ACA">
          <w:rPr>
            <w:noProof/>
            <w:webHidden/>
          </w:rPr>
        </w:r>
        <w:r w:rsidR="000E4CA6" w:rsidRPr="00C95ACA">
          <w:rPr>
            <w:noProof/>
            <w:webHidden/>
          </w:rPr>
          <w:fldChar w:fldCharType="separate"/>
        </w:r>
        <w:r w:rsidR="00C95ACA" w:rsidRPr="00C95ACA">
          <w:rPr>
            <w:noProof/>
            <w:webHidden/>
          </w:rPr>
          <w:t>12</w:t>
        </w:r>
        <w:r w:rsidR="000E4CA6" w:rsidRPr="00C95ACA">
          <w:rPr>
            <w:noProof/>
            <w:webHidden/>
          </w:rPr>
          <w:fldChar w:fldCharType="end"/>
        </w:r>
      </w:hyperlink>
    </w:p>
    <w:p w:rsidR="00C95ACA" w:rsidRDefault="00B847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5" w:history="1">
        <w:r w:rsidR="00C95ACA" w:rsidRPr="007A53E4">
          <w:rPr>
            <w:rStyle w:val="af4"/>
            <w:noProof/>
          </w:rPr>
          <w:t>2.5.4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业务规则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_Toc24384675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76" w:history="1">
        <w:r w:rsidR="00C95ACA" w:rsidRPr="007A53E4">
          <w:rPr>
            <w:rStyle w:val="af4"/>
            <w:noProof/>
          </w:rPr>
          <w:t>3.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业务报表定义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_Toc24384676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77" w:history="1">
        <w:r w:rsidR="00C95ACA" w:rsidRPr="007A53E4">
          <w:rPr>
            <w:rStyle w:val="af4"/>
            <w:noProof/>
          </w:rPr>
          <w:t>4.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数据标准定义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_Toc24384677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78" w:history="1">
        <w:r w:rsidR="00C95ACA" w:rsidRPr="007A53E4">
          <w:rPr>
            <w:rStyle w:val="af4"/>
            <w:noProof/>
          </w:rPr>
          <w:t>5.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其它要求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_Toc24384678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79" w:history="1">
        <w:r w:rsidR="00C95ACA" w:rsidRPr="007A53E4">
          <w:rPr>
            <w:rStyle w:val="af4"/>
            <w:noProof/>
          </w:rPr>
          <w:t>5.3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安全性要求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_Toc24384679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80" w:history="1">
        <w:r w:rsidR="00C95ACA" w:rsidRPr="007A53E4">
          <w:rPr>
            <w:rStyle w:val="af4"/>
            <w:noProof/>
          </w:rPr>
          <w:t>5.4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性能要求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_Toc24384680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81" w:history="1">
        <w:r w:rsidR="00C95ACA" w:rsidRPr="007A53E4">
          <w:rPr>
            <w:rStyle w:val="af4"/>
            <w:noProof/>
          </w:rPr>
          <w:t>5.5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易用性要求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_Toc24384681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82" w:history="1">
        <w:r w:rsidR="00C95ACA" w:rsidRPr="007A53E4">
          <w:rPr>
            <w:rStyle w:val="af4"/>
            <w:noProof/>
          </w:rPr>
          <w:t>5.6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可扩展性要求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_Toc24384682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384683" w:history="1">
        <w:r w:rsidR="00C95ACA" w:rsidRPr="007A53E4">
          <w:rPr>
            <w:rStyle w:val="af4"/>
            <w:noProof/>
          </w:rPr>
          <w:t>5.7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其它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_Toc24384683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84" w:history="1">
        <w:r w:rsidR="00C95ACA" w:rsidRPr="007A53E4">
          <w:rPr>
            <w:rStyle w:val="af4"/>
            <w:noProof/>
          </w:rPr>
          <w:t>6.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实施策略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_Toc24384684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85" w:history="1">
        <w:r w:rsidR="00C95ACA" w:rsidRPr="007A53E4">
          <w:rPr>
            <w:rStyle w:val="af4"/>
            <w:noProof/>
          </w:rPr>
          <w:t>7.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风险分析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_Toc24384685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13</w:t>
        </w:r>
        <w:r w:rsidR="000E4CA6">
          <w:rPr>
            <w:noProof/>
            <w:webHidden/>
          </w:rPr>
          <w:fldChar w:fldCharType="end"/>
        </w:r>
      </w:hyperlink>
    </w:p>
    <w:p w:rsidR="00C95ACA" w:rsidRDefault="00B847C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4384686" w:history="1">
        <w:r w:rsidR="00C95ACA" w:rsidRPr="007A53E4">
          <w:rPr>
            <w:rStyle w:val="af4"/>
            <w:noProof/>
          </w:rPr>
          <w:t>8.</w:t>
        </w:r>
        <w:r w:rsidR="00C95AC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5ACA" w:rsidRPr="007A53E4">
          <w:rPr>
            <w:rStyle w:val="af4"/>
            <w:rFonts w:hint="eastAsia"/>
            <w:noProof/>
          </w:rPr>
          <w:t>其它说明</w:t>
        </w:r>
        <w:r w:rsidR="00C95ACA">
          <w:rPr>
            <w:noProof/>
            <w:webHidden/>
          </w:rPr>
          <w:tab/>
        </w:r>
        <w:r w:rsidR="000E4CA6">
          <w:rPr>
            <w:noProof/>
            <w:webHidden/>
          </w:rPr>
          <w:fldChar w:fldCharType="begin"/>
        </w:r>
        <w:r w:rsidR="00C95ACA">
          <w:rPr>
            <w:noProof/>
            <w:webHidden/>
          </w:rPr>
          <w:instrText xml:space="preserve"> PAGEREF _Toc24384686 \h </w:instrText>
        </w:r>
        <w:r w:rsidR="000E4CA6">
          <w:rPr>
            <w:noProof/>
            <w:webHidden/>
          </w:rPr>
        </w:r>
        <w:r w:rsidR="000E4CA6">
          <w:rPr>
            <w:noProof/>
            <w:webHidden/>
          </w:rPr>
          <w:fldChar w:fldCharType="separate"/>
        </w:r>
        <w:r w:rsidR="00C95ACA">
          <w:rPr>
            <w:noProof/>
            <w:webHidden/>
          </w:rPr>
          <w:t>14</w:t>
        </w:r>
        <w:r w:rsidR="000E4CA6">
          <w:rPr>
            <w:noProof/>
            <w:webHidden/>
          </w:rPr>
          <w:fldChar w:fldCharType="end"/>
        </w:r>
      </w:hyperlink>
    </w:p>
    <w:p w:rsidR="003E7111" w:rsidRDefault="000E4CA6">
      <w:pPr>
        <w:spacing w:before="50" w:after="50"/>
        <w:sectPr w:rsidR="003E7111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AndChars" w:linePitch="312"/>
        </w:sectPr>
      </w:pPr>
      <w:r>
        <w:fldChar w:fldCharType="end"/>
      </w: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0" w:name="_Toc24384645"/>
      <w:r>
        <w:rPr>
          <w:rFonts w:hint="eastAsia"/>
        </w:rPr>
        <w:lastRenderedPageBreak/>
        <w:t>需求综述</w:t>
      </w:r>
      <w:bookmarkEnd w:id="0"/>
    </w:p>
    <w:p w:rsidR="003E7111" w:rsidRDefault="00451D09">
      <w:pPr>
        <w:pStyle w:val="2"/>
        <w:spacing w:before="50" w:after="50"/>
      </w:pPr>
      <w:bookmarkStart w:id="1" w:name="_Toc24384646"/>
      <w:r>
        <w:rPr>
          <w:rFonts w:hint="eastAsia"/>
        </w:rPr>
        <w:t>背景</w:t>
      </w:r>
      <w:bookmarkEnd w:id="1"/>
    </w:p>
    <w:p w:rsidR="003E7111" w:rsidRDefault="00451D09">
      <w:pPr>
        <w:spacing w:line="360" w:lineRule="auto"/>
        <w:ind w:firstLineChars="200" w:firstLine="420"/>
      </w:pPr>
      <w:r>
        <w:rPr>
          <w:rFonts w:hint="eastAsia"/>
        </w:rPr>
        <w:t>目前开发团队已经就融资管理平台的基础功能进行了开发设计</w:t>
      </w:r>
      <w:r>
        <w:t>，主要功能是</w:t>
      </w:r>
      <w:r>
        <w:rPr>
          <w:rFonts w:hint="eastAsia"/>
        </w:rPr>
        <w:t>为</w:t>
      </w:r>
      <w:r>
        <w:t>实现</w:t>
      </w:r>
      <w:r>
        <w:rPr>
          <w:rFonts w:hint="eastAsia"/>
        </w:rPr>
        <w:t>企业借款情况的录入系统及利息计算，本次开发是对企业借款情况的归纳整理成为报表，便于查询企业在</w:t>
      </w:r>
      <w:r>
        <w:t>外部银行的</w:t>
      </w:r>
      <w:r>
        <w:rPr>
          <w:rFonts w:hint="eastAsia"/>
        </w:rPr>
        <w:t>借款等财务整体情况，</w:t>
      </w:r>
      <w:r>
        <w:t>便于对</w:t>
      </w:r>
      <w:r>
        <w:rPr>
          <w:rFonts w:hint="eastAsia"/>
        </w:rPr>
        <w:t>集团</w:t>
      </w:r>
      <w:r>
        <w:t>整体的融资</w:t>
      </w:r>
      <w:r>
        <w:rPr>
          <w:rFonts w:hint="eastAsia"/>
        </w:rPr>
        <w:t>情况和</w:t>
      </w:r>
      <w:r>
        <w:t>融资成本</w:t>
      </w:r>
      <w:r>
        <w:rPr>
          <w:rFonts w:hint="eastAsia"/>
        </w:rPr>
        <w:t>进行</w:t>
      </w:r>
      <w:r>
        <w:t>核算</w:t>
      </w:r>
      <w:r>
        <w:rPr>
          <w:rFonts w:hint="eastAsia"/>
        </w:rPr>
        <w:t>，提升</w:t>
      </w:r>
      <w:r>
        <w:t>集团管理的精细化程度</w:t>
      </w:r>
      <w:r>
        <w:rPr>
          <w:rFonts w:hint="eastAsia"/>
        </w:rPr>
        <w:t>。</w:t>
      </w:r>
    </w:p>
    <w:p w:rsidR="003E7111" w:rsidRDefault="00451D09">
      <w:pPr>
        <w:pStyle w:val="2"/>
        <w:spacing w:before="50" w:after="50"/>
      </w:pPr>
      <w:bookmarkStart w:id="2" w:name="_Toc24384647"/>
      <w:r>
        <w:rPr>
          <w:rFonts w:hint="eastAsia"/>
        </w:rPr>
        <w:t>目标</w:t>
      </w:r>
      <w:bookmarkEnd w:id="2"/>
    </w:p>
    <w:p w:rsidR="003E7111" w:rsidRDefault="00451D09">
      <w:pPr>
        <w:spacing w:before="50" w:after="50"/>
        <w:ind w:firstLineChars="200" w:firstLine="420"/>
      </w:pPr>
      <w:r>
        <w:rPr>
          <w:rFonts w:hint="eastAsia"/>
        </w:rPr>
        <w:t>本次开发的报表集中在报表中心显示，</w:t>
      </w:r>
      <w:r w:rsidRPr="00451D09">
        <w:rPr>
          <w:rFonts w:hint="eastAsia"/>
          <w:highlight w:val="yellow"/>
        </w:rPr>
        <w:t>铁路集团客户端及成员单位客户端均要支持报表中心。</w:t>
      </w:r>
    </w:p>
    <w:p w:rsidR="003E7111" w:rsidRDefault="00451D09">
      <w:pPr>
        <w:pStyle w:val="2"/>
        <w:spacing w:before="50" w:after="50"/>
      </w:pPr>
      <w:bookmarkStart w:id="3" w:name="_Toc24384648"/>
      <w:r>
        <w:rPr>
          <w:rFonts w:hint="eastAsia"/>
        </w:rPr>
        <w:t>相关方</w:t>
      </w:r>
      <w:bookmarkEnd w:id="3"/>
    </w:p>
    <w:p w:rsidR="003E7111" w:rsidRDefault="003E7111">
      <w:pPr>
        <w:spacing w:before="50" w:after="5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70"/>
      </w:tblGrid>
      <w:tr w:rsidR="003E7111">
        <w:tc>
          <w:tcPr>
            <w:tcW w:w="2763" w:type="dxa"/>
          </w:tcPr>
          <w:p w:rsidR="003E7111" w:rsidRDefault="00451D09">
            <w:pPr>
              <w:spacing w:before="50" w:after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相关方</w:t>
            </w:r>
          </w:p>
        </w:tc>
        <w:tc>
          <w:tcPr>
            <w:tcW w:w="2763" w:type="dxa"/>
          </w:tcPr>
          <w:p w:rsidR="003E7111" w:rsidRDefault="00451D09">
            <w:pPr>
              <w:spacing w:before="50" w:after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职责或分工</w:t>
            </w:r>
          </w:p>
        </w:tc>
        <w:tc>
          <w:tcPr>
            <w:tcW w:w="2770" w:type="dxa"/>
          </w:tcPr>
          <w:p w:rsidR="003E7111" w:rsidRDefault="00451D09">
            <w:pPr>
              <w:spacing w:before="50" w:after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3E7111">
        <w:tc>
          <w:tcPr>
            <w:tcW w:w="2763" w:type="dxa"/>
          </w:tcPr>
          <w:p w:rsidR="003E7111" w:rsidRDefault="00451D09">
            <w:pPr>
              <w:spacing w:before="50" w:after="50"/>
            </w:pPr>
            <w:r>
              <w:rPr>
                <w:rFonts w:hint="eastAsia"/>
              </w:rPr>
              <w:t>南京分行战略客户部</w:t>
            </w:r>
          </w:p>
        </w:tc>
        <w:tc>
          <w:tcPr>
            <w:tcW w:w="2763" w:type="dxa"/>
          </w:tcPr>
          <w:p w:rsidR="003E7111" w:rsidRDefault="00451D09">
            <w:pPr>
              <w:spacing w:before="50" w:after="50"/>
            </w:pPr>
            <w:r>
              <w:rPr>
                <w:rFonts w:hint="eastAsia"/>
              </w:rPr>
              <w:t>负责需求整理及测试</w:t>
            </w:r>
          </w:p>
        </w:tc>
        <w:tc>
          <w:tcPr>
            <w:tcW w:w="2770" w:type="dxa"/>
          </w:tcPr>
          <w:p w:rsidR="003E7111" w:rsidRDefault="00451D09">
            <w:pPr>
              <w:spacing w:before="50" w:after="50"/>
            </w:pPr>
            <w:proofErr w:type="gramStart"/>
            <w:r>
              <w:rPr>
                <w:rFonts w:hint="eastAsia"/>
              </w:rPr>
              <w:t>羊盛</w:t>
            </w:r>
            <w:proofErr w:type="gramEnd"/>
          </w:p>
        </w:tc>
      </w:tr>
      <w:tr w:rsidR="003E7111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11" w:rsidRDefault="00451D09">
            <w:pPr>
              <w:spacing w:before="50" w:after="50"/>
            </w:pPr>
            <w:r>
              <w:rPr>
                <w:rFonts w:hint="eastAsia"/>
              </w:rPr>
              <w:t>南京分行信息技术部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11" w:rsidRDefault="00451D09">
            <w:pPr>
              <w:spacing w:before="50" w:after="50"/>
            </w:pPr>
            <w:r>
              <w:rPr>
                <w:rFonts w:hint="eastAsia"/>
              </w:rPr>
              <w:t>负责业务开发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11" w:rsidRDefault="00451D09" w:rsidP="00451D09">
            <w:pPr>
              <w:spacing w:before="50" w:after="50"/>
            </w:pPr>
            <w:r>
              <w:rPr>
                <w:rFonts w:hint="eastAsia"/>
              </w:rPr>
              <w:t>曹曦，赵璜</w:t>
            </w:r>
          </w:p>
        </w:tc>
      </w:tr>
    </w:tbl>
    <w:p w:rsidR="003E7111" w:rsidRDefault="003E7111">
      <w:pPr>
        <w:spacing w:before="50" w:after="50"/>
      </w:pP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4" w:name="_Toc394416499"/>
      <w:bookmarkStart w:id="5" w:name="_Toc24384649"/>
      <w:r>
        <w:rPr>
          <w:rFonts w:hint="eastAsia"/>
        </w:rPr>
        <w:t>业务功能定义</w:t>
      </w:r>
      <w:bookmarkEnd w:id="4"/>
      <w:bookmarkEnd w:id="5"/>
    </w:p>
    <w:p w:rsidR="003E7111" w:rsidRDefault="003E7111">
      <w:pPr>
        <w:pStyle w:val="af8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Arial" w:eastAsia="黑体" w:hAnsi="Arial"/>
          <w:vanish/>
          <w:kern w:val="44"/>
          <w:sz w:val="32"/>
          <w:szCs w:val="44"/>
        </w:rPr>
      </w:pPr>
      <w:bookmarkStart w:id="6" w:name="_Toc18593548"/>
      <w:bookmarkStart w:id="7" w:name="_Toc24384650"/>
      <w:bookmarkStart w:id="8" w:name="_Toc439325077"/>
      <w:bookmarkStart w:id="9" w:name="_Toc394416796"/>
      <w:bookmarkEnd w:id="6"/>
      <w:bookmarkEnd w:id="7"/>
    </w:p>
    <w:p w:rsidR="003E7111" w:rsidRDefault="00451D09">
      <w:pPr>
        <w:pStyle w:val="2"/>
        <w:tabs>
          <w:tab w:val="clear" w:pos="1001"/>
        </w:tabs>
        <w:ind w:left="576"/>
        <w:rPr>
          <w:highlight w:val="green"/>
        </w:rPr>
      </w:pPr>
      <w:bookmarkStart w:id="10" w:name="_Toc24384651"/>
      <w:r>
        <w:rPr>
          <w:rFonts w:hint="eastAsia"/>
          <w:highlight w:val="green"/>
        </w:rPr>
        <w:t>授信明细表</w:t>
      </w:r>
      <w:bookmarkEnd w:id="8"/>
      <w:bookmarkEnd w:id="10"/>
    </w:p>
    <w:p w:rsidR="003E7111" w:rsidRDefault="00451D09">
      <w:pPr>
        <w:pStyle w:val="3"/>
        <w:tabs>
          <w:tab w:val="clear" w:pos="432"/>
        </w:tabs>
      </w:pPr>
      <w:bookmarkStart w:id="11" w:name="_Toc439325078"/>
      <w:bookmarkStart w:id="12" w:name="_Toc24384652"/>
      <w:r>
        <w:rPr>
          <w:rFonts w:hint="eastAsia"/>
        </w:rPr>
        <w:t>业务功能说明</w:t>
      </w:r>
      <w:bookmarkEnd w:id="11"/>
      <w:bookmarkEnd w:id="12"/>
    </w:p>
    <w:p w:rsidR="003E7111" w:rsidRDefault="00451D09">
      <w:pPr>
        <w:ind w:firstLineChars="200" w:firstLine="420"/>
      </w:pPr>
      <w:r>
        <w:rPr>
          <w:rFonts w:hint="eastAsia"/>
        </w:rPr>
        <w:t>该功能实际包含两种逻辑，即铁路集团端口逻辑及成员单位端口逻辑，铁路集团可查询到所有成员单位的授信情况，成员单位仅可查询到自身授信情况。</w:t>
      </w:r>
    </w:p>
    <w:p w:rsidR="003E7111" w:rsidRDefault="00451D09">
      <w:pPr>
        <w:ind w:firstLineChars="200" w:firstLine="420"/>
      </w:pPr>
      <w:r>
        <w:rPr>
          <w:rFonts w:hint="eastAsia"/>
        </w:rPr>
        <w:t>表格样式如下：</w:t>
      </w:r>
    </w:p>
    <w:p w:rsidR="003E7111" w:rsidRDefault="0094574B">
      <w:r w:rsidRPr="0094574B">
        <w:rPr>
          <w:noProof/>
        </w:rPr>
        <w:drawing>
          <wp:inline distT="0" distB="0" distL="0" distR="0">
            <wp:extent cx="5274310" cy="1623338"/>
            <wp:effectExtent l="19050" t="0" r="254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11" w:rsidRDefault="00451D09">
      <w:pPr>
        <w:ind w:firstLineChars="200" w:firstLine="420"/>
      </w:pPr>
      <w:r>
        <w:rPr>
          <w:rFonts w:hint="eastAsia"/>
        </w:rPr>
        <w:t>该表格可以</w:t>
      </w:r>
      <w:r>
        <w:rPr>
          <w:rFonts w:hint="eastAsia"/>
        </w:rPr>
        <w:t>excel</w:t>
      </w:r>
      <w:r>
        <w:rPr>
          <w:rFonts w:hint="eastAsia"/>
        </w:rPr>
        <w:t>格式导出。</w:t>
      </w:r>
      <w:bookmarkStart w:id="13" w:name="_GoBack"/>
      <w:bookmarkEnd w:id="13"/>
    </w:p>
    <w:p w:rsidR="003E7111" w:rsidRDefault="003E7111">
      <w:pPr>
        <w:ind w:firstLineChars="200" w:firstLine="420"/>
      </w:pPr>
    </w:p>
    <w:p w:rsidR="003E7111" w:rsidRDefault="00451D09">
      <w:pPr>
        <w:pStyle w:val="3"/>
        <w:tabs>
          <w:tab w:val="clear" w:pos="432"/>
        </w:tabs>
      </w:pPr>
      <w:bookmarkStart w:id="14" w:name="_Toc439325079"/>
      <w:bookmarkStart w:id="15" w:name="_Toc24384653"/>
      <w:r>
        <w:rPr>
          <w:rFonts w:hint="eastAsia"/>
        </w:rPr>
        <w:t>业务流程描述</w:t>
      </w:r>
      <w:bookmarkEnd w:id="14"/>
      <w:bookmarkEnd w:id="15"/>
    </w:p>
    <w:p w:rsidR="003E7111" w:rsidRDefault="007E1A3E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或成员单位有权限岗位，进入报表中心，根据筛选项进行筛选，查询，即可形成上述报表，筛选条件包括：</w:t>
      </w:r>
    </w:p>
    <w:p w:rsidR="003E7111" w:rsidRDefault="00451D09">
      <w:pPr>
        <w:ind w:firstLineChars="200" w:firstLine="420"/>
      </w:pPr>
      <w:r>
        <w:rPr>
          <w:rFonts w:hint="eastAsia"/>
        </w:rPr>
        <w:t>单位名称（</w:t>
      </w:r>
      <w:r w:rsidR="007E1A3E">
        <w:rPr>
          <w:rFonts w:hint="eastAsia"/>
        </w:rPr>
        <w:t>铁路集团</w:t>
      </w:r>
      <w:r>
        <w:rPr>
          <w:rFonts w:hint="eastAsia"/>
        </w:rPr>
        <w:t>专用）：使用列表形式，可单选、复选或不选。</w:t>
      </w:r>
    </w:p>
    <w:p w:rsidR="003E7111" w:rsidRDefault="00451D09">
      <w:pPr>
        <w:ind w:firstLineChars="200" w:firstLine="420"/>
      </w:pPr>
      <w:r>
        <w:rPr>
          <w:rFonts w:hint="eastAsia"/>
        </w:rPr>
        <w:t>银行：</w:t>
      </w:r>
      <w:proofErr w:type="gramStart"/>
      <w:r>
        <w:rPr>
          <w:rFonts w:hint="eastAsia"/>
        </w:rPr>
        <w:t>手输模糊</w:t>
      </w:r>
      <w:proofErr w:type="gramEnd"/>
      <w:r>
        <w:rPr>
          <w:rFonts w:hint="eastAsia"/>
        </w:rPr>
        <w:t>查询，此处银行仅指银行名称广义的银行名称，例如招商银行，建设银行。</w:t>
      </w:r>
    </w:p>
    <w:p w:rsidR="003E7111" w:rsidRDefault="00451D09">
      <w:pPr>
        <w:ind w:firstLineChars="200" w:firstLine="420"/>
      </w:pPr>
      <w:r>
        <w:rPr>
          <w:rFonts w:hint="eastAsia"/>
        </w:rPr>
        <w:t>授信起始日起、授信起始日止，授信到期日起、授信到期日止。</w:t>
      </w:r>
    </w:p>
    <w:p w:rsidR="003E7111" w:rsidRDefault="00451D09">
      <w:pPr>
        <w:pStyle w:val="3"/>
        <w:tabs>
          <w:tab w:val="clear" w:pos="432"/>
        </w:tabs>
      </w:pPr>
      <w:bookmarkStart w:id="16" w:name="_Toc439325080"/>
      <w:bookmarkStart w:id="17" w:name="_Toc24384654"/>
      <w:r>
        <w:rPr>
          <w:rFonts w:hint="eastAsia"/>
        </w:rPr>
        <w:t>业务要素</w:t>
      </w:r>
      <w:bookmarkEnd w:id="16"/>
      <w:bookmarkEnd w:id="17"/>
    </w:p>
    <w:p w:rsidR="003E7111" w:rsidRDefault="00451D09">
      <w:pPr>
        <w:ind w:firstLineChars="200" w:firstLine="420"/>
      </w:pPr>
      <w:r>
        <w:rPr>
          <w:rFonts w:hint="eastAsia"/>
        </w:rPr>
        <w:t>1</w:t>
      </w:r>
      <w:r w:rsidR="007E1A3E">
        <w:rPr>
          <w:rFonts w:hint="eastAsia"/>
        </w:rPr>
        <w:t>、</w:t>
      </w:r>
      <w:r>
        <w:rPr>
          <w:rFonts w:hint="eastAsia"/>
        </w:rPr>
        <w:t>单位名称：被授</w:t>
      </w:r>
      <w:proofErr w:type="gramStart"/>
      <w:r>
        <w:rPr>
          <w:rFonts w:hint="eastAsia"/>
        </w:rPr>
        <w:t>信主体</w:t>
      </w:r>
      <w:proofErr w:type="gramEnd"/>
      <w:r>
        <w:rPr>
          <w:rFonts w:hint="eastAsia"/>
        </w:rPr>
        <w:t>的名称，数据来源为成员单位登记的授信登记。</w:t>
      </w:r>
    </w:p>
    <w:p w:rsidR="003E7111" w:rsidRDefault="00451D0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1A3E">
        <w:rPr>
          <w:rFonts w:hint="eastAsia"/>
        </w:rPr>
        <w:t>融资机构</w:t>
      </w:r>
      <w:r>
        <w:rPr>
          <w:rFonts w:hint="eastAsia"/>
        </w:rPr>
        <w:t>：给与成员单位授信的金融机构。数据来源为成员单位登记时的授信登记。</w:t>
      </w:r>
    </w:p>
    <w:p w:rsidR="003E7111" w:rsidRDefault="00451D0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、授信品种：</w:t>
      </w:r>
      <w:r w:rsidR="007E1A3E">
        <w:rPr>
          <w:rFonts w:hint="eastAsia"/>
        </w:rPr>
        <w:t>融资</w:t>
      </w:r>
      <w:r>
        <w:rPr>
          <w:rFonts w:hint="eastAsia"/>
        </w:rPr>
        <w:t>机构给与的授信品种，如综合授信。数据来源为成员单位进行授</w:t>
      </w:r>
      <w:proofErr w:type="gramStart"/>
      <w:r>
        <w:rPr>
          <w:rFonts w:hint="eastAsia"/>
        </w:rPr>
        <w:t>信登记</w:t>
      </w:r>
      <w:proofErr w:type="gramEnd"/>
      <w:r>
        <w:rPr>
          <w:rFonts w:hint="eastAsia"/>
        </w:rPr>
        <w:t>时的融资品种。</w:t>
      </w:r>
    </w:p>
    <w:p w:rsidR="003E7111" w:rsidRDefault="00451D0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、授信额度：金融机构给与的授信总金额。数据来源为成员单位进行授</w:t>
      </w:r>
      <w:proofErr w:type="gramStart"/>
      <w:r>
        <w:rPr>
          <w:rFonts w:hint="eastAsia"/>
        </w:rPr>
        <w:t>信登记</w:t>
      </w:r>
      <w:proofErr w:type="gramEnd"/>
      <w:r>
        <w:rPr>
          <w:rFonts w:hint="eastAsia"/>
        </w:rPr>
        <w:t>时的授信金额。已使用额度为已经登记放款占用的额度，未使用额度为还未占用的额度，已使用</w:t>
      </w:r>
      <w:proofErr w:type="gramStart"/>
      <w:r>
        <w:rPr>
          <w:rFonts w:hint="eastAsia"/>
        </w:rPr>
        <w:t>额度加未使用</w:t>
      </w:r>
      <w:proofErr w:type="gramEnd"/>
      <w:r>
        <w:rPr>
          <w:rFonts w:hint="eastAsia"/>
        </w:rPr>
        <w:t>额度为授信额度。</w:t>
      </w:r>
    </w:p>
    <w:p w:rsidR="003E7111" w:rsidRDefault="00451D0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、授信期限：授信期限共分为两个字段，</w:t>
      </w:r>
      <w:proofErr w:type="gramStart"/>
      <w:r>
        <w:rPr>
          <w:rFonts w:hint="eastAsia"/>
        </w:rPr>
        <w:t>即授信</w:t>
      </w:r>
      <w:proofErr w:type="gramEnd"/>
      <w:r>
        <w:rPr>
          <w:rFonts w:hint="eastAsia"/>
        </w:rPr>
        <w:t>起止日。数据来源为成员单位进行授</w:t>
      </w:r>
      <w:proofErr w:type="gramStart"/>
      <w:r>
        <w:rPr>
          <w:rFonts w:hint="eastAsia"/>
        </w:rPr>
        <w:t>信登记</w:t>
      </w:r>
      <w:proofErr w:type="gramEnd"/>
      <w:r>
        <w:rPr>
          <w:rFonts w:hint="eastAsia"/>
        </w:rPr>
        <w:t>时的授信开始</w:t>
      </w:r>
      <w:proofErr w:type="gramStart"/>
      <w:r>
        <w:rPr>
          <w:rFonts w:hint="eastAsia"/>
        </w:rPr>
        <w:t>日与授信</w:t>
      </w:r>
      <w:proofErr w:type="gramEnd"/>
      <w:r>
        <w:rPr>
          <w:rFonts w:hint="eastAsia"/>
        </w:rPr>
        <w:t>到期日。</w:t>
      </w:r>
    </w:p>
    <w:p w:rsidR="003E7111" w:rsidRDefault="00451D09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、担保方式：仅显示抵押、质押、信用、担保。</w:t>
      </w:r>
    </w:p>
    <w:p w:rsidR="003E7111" w:rsidRDefault="00451D09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、小计：仅列示授信额度，已使用额度，未使用额度三个选项，表示一家成员单位在所有银行取得的授信额度，已使用额度，未使用额度，数据为当列的加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、合计：仅列示授信额度，已使用额度，未使用额度三个选项，表示所有竖</w:t>
      </w:r>
      <w:proofErr w:type="gramStart"/>
      <w:r>
        <w:rPr>
          <w:rFonts w:hint="eastAsia"/>
        </w:rPr>
        <w:t>列成员</w:t>
      </w:r>
      <w:proofErr w:type="gramEnd"/>
      <w:r>
        <w:rPr>
          <w:rFonts w:hint="eastAsia"/>
        </w:rPr>
        <w:t>单位在所有银行取得的授信额度，已使用额度，未使用额度，数据为当列的加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。合计仅在</w:t>
      </w:r>
      <w:r w:rsidR="007E1A3E">
        <w:rPr>
          <w:rFonts w:hint="eastAsia"/>
        </w:rPr>
        <w:t>铁路集团</w:t>
      </w:r>
      <w:r>
        <w:rPr>
          <w:rFonts w:hint="eastAsia"/>
        </w:rPr>
        <w:t>端口逻辑下才有。</w:t>
      </w:r>
    </w:p>
    <w:p w:rsidR="003E7111" w:rsidRDefault="00451D09">
      <w:pPr>
        <w:pStyle w:val="3"/>
        <w:tabs>
          <w:tab w:val="clear" w:pos="432"/>
        </w:tabs>
      </w:pPr>
      <w:bookmarkStart w:id="18" w:name="_Toc439325081"/>
      <w:bookmarkStart w:id="19" w:name="_Toc24384655"/>
      <w:r>
        <w:rPr>
          <w:rFonts w:hint="eastAsia"/>
        </w:rPr>
        <w:t>业务规则</w:t>
      </w:r>
      <w:bookmarkEnd w:id="18"/>
      <w:bookmarkEnd w:id="19"/>
    </w:p>
    <w:p w:rsidR="003E7111" w:rsidRDefault="00451D09">
      <w:pPr>
        <w:ind w:firstLineChars="200" w:firstLine="420"/>
      </w:pPr>
      <w:r>
        <w:rPr>
          <w:rFonts w:hint="eastAsia"/>
        </w:rPr>
        <w:t>无</w:t>
      </w:r>
    </w:p>
    <w:p w:rsidR="003E7111" w:rsidRDefault="00451D09">
      <w:pPr>
        <w:pStyle w:val="2"/>
        <w:keepNext w:val="0"/>
        <w:keepLines w:val="0"/>
        <w:tabs>
          <w:tab w:val="clear" w:pos="432"/>
          <w:tab w:val="clear" w:pos="1001"/>
        </w:tabs>
        <w:spacing w:before="50" w:after="50"/>
        <w:ind w:left="576"/>
        <w:rPr>
          <w:highlight w:val="green"/>
        </w:rPr>
      </w:pPr>
      <w:bookmarkStart w:id="20" w:name="_Toc439325087"/>
      <w:bookmarkStart w:id="21" w:name="_Toc24384656"/>
      <w:r>
        <w:rPr>
          <w:rFonts w:hint="eastAsia"/>
          <w:highlight w:val="green"/>
        </w:rPr>
        <w:t>付息债务明细台账</w:t>
      </w:r>
      <w:bookmarkEnd w:id="20"/>
      <w:bookmarkEnd w:id="21"/>
    </w:p>
    <w:p w:rsidR="003E7111" w:rsidRDefault="00451D09">
      <w:pPr>
        <w:pStyle w:val="3"/>
        <w:tabs>
          <w:tab w:val="clear" w:pos="432"/>
        </w:tabs>
      </w:pPr>
      <w:bookmarkStart w:id="22" w:name="_Toc439325088"/>
      <w:bookmarkStart w:id="23" w:name="_Toc24384657"/>
      <w:r>
        <w:rPr>
          <w:rFonts w:hint="eastAsia"/>
        </w:rPr>
        <w:t>业务功能</w:t>
      </w:r>
      <w:bookmarkEnd w:id="22"/>
      <w:bookmarkEnd w:id="23"/>
    </w:p>
    <w:p w:rsidR="003E7111" w:rsidRDefault="00451D09">
      <w:pPr>
        <w:ind w:firstLineChars="200" w:firstLine="420"/>
      </w:pPr>
      <w:r>
        <w:rPr>
          <w:rFonts w:hint="eastAsia"/>
        </w:rPr>
        <w:t>该功能实际包含</w:t>
      </w:r>
      <w:r w:rsidR="00FC1D83">
        <w:rPr>
          <w:rFonts w:hint="eastAsia"/>
        </w:rPr>
        <w:t>两</w:t>
      </w:r>
      <w:r>
        <w:rPr>
          <w:rFonts w:hint="eastAsia"/>
        </w:rPr>
        <w:t>种逻辑，</w:t>
      </w:r>
      <w:r w:rsidR="00BF7615">
        <w:rPr>
          <w:rFonts w:hint="eastAsia"/>
        </w:rPr>
        <w:t>铁路集团</w:t>
      </w:r>
      <w:r>
        <w:rPr>
          <w:rFonts w:hint="eastAsia"/>
        </w:rPr>
        <w:t>所有信息口径逻辑及成员单位所有信息口径逻辑。</w:t>
      </w:r>
    </w:p>
    <w:p w:rsidR="003E7111" w:rsidRDefault="00BF7615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所有信息口径逻辑下，报表显示所有内外部融资</w:t>
      </w:r>
      <w:r w:rsidR="00161E5C">
        <w:rPr>
          <w:rFonts w:hint="eastAsia"/>
        </w:rPr>
        <w:t>，</w:t>
      </w:r>
      <w:r w:rsidR="00451D09">
        <w:rPr>
          <w:rFonts w:hint="eastAsia"/>
        </w:rPr>
        <w:t>本逻辑下</w:t>
      </w:r>
      <w:r>
        <w:rPr>
          <w:rFonts w:hint="eastAsia"/>
        </w:rPr>
        <w:t>铁路集团</w:t>
      </w:r>
      <w:r w:rsidR="00451D09">
        <w:rPr>
          <w:rFonts w:hint="eastAsia"/>
        </w:rPr>
        <w:t>可查询到所有成员单位的借款情况，该逻辑仅</w:t>
      </w:r>
      <w:proofErr w:type="gramStart"/>
      <w:r w:rsidR="00451D09">
        <w:rPr>
          <w:rFonts w:hint="eastAsia"/>
        </w:rPr>
        <w:t>供</w:t>
      </w:r>
      <w:r>
        <w:rPr>
          <w:rFonts w:hint="eastAsia"/>
        </w:rPr>
        <w:t>铁路</w:t>
      </w:r>
      <w:proofErr w:type="gramEnd"/>
      <w:r>
        <w:rPr>
          <w:rFonts w:hint="eastAsia"/>
        </w:rPr>
        <w:t>集团</w:t>
      </w:r>
      <w:r w:rsidR="00451D09">
        <w:rPr>
          <w:rFonts w:hint="eastAsia"/>
        </w:rPr>
        <w:t>使用；</w:t>
      </w:r>
    </w:p>
    <w:p w:rsidR="003E7111" w:rsidRDefault="00451D09">
      <w:pPr>
        <w:ind w:firstLineChars="200" w:firstLine="420"/>
      </w:pPr>
      <w:r>
        <w:rPr>
          <w:rFonts w:hint="eastAsia"/>
        </w:rPr>
        <w:t>成员单位所有信息口径逻辑，报表显示所有内外部融资，即包括委托贷款，本逻辑下</w:t>
      </w:r>
      <w:r>
        <w:rPr>
          <w:rFonts w:hint="eastAsia"/>
        </w:rPr>
        <w:t xml:space="preserve"> </w:t>
      </w:r>
      <w:r>
        <w:rPr>
          <w:rFonts w:hint="eastAsia"/>
        </w:rPr>
        <w:t>成员单位仅可查询到自身的借款情况，该逻辑供成员单位使用。</w:t>
      </w:r>
    </w:p>
    <w:p w:rsidR="003E7111" w:rsidRDefault="00451D09">
      <w:pPr>
        <w:ind w:firstLineChars="200" w:firstLine="420"/>
        <w:rPr>
          <w:color w:val="FF0000"/>
        </w:rPr>
      </w:pPr>
      <w:proofErr w:type="gramStart"/>
      <w:r>
        <w:rPr>
          <w:rFonts w:hint="eastAsia"/>
          <w:color w:val="FF0000"/>
        </w:rPr>
        <w:t>表样如下</w:t>
      </w:r>
      <w:proofErr w:type="gramEnd"/>
      <w:r>
        <w:rPr>
          <w:rFonts w:hint="eastAsia"/>
          <w:color w:val="FF0000"/>
        </w:rPr>
        <w:t>：</w:t>
      </w:r>
    </w:p>
    <w:p w:rsidR="003E7111" w:rsidRDefault="0094574B">
      <w:r w:rsidRPr="0094574B">
        <w:rPr>
          <w:noProof/>
        </w:rPr>
        <w:lastRenderedPageBreak/>
        <w:drawing>
          <wp:inline distT="0" distB="0" distL="0" distR="0">
            <wp:extent cx="5274310" cy="1853103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11" w:rsidRDefault="00451D09">
      <w:pPr>
        <w:ind w:firstLineChars="200" w:firstLine="420"/>
      </w:pPr>
      <w:r>
        <w:rPr>
          <w:rFonts w:hint="eastAsia"/>
        </w:rPr>
        <w:t>上表列示情况精确到日，可查询任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日期情况，可查询到历史数据，历史数据中被</w:t>
      </w:r>
      <w:proofErr w:type="gramStart"/>
      <w:r>
        <w:rPr>
          <w:rFonts w:hint="eastAsia"/>
        </w:rPr>
        <w:t>查询日</w:t>
      </w:r>
      <w:proofErr w:type="gramEnd"/>
      <w:r>
        <w:rPr>
          <w:rFonts w:hint="eastAsia"/>
        </w:rPr>
        <w:t>已结清的借据不显示，以万元为单位，精确到小数点后两位，最后形成的报表可以</w:t>
      </w:r>
      <w:r>
        <w:rPr>
          <w:rFonts w:hint="eastAsia"/>
        </w:rPr>
        <w:t>excel</w:t>
      </w:r>
      <w:r>
        <w:rPr>
          <w:rFonts w:hint="eastAsia"/>
        </w:rPr>
        <w:t>表格形式导出。</w:t>
      </w:r>
    </w:p>
    <w:p w:rsidR="003E7111" w:rsidRDefault="00451D09">
      <w:pPr>
        <w:pStyle w:val="3"/>
        <w:tabs>
          <w:tab w:val="clear" w:pos="432"/>
        </w:tabs>
      </w:pPr>
      <w:bookmarkStart w:id="24" w:name="_Toc439325089"/>
      <w:bookmarkStart w:id="25" w:name="_Toc24384658"/>
      <w:r>
        <w:rPr>
          <w:rFonts w:hint="eastAsia"/>
        </w:rPr>
        <w:t>业务流程</w:t>
      </w:r>
      <w:bookmarkEnd w:id="24"/>
      <w:bookmarkEnd w:id="25"/>
    </w:p>
    <w:p w:rsidR="003E7111" w:rsidRDefault="0094574B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或成员单位有权限岗位，进入报表中心，根据筛选项进行筛选，查询，即可形成上述报表，筛选条件包括：</w:t>
      </w:r>
    </w:p>
    <w:p w:rsidR="003E7111" w:rsidRDefault="00451D09">
      <w:pPr>
        <w:ind w:firstLineChars="200" w:firstLine="420"/>
      </w:pPr>
      <w:r>
        <w:rPr>
          <w:rFonts w:hint="eastAsia"/>
        </w:rPr>
        <w:t>单位名称：列表查询，支持单选、复选、多选，不选则显示所有。</w:t>
      </w:r>
    </w:p>
    <w:p w:rsidR="003E7111" w:rsidRDefault="00451D09">
      <w:pPr>
        <w:ind w:firstLineChars="200" w:firstLine="420"/>
      </w:pPr>
      <w:r>
        <w:rPr>
          <w:rFonts w:hint="eastAsia"/>
        </w:rPr>
        <w:t>借款起始日起、借款起始日止、借款到期日起、借款到期日止</w:t>
      </w:r>
      <w:r w:rsidR="0094574B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t>查询日期</w:t>
      </w:r>
      <w:r>
        <w:t>:</w:t>
      </w:r>
      <w:r>
        <w:t>精确到日</w:t>
      </w:r>
      <w:r>
        <w:t>,</w:t>
      </w:r>
      <w:r>
        <w:t>即所查询时间点的借据情况。</w:t>
      </w:r>
    </w:p>
    <w:p w:rsidR="003E7111" w:rsidRDefault="0094574B">
      <w:pPr>
        <w:ind w:firstLineChars="200" w:firstLine="420"/>
      </w:pPr>
      <w:r>
        <w:rPr>
          <w:rFonts w:hint="eastAsia"/>
        </w:rPr>
        <w:t>融资</w:t>
      </w:r>
      <w:r w:rsidR="00451D09">
        <w:rPr>
          <w:rFonts w:hint="eastAsia"/>
        </w:rPr>
        <w:t>机构查询</w:t>
      </w:r>
      <w:r w:rsidR="00451D09">
        <w:rPr>
          <w:rFonts w:hint="eastAsia"/>
        </w:rPr>
        <w:t xml:space="preserve"> </w:t>
      </w:r>
      <w:r w:rsidR="00451D09">
        <w:rPr>
          <w:rFonts w:hint="eastAsia"/>
        </w:rPr>
        <w:t>：</w:t>
      </w:r>
      <w:proofErr w:type="gramStart"/>
      <w:r w:rsidR="00451D09">
        <w:rPr>
          <w:rFonts w:hint="eastAsia"/>
        </w:rPr>
        <w:t>手输模糊</w:t>
      </w:r>
      <w:proofErr w:type="gramEnd"/>
      <w:r w:rsidR="00451D09">
        <w:rPr>
          <w:rFonts w:hint="eastAsia"/>
        </w:rPr>
        <w:t>查询，可按银行查询，此处银行泛指银行机构，例如招商银行。</w:t>
      </w:r>
    </w:p>
    <w:p w:rsidR="003E7111" w:rsidRDefault="00451D09">
      <w:pPr>
        <w:ind w:firstLineChars="200" w:firstLine="420"/>
        <w:rPr>
          <w:color w:val="FF0000"/>
        </w:rPr>
      </w:pPr>
      <w:r>
        <w:rPr>
          <w:rFonts w:hint="eastAsia"/>
        </w:rPr>
        <w:t>融资品种：</w:t>
      </w:r>
      <w:proofErr w:type="gramStart"/>
      <w:r>
        <w:rPr>
          <w:rFonts w:hint="eastAsia"/>
        </w:rPr>
        <w:t>支持手输模糊</w:t>
      </w:r>
      <w:proofErr w:type="gramEnd"/>
      <w:r>
        <w:rPr>
          <w:rFonts w:hint="eastAsia"/>
        </w:rPr>
        <w:t>查询。</w:t>
      </w:r>
      <w:r>
        <w:rPr>
          <w:rFonts w:hint="eastAsia"/>
        </w:rPr>
        <w:t xml:space="preserve"> </w:t>
      </w:r>
    </w:p>
    <w:p w:rsidR="003E7111" w:rsidRDefault="00451D09">
      <w:pPr>
        <w:pStyle w:val="3"/>
        <w:tabs>
          <w:tab w:val="clear" w:pos="432"/>
        </w:tabs>
      </w:pPr>
      <w:bookmarkStart w:id="26" w:name="_Toc439325090"/>
      <w:bookmarkStart w:id="27" w:name="_Toc24384659"/>
      <w:r>
        <w:rPr>
          <w:rFonts w:hint="eastAsia"/>
        </w:rPr>
        <w:t>业务要素</w:t>
      </w:r>
      <w:bookmarkEnd w:id="26"/>
      <w:bookmarkEnd w:id="27"/>
    </w:p>
    <w:p w:rsidR="003E7111" w:rsidRDefault="00451D09">
      <w:pPr>
        <w:ind w:firstLineChars="200" w:firstLine="420"/>
      </w:pPr>
      <w:r>
        <w:rPr>
          <w:rFonts w:hint="eastAsia"/>
        </w:rPr>
        <w:t>单位</w:t>
      </w:r>
      <w:r w:rsidR="0094574B">
        <w:rPr>
          <w:rFonts w:hint="eastAsia"/>
        </w:rPr>
        <w:t>名称</w:t>
      </w:r>
      <w:r>
        <w:rPr>
          <w:rFonts w:hint="eastAsia"/>
        </w:rPr>
        <w:t>：发生借款的成员单位的名称</w:t>
      </w:r>
      <w:r w:rsidR="0094574B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合同号：该笔借款所属的合同编号，即借据关联的合同编号，数据来源为成员合同登记及借据登记。</w:t>
      </w:r>
    </w:p>
    <w:p w:rsidR="003E7111" w:rsidRDefault="00451D09">
      <w:pPr>
        <w:ind w:firstLineChars="200" w:firstLine="420"/>
      </w:pPr>
      <w:r>
        <w:rPr>
          <w:rFonts w:hint="eastAsia"/>
        </w:rPr>
        <w:t>融资品种：借款融资品种，即借据登记融资品种（如</w:t>
      </w:r>
      <w:r w:rsidR="00FA3EB5">
        <w:rPr>
          <w:rFonts w:hint="eastAsia"/>
        </w:rPr>
        <w:t>流动资金贷款</w:t>
      </w:r>
      <w:proofErr w:type="gramStart"/>
      <w:r>
        <w:rPr>
          <w:rFonts w:hint="eastAsia"/>
        </w:rPr>
        <w:t>贷款</w:t>
      </w:r>
      <w:proofErr w:type="gramEnd"/>
      <w:r>
        <w:rPr>
          <w:rFonts w:hint="eastAsia"/>
        </w:rPr>
        <w:t>、委托贷款等），数据来源为成员单位借据登记时的融资品种。</w:t>
      </w:r>
    </w:p>
    <w:p w:rsidR="003E7111" w:rsidRDefault="00451D09">
      <w:pPr>
        <w:ind w:firstLineChars="200" w:firstLine="420"/>
      </w:pPr>
      <w:r>
        <w:rPr>
          <w:rFonts w:hint="eastAsia"/>
        </w:rPr>
        <w:t>本金：发生借款的金额，数据来源为成员单位进行借据登记时的放款金额。</w:t>
      </w:r>
    </w:p>
    <w:p w:rsidR="003E7111" w:rsidRDefault="00451D09">
      <w:pPr>
        <w:ind w:firstLineChars="200" w:firstLine="420"/>
      </w:pPr>
      <w:r>
        <w:rPr>
          <w:rFonts w:hint="eastAsia"/>
        </w:rPr>
        <w:t>借款日：借款放款日，即借款起始日，数据来源为成员单位借据登记时的实际放款日。</w:t>
      </w:r>
    </w:p>
    <w:p w:rsidR="003E7111" w:rsidRDefault="00451D09">
      <w:pPr>
        <w:ind w:firstLineChars="200" w:firstLine="420"/>
      </w:pPr>
      <w:r>
        <w:rPr>
          <w:rFonts w:hint="eastAsia"/>
        </w:rPr>
        <w:t>到期日：借款到期日，即借款到期日，数据来源为成员单位借据登记时的借据到期日。</w:t>
      </w:r>
    </w:p>
    <w:p w:rsidR="003E7111" w:rsidRDefault="00451D09">
      <w:pPr>
        <w:ind w:firstLineChars="200" w:firstLine="420"/>
      </w:pPr>
      <w:r>
        <w:rPr>
          <w:rFonts w:hint="eastAsia"/>
        </w:rPr>
        <w:t>年利率：借款执行利率，按年</w:t>
      </w:r>
      <w:proofErr w:type="gramStart"/>
      <w:r>
        <w:rPr>
          <w:rFonts w:hint="eastAsia"/>
        </w:rPr>
        <w:t>化利率</w:t>
      </w:r>
      <w:proofErr w:type="gramEnd"/>
      <w:r>
        <w:rPr>
          <w:rFonts w:hint="eastAsia"/>
        </w:rPr>
        <w:t>计算，数据来源为成员单位借据登记时的实际利率。</w:t>
      </w:r>
    </w:p>
    <w:p w:rsidR="003E7111" w:rsidRDefault="009E4D94">
      <w:pPr>
        <w:ind w:firstLineChars="200" w:firstLine="420"/>
      </w:pPr>
      <w:r>
        <w:rPr>
          <w:rFonts w:hint="eastAsia"/>
        </w:rPr>
        <w:t>融资机构</w:t>
      </w:r>
      <w:r w:rsidR="00451D09">
        <w:rPr>
          <w:rFonts w:hint="eastAsia"/>
        </w:rPr>
        <w:t>：给与成员单位借款的金融机构。数据来源为成员单位登记时的借据登记。</w:t>
      </w:r>
    </w:p>
    <w:p w:rsidR="003E7111" w:rsidRPr="009E4D94" w:rsidRDefault="00451D09">
      <w:pPr>
        <w:ind w:firstLineChars="200" w:firstLine="420"/>
      </w:pPr>
      <w:r w:rsidRPr="009E4D94">
        <w:rPr>
          <w:rFonts w:hint="eastAsia"/>
        </w:rPr>
        <w:t>担保方式：显示为信用、抵押、质押、担保</w:t>
      </w:r>
      <w:r w:rsidR="009E4D94" w:rsidRPr="009E4D94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项目名称：借据登记</w:t>
      </w:r>
      <w:proofErr w:type="gramStart"/>
      <w:r>
        <w:rPr>
          <w:rFonts w:hint="eastAsia"/>
        </w:rPr>
        <w:t>时成员</w:t>
      </w:r>
      <w:proofErr w:type="gramEnd"/>
      <w:r>
        <w:rPr>
          <w:rFonts w:hint="eastAsia"/>
        </w:rPr>
        <w:t>单位填写内容</w:t>
      </w:r>
      <w:r w:rsidR="009E4D94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已还款：已还款分为两个字段，还款次数及金额，还款次数表示归还该笔借款的次数，金额表示归还该笔借款的总金额，数据来源为</w:t>
      </w:r>
      <w:proofErr w:type="gramStart"/>
      <w:r>
        <w:rPr>
          <w:rFonts w:hint="eastAsia"/>
        </w:rPr>
        <w:t>与本笔放款</w:t>
      </w:r>
      <w:proofErr w:type="gramEnd"/>
      <w:r>
        <w:rPr>
          <w:rFonts w:hint="eastAsia"/>
        </w:rPr>
        <w:t>借据关联的还款借据总笔数及还款金额加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合计：本金、余额列的汇总加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E7111" w:rsidRDefault="00451D09">
      <w:pPr>
        <w:pStyle w:val="3"/>
        <w:tabs>
          <w:tab w:val="clear" w:pos="432"/>
        </w:tabs>
      </w:pPr>
      <w:bookmarkStart w:id="28" w:name="_Toc439325091"/>
      <w:bookmarkStart w:id="29" w:name="_Toc24384660"/>
      <w:r>
        <w:rPr>
          <w:rFonts w:hint="eastAsia"/>
        </w:rPr>
        <w:lastRenderedPageBreak/>
        <w:t>业务规则</w:t>
      </w:r>
      <w:bookmarkEnd w:id="28"/>
      <w:bookmarkEnd w:id="29"/>
    </w:p>
    <w:p w:rsidR="003E7111" w:rsidRDefault="00451D09">
      <w:pPr>
        <w:ind w:firstLineChars="200" w:firstLine="420"/>
      </w:pPr>
      <w:r>
        <w:rPr>
          <w:rFonts w:hint="eastAsia"/>
        </w:rPr>
        <w:t>无</w:t>
      </w:r>
    </w:p>
    <w:p w:rsidR="003E7111" w:rsidRDefault="00451D09">
      <w:pPr>
        <w:pStyle w:val="2"/>
        <w:keepNext w:val="0"/>
        <w:keepLines w:val="0"/>
        <w:tabs>
          <w:tab w:val="clear" w:pos="432"/>
          <w:tab w:val="clear" w:pos="1001"/>
        </w:tabs>
        <w:spacing w:before="50" w:after="50"/>
        <w:ind w:left="576"/>
        <w:rPr>
          <w:highlight w:val="green"/>
        </w:rPr>
      </w:pPr>
      <w:bookmarkStart w:id="30" w:name="_Toc439325092"/>
      <w:bookmarkStart w:id="31" w:name="_Toc24384661"/>
      <w:r>
        <w:rPr>
          <w:rFonts w:hint="eastAsia"/>
          <w:highlight w:val="green"/>
        </w:rPr>
        <w:t>债务期限结构分析表（成员单位）</w:t>
      </w:r>
      <w:bookmarkEnd w:id="30"/>
      <w:bookmarkEnd w:id="31"/>
    </w:p>
    <w:p w:rsidR="003E7111" w:rsidRDefault="00451D09">
      <w:pPr>
        <w:pStyle w:val="3"/>
        <w:tabs>
          <w:tab w:val="clear" w:pos="432"/>
        </w:tabs>
      </w:pPr>
      <w:bookmarkStart w:id="32" w:name="_Toc439325093"/>
      <w:bookmarkStart w:id="33" w:name="_Toc24384662"/>
      <w:r>
        <w:rPr>
          <w:rFonts w:hint="eastAsia"/>
        </w:rPr>
        <w:t>业务功能</w:t>
      </w:r>
      <w:bookmarkEnd w:id="32"/>
      <w:bookmarkEnd w:id="33"/>
    </w:p>
    <w:p w:rsidR="003E7111" w:rsidRDefault="00451D09">
      <w:pPr>
        <w:ind w:firstLineChars="200" w:firstLine="420"/>
      </w:pPr>
      <w:r>
        <w:rPr>
          <w:rFonts w:hint="eastAsia"/>
        </w:rPr>
        <w:t>该报表为查询债务期限结构而设计，报表可反映长期借款总金额及在所有借款中的占比，短期借款总金额及在所有借款中的占比，所有数据显示为月末日的时点数据，长短期借款以借据实际放款日及到期日之间的期限为判断依据，长期</w:t>
      </w:r>
      <w:proofErr w:type="gramStart"/>
      <w:r>
        <w:rPr>
          <w:rFonts w:hint="eastAsia"/>
        </w:rPr>
        <w:t>借款指</w:t>
      </w:r>
      <w:proofErr w:type="gramEnd"/>
      <w:r>
        <w:rPr>
          <w:rFonts w:hint="eastAsia"/>
        </w:rPr>
        <w:t>借款期限在</w:t>
      </w:r>
      <w:r w:rsidR="009E4D94">
        <w:rPr>
          <w:rFonts w:hint="eastAsia"/>
        </w:rPr>
        <w:t>12</w:t>
      </w:r>
      <w:r w:rsidR="009E4D94">
        <w:rPr>
          <w:rFonts w:hint="eastAsia"/>
        </w:rPr>
        <w:t>月</w:t>
      </w:r>
      <w:r>
        <w:rPr>
          <w:rFonts w:hint="eastAsia"/>
        </w:rPr>
        <w:t>（不含）以上的借款，短期</w:t>
      </w:r>
      <w:proofErr w:type="gramStart"/>
      <w:r>
        <w:rPr>
          <w:rFonts w:hint="eastAsia"/>
        </w:rPr>
        <w:t>借款指</w:t>
      </w:r>
      <w:proofErr w:type="gramEnd"/>
      <w:r>
        <w:rPr>
          <w:rFonts w:hint="eastAsia"/>
        </w:rPr>
        <w:t>借款期限在</w:t>
      </w:r>
      <w:r w:rsidR="009E4D94">
        <w:rPr>
          <w:rFonts w:hint="eastAsia"/>
        </w:rPr>
        <w:t>12</w:t>
      </w:r>
      <w:r w:rsidR="009E4D94">
        <w:rPr>
          <w:rFonts w:hint="eastAsia"/>
        </w:rPr>
        <w:t>月</w:t>
      </w:r>
      <w:r>
        <w:rPr>
          <w:rFonts w:hint="eastAsia"/>
        </w:rPr>
        <w:t>（含）以下的借款</w:t>
      </w:r>
      <w:r w:rsidR="009E4D94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该报表实际包含</w:t>
      </w:r>
      <w:r w:rsidR="002B33B9">
        <w:rPr>
          <w:rFonts w:hint="eastAsia"/>
        </w:rPr>
        <w:t>两</w:t>
      </w:r>
      <w:r>
        <w:rPr>
          <w:rFonts w:hint="eastAsia"/>
        </w:rPr>
        <w:t>种逻辑，</w:t>
      </w:r>
      <w:r w:rsidR="009E4D94">
        <w:rPr>
          <w:rFonts w:hint="eastAsia"/>
        </w:rPr>
        <w:t>铁路集团</w:t>
      </w:r>
      <w:r>
        <w:rPr>
          <w:rFonts w:hint="eastAsia"/>
        </w:rPr>
        <w:t>合并口径逻辑，成员单位所有信息口径逻辑。</w:t>
      </w:r>
    </w:p>
    <w:p w:rsidR="00161E5C" w:rsidRDefault="008441AF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合并口径逻辑下，报表仅显示外部融资借款，即融资管理模块登记的借据</w:t>
      </w:r>
    </w:p>
    <w:p w:rsidR="003E7111" w:rsidRDefault="00161E5C" w:rsidP="00161E5C">
      <w:r>
        <w:rPr>
          <w:rFonts w:hint="eastAsia"/>
        </w:rPr>
        <w:t>，</w:t>
      </w:r>
      <w:r w:rsidR="00451D09">
        <w:rPr>
          <w:rFonts w:hint="eastAsia"/>
        </w:rPr>
        <w:t>本逻辑下</w:t>
      </w:r>
      <w:r w:rsidR="008441AF">
        <w:rPr>
          <w:rFonts w:hint="eastAsia"/>
        </w:rPr>
        <w:t>铁路集团</w:t>
      </w:r>
      <w:r>
        <w:rPr>
          <w:rFonts w:hint="eastAsia"/>
        </w:rPr>
        <w:t>可查询到所有成员单位的借款情况</w:t>
      </w:r>
      <w:r w:rsidR="00451D09">
        <w:rPr>
          <w:rFonts w:hint="eastAsia"/>
        </w:rPr>
        <w:t>；</w:t>
      </w:r>
    </w:p>
    <w:p w:rsidR="003E7111" w:rsidRDefault="00451D09">
      <w:pPr>
        <w:ind w:firstLineChars="200" w:firstLine="420"/>
      </w:pPr>
      <w:r>
        <w:rPr>
          <w:rFonts w:hint="eastAsia"/>
        </w:rPr>
        <w:t>成员单位所有信息口径逻辑，报表显示所有内外部融资，</w:t>
      </w:r>
      <w:r w:rsidR="00161E5C">
        <w:rPr>
          <w:rFonts w:hint="eastAsia"/>
        </w:rPr>
        <w:t>，本逻辑下成员单位仅可查询到自身的借款情况</w:t>
      </w:r>
      <w:r>
        <w:rPr>
          <w:rFonts w:hint="eastAsia"/>
        </w:rPr>
        <w:t>。</w:t>
      </w:r>
    </w:p>
    <w:p w:rsidR="003E7111" w:rsidRDefault="00451D09">
      <w:pPr>
        <w:ind w:firstLineChars="200" w:firstLine="420"/>
      </w:pPr>
      <w:proofErr w:type="gramStart"/>
      <w:r>
        <w:rPr>
          <w:rFonts w:hint="eastAsia"/>
        </w:rPr>
        <w:t>表样如下</w:t>
      </w:r>
      <w:proofErr w:type="gramEnd"/>
      <w:r>
        <w:rPr>
          <w:rFonts w:hint="eastAsia"/>
        </w:rPr>
        <w:t>：</w:t>
      </w:r>
    </w:p>
    <w:p w:rsidR="003E7111" w:rsidRDefault="009E4D94" w:rsidP="009E4D94">
      <w:pPr>
        <w:jc w:val="center"/>
      </w:pPr>
      <w:r w:rsidRPr="009E4D94">
        <w:rPr>
          <w:noProof/>
        </w:rPr>
        <w:drawing>
          <wp:inline distT="0" distB="0" distL="0" distR="0">
            <wp:extent cx="3910083" cy="1880235"/>
            <wp:effectExtent l="0" t="0" r="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99" cy="190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11" w:rsidRDefault="00451D09">
      <w:pPr>
        <w:ind w:firstLineChars="200" w:firstLine="420"/>
      </w:pPr>
      <w:r>
        <w:rPr>
          <w:rFonts w:hint="eastAsia"/>
        </w:rPr>
        <w:t>上表列示情况精确到月，可查询任一月情况，以万元为单位，精确到小数点后两位，占比以百分数显示，精确到小数点后两位，最后形成的报表可以</w:t>
      </w:r>
      <w:r>
        <w:rPr>
          <w:rFonts w:hint="eastAsia"/>
        </w:rPr>
        <w:t>excel</w:t>
      </w:r>
      <w:r>
        <w:rPr>
          <w:rFonts w:hint="eastAsia"/>
        </w:rPr>
        <w:t>表格形式导出。</w:t>
      </w:r>
    </w:p>
    <w:p w:rsidR="003E7111" w:rsidRDefault="00451D09">
      <w:pPr>
        <w:pStyle w:val="3"/>
        <w:tabs>
          <w:tab w:val="clear" w:pos="432"/>
        </w:tabs>
      </w:pPr>
      <w:bookmarkStart w:id="34" w:name="_Toc439325094"/>
      <w:bookmarkStart w:id="35" w:name="_Toc24384663"/>
      <w:r>
        <w:rPr>
          <w:rFonts w:hint="eastAsia"/>
        </w:rPr>
        <w:t>业务流程</w:t>
      </w:r>
      <w:bookmarkEnd w:id="34"/>
      <w:bookmarkEnd w:id="35"/>
    </w:p>
    <w:p w:rsidR="003E7111" w:rsidRDefault="008441AF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或成员单位有权限岗位，进入报表中心，根据筛选项进行筛选，查询，即可形成上述报表，筛选条件包括：</w:t>
      </w:r>
    </w:p>
    <w:p w:rsidR="003E7111" w:rsidRDefault="00451D09">
      <w:pPr>
        <w:ind w:firstLineChars="200" w:firstLine="420"/>
      </w:pPr>
      <w:r>
        <w:rPr>
          <w:rFonts w:hint="eastAsia"/>
        </w:rPr>
        <w:t>是否合并（</w:t>
      </w:r>
      <w:r w:rsidR="008441AF">
        <w:rPr>
          <w:rFonts w:hint="eastAsia"/>
        </w:rPr>
        <w:t>铁路集团</w:t>
      </w:r>
      <w:r>
        <w:rPr>
          <w:rFonts w:hint="eastAsia"/>
        </w:rPr>
        <w:t>专用）：通过下拉菜单方式，有合并</w:t>
      </w:r>
      <w:r>
        <w:rPr>
          <w:rFonts w:hint="eastAsia"/>
        </w:rPr>
        <w:t>/</w:t>
      </w:r>
      <w:r>
        <w:rPr>
          <w:rFonts w:hint="eastAsia"/>
        </w:rPr>
        <w:t>所有信息两个选项</w:t>
      </w:r>
      <w:r w:rsidR="008441AF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查询日期：查询精确到月</w:t>
      </w:r>
      <w:r>
        <w:rPr>
          <w:rFonts w:hint="eastAsia"/>
        </w:rPr>
        <w:t xml:space="preserve"> </w:t>
      </w:r>
      <w:r>
        <w:rPr>
          <w:rFonts w:hint="eastAsia"/>
        </w:rPr>
        <w:t>以月末日有效为准</w:t>
      </w:r>
      <w:r w:rsidR="008441AF">
        <w:rPr>
          <w:rFonts w:hint="eastAsia"/>
        </w:rPr>
        <w:t>。</w:t>
      </w:r>
    </w:p>
    <w:p w:rsidR="003E7111" w:rsidRDefault="008441AF">
      <w:pPr>
        <w:ind w:firstLineChars="200" w:firstLine="420"/>
      </w:pPr>
      <w:r>
        <w:rPr>
          <w:rFonts w:hint="eastAsia"/>
        </w:rPr>
        <w:t>单位名称</w:t>
      </w:r>
      <w:r w:rsidR="00451D09">
        <w:rPr>
          <w:rFonts w:hint="eastAsia"/>
        </w:rPr>
        <w:t>：列表形式，可单选复选或多选，不选则显示所有。</w:t>
      </w:r>
    </w:p>
    <w:p w:rsidR="003E7111" w:rsidRDefault="00451D09">
      <w:pPr>
        <w:pStyle w:val="3"/>
        <w:tabs>
          <w:tab w:val="clear" w:pos="432"/>
        </w:tabs>
      </w:pPr>
      <w:bookmarkStart w:id="36" w:name="_Toc439325095"/>
      <w:bookmarkStart w:id="37" w:name="_Toc24384664"/>
      <w:r>
        <w:rPr>
          <w:rFonts w:hint="eastAsia"/>
        </w:rPr>
        <w:t>业务要素</w:t>
      </w:r>
      <w:bookmarkEnd w:id="36"/>
      <w:bookmarkEnd w:id="37"/>
    </w:p>
    <w:p w:rsidR="003E7111" w:rsidRDefault="00451D09">
      <w:pPr>
        <w:ind w:firstLineChars="200" w:firstLine="420"/>
      </w:pPr>
      <w:r>
        <w:rPr>
          <w:rFonts w:hint="eastAsia"/>
        </w:rPr>
        <w:t>表头：表</w:t>
      </w:r>
      <w:proofErr w:type="gramStart"/>
      <w:r>
        <w:rPr>
          <w:rFonts w:hint="eastAsia"/>
        </w:rPr>
        <w:t>头显示</w:t>
      </w:r>
      <w:proofErr w:type="gramEnd"/>
      <w:r>
        <w:rPr>
          <w:rFonts w:hint="eastAsia"/>
        </w:rPr>
        <w:t>为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月债务期限结构分析表（合并）或者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月债务期限结构分析表（所有信息），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月为所查询月的时间，即用户进行条件筛选时录入的时间，</w:t>
      </w:r>
      <w:r>
        <w:rPr>
          <w:rFonts w:hint="eastAsia"/>
        </w:rPr>
        <w:lastRenderedPageBreak/>
        <w:t>合并</w:t>
      </w:r>
      <w:r>
        <w:rPr>
          <w:rFonts w:hint="eastAsia"/>
        </w:rPr>
        <w:t>/</w:t>
      </w:r>
      <w:r>
        <w:rPr>
          <w:rFonts w:hint="eastAsia"/>
        </w:rPr>
        <w:t>成员单位的选择亦来自用户的筛选条件。</w:t>
      </w:r>
    </w:p>
    <w:p w:rsidR="003E7111" w:rsidRDefault="00451D09">
      <w:pPr>
        <w:ind w:firstLineChars="200" w:firstLine="420"/>
      </w:pPr>
      <w:r>
        <w:rPr>
          <w:rFonts w:hint="eastAsia"/>
        </w:rPr>
        <w:t>单位</w:t>
      </w:r>
      <w:r w:rsidR="008441AF">
        <w:rPr>
          <w:rFonts w:hint="eastAsia"/>
        </w:rPr>
        <w:t>名称</w:t>
      </w:r>
      <w:r>
        <w:rPr>
          <w:rFonts w:hint="eastAsia"/>
        </w:rPr>
        <w:t>：需要查询的成员单位的名称。</w:t>
      </w:r>
    </w:p>
    <w:p w:rsidR="003E7111" w:rsidRDefault="00451D09">
      <w:pPr>
        <w:ind w:firstLineChars="200" w:firstLine="420"/>
      </w:pPr>
      <w:r>
        <w:rPr>
          <w:rFonts w:hint="eastAsia"/>
        </w:rPr>
        <w:t>付息债务：企业所有查询的月份的月末日付息借款的余额总和。</w:t>
      </w:r>
    </w:p>
    <w:p w:rsidR="003E7111" w:rsidRDefault="00451D09">
      <w:pPr>
        <w:ind w:firstLineChars="200" w:firstLine="420"/>
      </w:pPr>
      <w:r>
        <w:rPr>
          <w:rFonts w:hint="eastAsia"/>
        </w:rPr>
        <w:t>短期债务：企业所查询的月份的月末日付息借款中借款期限在</w:t>
      </w:r>
      <w:r w:rsidR="008441AF">
        <w:rPr>
          <w:rFonts w:hint="eastAsia"/>
        </w:rPr>
        <w:t>12</w:t>
      </w:r>
      <w:r w:rsidR="008441AF">
        <w:rPr>
          <w:rFonts w:hint="eastAsia"/>
        </w:rPr>
        <w:t>个月</w:t>
      </w:r>
      <w:r>
        <w:rPr>
          <w:rFonts w:hint="eastAsia"/>
        </w:rPr>
        <w:t>以下（含）的所有借款的余额总和。（例如借款放款日为</w:t>
      </w:r>
      <w:r w:rsidR="008441AF"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日，到期日为</w:t>
      </w:r>
      <w:r w:rsidR="008441AF"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proofErr w:type="gramStart"/>
      <w:r>
        <w:rPr>
          <w:rFonts w:hint="eastAsia"/>
        </w:rPr>
        <w:t>及之前</w:t>
      </w:r>
      <w:proofErr w:type="gramEnd"/>
      <w:r>
        <w:rPr>
          <w:rFonts w:hint="eastAsia"/>
        </w:rPr>
        <w:t>的，都算作短期借款。）</w:t>
      </w:r>
    </w:p>
    <w:p w:rsidR="003E7111" w:rsidRDefault="00451D09">
      <w:pPr>
        <w:ind w:firstLineChars="200" w:firstLine="420"/>
      </w:pPr>
      <w:r>
        <w:rPr>
          <w:rFonts w:hint="eastAsia"/>
        </w:rPr>
        <w:t>占比（第一个）：短期借款总额在所有付息借款中的占比，即短期债务</w:t>
      </w:r>
      <w:r>
        <w:rPr>
          <w:rFonts w:hint="eastAsia"/>
        </w:rPr>
        <w:t>/</w:t>
      </w:r>
      <w:r>
        <w:rPr>
          <w:rFonts w:hint="eastAsia"/>
        </w:rPr>
        <w:t>付息债务×</w:t>
      </w:r>
      <w:r>
        <w:rPr>
          <w:rFonts w:hint="eastAsia"/>
        </w:rPr>
        <w:t>100%</w:t>
      </w:r>
    </w:p>
    <w:p w:rsidR="003E7111" w:rsidRDefault="00451D09">
      <w:pPr>
        <w:ind w:firstLineChars="200" w:firstLine="420"/>
      </w:pPr>
      <w:r>
        <w:rPr>
          <w:rFonts w:hint="eastAsia"/>
        </w:rPr>
        <w:t>长期债务：企业所查询的月份的月末日付息借款中期限在</w:t>
      </w:r>
      <w:r w:rsidR="008441AF">
        <w:rPr>
          <w:rFonts w:hint="eastAsia"/>
        </w:rPr>
        <w:t>12</w:t>
      </w:r>
      <w:r w:rsidR="008441AF">
        <w:rPr>
          <w:rFonts w:hint="eastAsia"/>
        </w:rPr>
        <w:t>个月</w:t>
      </w:r>
      <w:r>
        <w:rPr>
          <w:rFonts w:hint="eastAsia"/>
        </w:rPr>
        <w:t>以上（不含）的付息借款的余额总和。</w:t>
      </w:r>
    </w:p>
    <w:p w:rsidR="003E7111" w:rsidRDefault="00451D09">
      <w:pPr>
        <w:ind w:firstLineChars="200" w:firstLine="420"/>
      </w:pPr>
      <w:r>
        <w:rPr>
          <w:rFonts w:hint="eastAsia"/>
        </w:rPr>
        <w:t>占比（第二个）：长期借款总额在所有付息借款中的占比，即长期债务</w:t>
      </w:r>
      <w:r>
        <w:rPr>
          <w:rFonts w:hint="eastAsia"/>
        </w:rPr>
        <w:t>/</w:t>
      </w:r>
      <w:r>
        <w:rPr>
          <w:rFonts w:hint="eastAsia"/>
        </w:rPr>
        <w:t>付息债务×</w:t>
      </w:r>
      <w:r>
        <w:rPr>
          <w:rFonts w:hint="eastAsia"/>
        </w:rPr>
        <w:t>100%</w:t>
      </w:r>
    </w:p>
    <w:p w:rsidR="003E7111" w:rsidRDefault="00451D09">
      <w:pPr>
        <w:ind w:firstLineChars="200" w:firstLine="420"/>
      </w:pPr>
      <w:r>
        <w:rPr>
          <w:rFonts w:hint="eastAsia"/>
        </w:rPr>
        <w:t>合计：债务栏合计为同列表格的加和，</w:t>
      </w:r>
      <w:proofErr w:type="gramStart"/>
      <w:r>
        <w:rPr>
          <w:rFonts w:hint="eastAsia"/>
        </w:rPr>
        <w:t>占比栏合计</w:t>
      </w:r>
      <w:proofErr w:type="gramEnd"/>
      <w:r>
        <w:rPr>
          <w:rFonts w:hint="eastAsia"/>
        </w:rPr>
        <w:t>为合计短期债务</w:t>
      </w:r>
      <w:r>
        <w:rPr>
          <w:rFonts w:hint="eastAsia"/>
        </w:rPr>
        <w:t>/</w:t>
      </w:r>
      <w:r>
        <w:rPr>
          <w:rFonts w:hint="eastAsia"/>
        </w:rPr>
        <w:t>合计付息债务，长期债务合计占比同上。</w:t>
      </w:r>
    </w:p>
    <w:p w:rsidR="003E7111" w:rsidRDefault="003E7111">
      <w:pPr>
        <w:ind w:firstLineChars="200" w:firstLine="420"/>
      </w:pPr>
    </w:p>
    <w:p w:rsidR="003E7111" w:rsidRDefault="00451D09">
      <w:pPr>
        <w:pStyle w:val="3"/>
        <w:tabs>
          <w:tab w:val="clear" w:pos="432"/>
        </w:tabs>
      </w:pPr>
      <w:bookmarkStart w:id="38" w:name="_Toc439325096"/>
      <w:bookmarkStart w:id="39" w:name="_Toc24384665"/>
      <w:r>
        <w:rPr>
          <w:rFonts w:hint="eastAsia"/>
        </w:rPr>
        <w:t>业务规则</w:t>
      </w:r>
      <w:bookmarkEnd w:id="38"/>
      <w:bookmarkEnd w:id="39"/>
    </w:p>
    <w:p w:rsidR="003E7111" w:rsidRDefault="00451D09">
      <w:pPr>
        <w:ind w:firstLineChars="200" w:firstLine="420"/>
      </w:pPr>
      <w:r>
        <w:rPr>
          <w:rFonts w:hint="eastAsia"/>
        </w:rPr>
        <w:t>无</w:t>
      </w:r>
    </w:p>
    <w:p w:rsidR="003E7111" w:rsidRDefault="00451D09">
      <w:pPr>
        <w:pStyle w:val="2"/>
        <w:tabs>
          <w:tab w:val="clear" w:pos="432"/>
          <w:tab w:val="clear" w:pos="1001"/>
        </w:tabs>
        <w:ind w:left="576"/>
        <w:rPr>
          <w:highlight w:val="green"/>
        </w:rPr>
      </w:pPr>
      <w:bookmarkStart w:id="40" w:name="_Toc439325102"/>
      <w:bookmarkStart w:id="41" w:name="_Toc24384666"/>
      <w:r>
        <w:rPr>
          <w:rFonts w:hint="eastAsia"/>
          <w:highlight w:val="green"/>
        </w:rPr>
        <w:t>融资成本分析表</w:t>
      </w:r>
      <w:bookmarkEnd w:id="40"/>
      <w:bookmarkEnd w:id="41"/>
    </w:p>
    <w:p w:rsidR="003E7111" w:rsidRDefault="00451D09">
      <w:pPr>
        <w:pStyle w:val="3"/>
        <w:tabs>
          <w:tab w:val="clear" w:pos="432"/>
        </w:tabs>
      </w:pPr>
      <w:bookmarkStart w:id="42" w:name="_Toc439325103"/>
      <w:bookmarkStart w:id="43" w:name="_Toc24384667"/>
      <w:r>
        <w:rPr>
          <w:rFonts w:hint="eastAsia"/>
        </w:rPr>
        <w:t>业务功能</w:t>
      </w:r>
      <w:bookmarkEnd w:id="42"/>
      <w:bookmarkEnd w:id="43"/>
    </w:p>
    <w:p w:rsidR="003E7111" w:rsidRDefault="00451D09">
      <w:pPr>
        <w:ind w:firstLineChars="200" w:firstLine="420"/>
      </w:pPr>
      <w:r>
        <w:rPr>
          <w:rFonts w:hint="eastAsia"/>
        </w:rPr>
        <w:t>该报表为统计企业融资成本而设计，此处融资成本</w:t>
      </w:r>
      <w:r w:rsidR="00991572">
        <w:rPr>
          <w:rFonts w:hint="eastAsia"/>
        </w:rPr>
        <w:t>为融资</w:t>
      </w:r>
      <w:r>
        <w:rPr>
          <w:rFonts w:hint="eastAsia"/>
        </w:rPr>
        <w:t>利率</w:t>
      </w:r>
      <w:r w:rsidR="00161E5C">
        <w:rPr>
          <w:rFonts w:hint="eastAsia"/>
        </w:rPr>
        <w:t>，以</w:t>
      </w:r>
      <w:proofErr w:type="gramStart"/>
      <w:r w:rsidR="00991572">
        <w:rPr>
          <w:rFonts w:hint="eastAsia"/>
        </w:rPr>
        <w:t>化</w:t>
      </w:r>
      <w:r w:rsidR="006B5456">
        <w:rPr>
          <w:rFonts w:hint="eastAsia"/>
        </w:rPr>
        <w:t>利率</w:t>
      </w:r>
      <w:proofErr w:type="gramEnd"/>
      <w:r w:rsidR="006B5456">
        <w:rPr>
          <w:rFonts w:hint="eastAsia"/>
        </w:rPr>
        <w:t>计算，该报表实际包含四</w:t>
      </w:r>
      <w:r>
        <w:rPr>
          <w:rFonts w:hint="eastAsia"/>
        </w:rPr>
        <w:t>种逻辑，即</w:t>
      </w:r>
      <w:r w:rsidR="008441AF">
        <w:rPr>
          <w:rFonts w:hint="eastAsia"/>
        </w:rPr>
        <w:t>铁路集团</w:t>
      </w:r>
      <w:r>
        <w:rPr>
          <w:rFonts w:hint="eastAsia"/>
        </w:rPr>
        <w:t>当年累计所有信息口径逻辑，成员单位当年累计所有信息口径逻辑，</w:t>
      </w:r>
      <w:r w:rsidR="008441AF">
        <w:rPr>
          <w:rFonts w:hint="eastAsia"/>
        </w:rPr>
        <w:t>铁路</w:t>
      </w:r>
      <w:proofErr w:type="gramStart"/>
      <w:r w:rsidR="008441AF">
        <w:rPr>
          <w:rFonts w:hint="eastAsia"/>
        </w:rPr>
        <w:t>集团</w:t>
      </w:r>
      <w:r>
        <w:rPr>
          <w:rFonts w:hint="eastAsia"/>
        </w:rPr>
        <w:t>月</w:t>
      </w:r>
      <w:proofErr w:type="gramEnd"/>
      <w:r>
        <w:rPr>
          <w:rFonts w:hint="eastAsia"/>
        </w:rPr>
        <w:t>累计所有信息口径逻辑，成员</w:t>
      </w:r>
      <w:proofErr w:type="gramStart"/>
      <w:r>
        <w:rPr>
          <w:rFonts w:hint="eastAsia"/>
        </w:rPr>
        <w:t>单位月</w:t>
      </w:r>
      <w:proofErr w:type="gramEnd"/>
      <w:r>
        <w:rPr>
          <w:rFonts w:hint="eastAsia"/>
        </w:rPr>
        <w:t>累计所有信息口径。</w:t>
      </w:r>
    </w:p>
    <w:p w:rsidR="003E7111" w:rsidRDefault="008441AF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当年累计所有信息口径逻辑：列表显示数据为当年累计加权平均结果，即某一品</w:t>
      </w:r>
      <w:proofErr w:type="gramStart"/>
      <w:r w:rsidR="00451D09">
        <w:rPr>
          <w:rFonts w:hint="eastAsia"/>
        </w:rPr>
        <w:t>种成本</w:t>
      </w:r>
      <w:proofErr w:type="gramEnd"/>
      <w:r w:rsidR="00451D09">
        <w:rPr>
          <w:rFonts w:hint="eastAsia"/>
        </w:rPr>
        <w:t>即为该品种借款当年平均日利息</w:t>
      </w:r>
      <w:r w:rsidR="00451D09">
        <w:rPr>
          <w:rFonts w:hint="eastAsia"/>
        </w:rPr>
        <w:t>/</w:t>
      </w:r>
      <w:r w:rsidR="00451D09">
        <w:rPr>
          <w:rFonts w:hint="eastAsia"/>
        </w:rPr>
        <w:t>当年平均日本金，报表显示所有内外部融资，本逻辑下</w:t>
      </w:r>
      <w:r>
        <w:rPr>
          <w:rFonts w:hint="eastAsia"/>
        </w:rPr>
        <w:t>铁路集团</w:t>
      </w:r>
      <w:r w:rsidR="00451D09">
        <w:rPr>
          <w:rFonts w:hint="eastAsia"/>
        </w:rPr>
        <w:t>可查询到所有成员单位的借款情况，该逻辑仅</w:t>
      </w:r>
      <w:proofErr w:type="gramStart"/>
      <w:r w:rsidR="00451D09">
        <w:rPr>
          <w:rFonts w:hint="eastAsia"/>
        </w:rPr>
        <w:t>供</w:t>
      </w:r>
      <w:r>
        <w:rPr>
          <w:rFonts w:hint="eastAsia"/>
        </w:rPr>
        <w:t>铁路</w:t>
      </w:r>
      <w:proofErr w:type="gramEnd"/>
      <w:r>
        <w:rPr>
          <w:rFonts w:hint="eastAsia"/>
        </w:rPr>
        <w:t>集团</w:t>
      </w:r>
      <w:r w:rsidR="00451D09">
        <w:rPr>
          <w:rFonts w:hint="eastAsia"/>
        </w:rPr>
        <w:t>使用；</w:t>
      </w:r>
    </w:p>
    <w:p w:rsidR="003E7111" w:rsidRDefault="00451D09">
      <w:pPr>
        <w:ind w:firstLineChars="200" w:firstLine="420"/>
      </w:pPr>
      <w:r>
        <w:rPr>
          <w:rFonts w:hint="eastAsia"/>
        </w:rPr>
        <w:t>成员单位当年累计所有信息口径逻辑：列表显示数据为当年累计加权平均结果，即某一品</w:t>
      </w:r>
      <w:proofErr w:type="gramStart"/>
      <w:r>
        <w:rPr>
          <w:rFonts w:hint="eastAsia"/>
        </w:rPr>
        <w:t>种成本</w:t>
      </w:r>
      <w:proofErr w:type="gramEnd"/>
      <w:r>
        <w:rPr>
          <w:rFonts w:hint="eastAsia"/>
        </w:rPr>
        <w:t>即为该品种借款当年平均日利息</w:t>
      </w:r>
      <w:r>
        <w:rPr>
          <w:rFonts w:hint="eastAsia"/>
        </w:rPr>
        <w:t>/</w:t>
      </w:r>
      <w:r w:rsidR="00F62A2D">
        <w:rPr>
          <w:rFonts w:hint="eastAsia"/>
        </w:rPr>
        <w:t>当年平均日本金，报表显示所有内外部融资</w:t>
      </w:r>
      <w:r>
        <w:rPr>
          <w:rFonts w:hint="eastAsia"/>
        </w:rPr>
        <w:t>，本逻辑下成员单位仅可查询到自身的借款情况，该逻辑供成员单位使用。</w:t>
      </w:r>
    </w:p>
    <w:p w:rsidR="003E7111" w:rsidRDefault="008441AF">
      <w:pPr>
        <w:ind w:firstLineChars="200" w:firstLine="420"/>
      </w:pPr>
      <w:r>
        <w:rPr>
          <w:rFonts w:hint="eastAsia"/>
        </w:rPr>
        <w:t>铁路</w:t>
      </w:r>
      <w:proofErr w:type="gramStart"/>
      <w:r>
        <w:rPr>
          <w:rFonts w:hint="eastAsia"/>
        </w:rPr>
        <w:t>集团</w:t>
      </w:r>
      <w:r w:rsidR="00451D09">
        <w:rPr>
          <w:rFonts w:hint="eastAsia"/>
        </w:rPr>
        <w:t>月</w:t>
      </w:r>
      <w:proofErr w:type="gramEnd"/>
      <w:r w:rsidR="00451D09">
        <w:rPr>
          <w:rFonts w:hint="eastAsia"/>
        </w:rPr>
        <w:t>累计所有信息口径逻辑：列表显示数据为查询区间内各月累计加权平均结果，即某一品</w:t>
      </w:r>
      <w:proofErr w:type="gramStart"/>
      <w:r w:rsidR="00451D09">
        <w:rPr>
          <w:rFonts w:hint="eastAsia"/>
        </w:rPr>
        <w:t>种成本</w:t>
      </w:r>
      <w:proofErr w:type="gramEnd"/>
      <w:r w:rsidR="00451D09">
        <w:rPr>
          <w:rFonts w:hint="eastAsia"/>
        </w:rPr>
        <w:t>即为该品种借款查询区间内平均日利息</w:t>
      </w:r>
      <w:r w:rsidR="00451D09">
        <w:rPr>
          <w:rFonts w:hint="eastAsia"/>
        </w:rPr>
        <w:t>/</w:t>
      </w:r>
      <w:r w:rsidR="00451D09">
        <w:rPr>
          <w:rFonts w:hint="eastAsia"/>
        </w:rPr>
        <w:t>查询区间月平均日本金，报表显示所有内外部融资，本逻辑下</w:t>
      </w:r>
      <w:r>
        <w:rPr>
          <w:rFonts w:hint="eastAsia"/>
        </w:rPr>
        <w:t>铁路集团</w:t>
      </w:r>
      <w:r w:rsidR="00451D09">
        <w:rPr>
          <w:rFonts w:hint="eastAsia"/>
        </w:rPr>
        <w:t>可查询到所有成员单位的借款情况，该逻辑仅</w:t>
      </w:r>
      <w:proofErr w:type="gramStart"/>
      <w:r w:rsidR="00451D09">
        <w:rPr>
          <w:rFonts w:hint="eastAsia"/>
        </w:rPr>
        <w:t>供</w:t>
      </w:r>
      <w:r>
        <w:rPr>
          <w:rFonts w:hint="eastAsia"/>
        </w:rPr>
        <w:t>铁路</w:t>
      </w:r>
      <w:proofErr w:type="gramEnd"/>
      <w:r>
        <w:rPr>
          <w:rFonts w:hint="eastAsia"/>
        </w:rPr>
        <w:t>集团</w:t>
      </w:r>
      <w:r w:rsidR="00451D09">
        <w:rPr>
          <w:rFonts w:hint="eastAsia"/>
        </w:rPr>
        <w:t>使用；</w:t>
      </w:r>
    </w:p>
    <w:p w:rsidR="003E7111" w:rsidRDefault="00451D09">
      <w:pPr>
        <w:ind w:firstLineChars="200" w:firstLine="420"/>
      </w:pPr>
      <w:r>
        <w:rPr>
          <w:rFonts w:hint="eastAsia"/>
        </w:rPr>
        <w:t>成员</w:t>
      </w:r>
      <w:proofErr w:type="gramStart"/>
      <w:r>
        <w:rPr>
          <w:rFonts w:hint="eastAsia"/>
        </w:rPr>
        <w:t>单位月</w:t>
      </w:r>
      <w:proofErr w:type="gramEnd"/>
      <w:r>
        <w:rPr>
          <w:rFonts w:hint="eastAsia"/>
        </w:rPr>
        <w:t>累计所有信息口径逻辑：列表显示数据为查询区间内各月累计加权平均结果，即某一品</w:t>
      </w:r>
      <w:proofErr w:type="gramStart"/>
      <w:r>
        <w:rPr>
          <w:rFonts w:hint="eastAsia"/>
        </w:rPr>
        <w:t>种成本</w:t>
      </w:r>
      <w:proofErr w:type="gramEnd"/>
      <w:r>
        <w:rPr>
          <w:rFonts w:hint="eastAsia"/>
        </w:rPr>
        <w:t>即为该品种借款查询区间内平均日利息</w:t>
      </w:r>
      <w:r>
        <w:rPr>
          <w:rFonts w:hint="eastAsia"/>
        </w:rPr>
        <w:t>/</w:t>
      </w:r>
      <w:r>
        <w:rPr>
          <w:rFonts w:hint="eastAsia"/>
        </w:rPr>
        <w:t>查询区间内平均日本金，报表显示所有内外部融资，本逻辑下成员单位仅可查询到自身的借款情况，该逻辑供成员单位使用。</w:t>
      </w:r>
    </w:p>
    <w:p w:rsidR="003E7111" w:rsidRDefault="00451D09">
      <w:pPr>
        <w:ind w:firstLineChars="200" w:firstLine="420"/>
      </w:pPr>
      <w:r>
        <w:rPr>
          <w:rFonts w:hint="eastAsia"/>
        </w:rPr>
        <w:t>查询区间内平均日利息：该区间内每日利息加和</w:t>
      </w:r>
      <w:r>
        <w:rPr>
          <w:rFonts w:hint="eastAsia"/>
        </w:rPr>
        <w:t>/</w:t>
      </w:r>
      <w:r>
        <w:rPr>
          <w:rFonts w:hint="eastAsia"/>
        </w:rPr>
        <w:t>该区间内天数</w:t>
      </w:r>
      <w:r w:rsidR="00991572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查询区间内平均日本金：该区间内每日本金加和</w:t>
      </w:r>
      <w:r>
        <w:rPr>
          <w:rFonts w:hint="eastAsia"/>
        </w:rPr>
        <w:t>/</w:t>
      </w:r>
      <w:r>
        <w:rPr>
          <w:rFonts w:hint="eastAsia"/>
        </w:rPr>
        <w:t>该区间内天数</w:t>
      </w:r>
      <w:r w:rsidR="00991572">
        <w:rPr>
          <w:rFonts w:hint="eastAsia"/>
        </w:rPr>
        <w:t>。</w:t>
      </w:r>
    </w:p>
    <w:p w:rsidR="003E7111" w:rsidRDefault="00451D09">
      <w:pPr>
        <w:ind w:firstLineChars="200" w:firstLine="420"/>
      </w:pPr>
      <w:proofErr w:type="gramStart"/>
      <w:r>
        <w:rPr>
          <w:rFonts w:hint="eastAsia"/>
        </w:rPr>
        <w:t>表样如下</w:t>
      </w:r>
      <w:proofErr w:type="gramEnd"/>
      <w:r>
        <w:rPr>
          <w:rFonts w:hint="eastAsia"/>
        </w:rPr>
        <w:t>：</w:t>
      </w:r>
    </w:p>
    <w:p w:rsidR="003E7111" w:rsidRDefault="008441AF">
      <w:r w:rsidRPr="008441AF">
        <w:rPr>
          <w:noProof/>
        </w:rPr>
        <w:lastRenderedPageBreak/>
        <w:drawing>
          <wp:inline distT="0" distB="0" distL="0" distR="0">
            <wp:extent cx="5274310" cy="1844941"/>
            <wp:effectExtent l="19050" t="0" r="254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11" w:rsidRDefault="00451D09">
      <w:pPr>
        <w:ind w:firstLineChars="200" w:firstLine="420"/>
      </w:pPr>
      <w:r>
        <w:rPr>
          <w:rFonts w:hint="eastAsia"/>
        </w:rPr>
        <w:t>可查询到当前账务日期前任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日期数据，年累计为当年累计，报表中仅显示列示查询单位存在的融资品种，最后查询到的报表可以形成</w:t>
      </w:r>
      <w:r>
        <w:rPr>
          <w:rFonts w:hint="eastAsia"/>
        </w:rPr>
        <w:t>excel</w:t>
      </w:r>
      <w:r>
        <w:rPr>
          <w:rFonts w:hint="eastAsia"/>
        </w:rPr>
        <w:t>表格形式导出。</w:t>
      </w:r>
    </w:p>
    <w:p w:rsidR="003E7111" w:rsidRDefault="00451D09">
      <w:pPr>
        <w:pStyle w:val="3"/>
        <w:tabs>
          <w:tab w:val="clear" w:pos="432"/>
        </w:tabs>
      </w:pPr>
      <w:bookmarkStart w:id="44" w:name="_Toc439325104"/>
      <w:bookmarkStart w:id="45" w:name="_Toc24384668"/>
      <w:r>
        <w:rPr>
          <w:rFonts w:hint="eastAsia"/>
        </w:rPr>
        <w:t>业务流程</w:t>
      </w:r>
      <w:bookmarkEnd w:id="44"/>
      <w:bookmarkEnd w:id="45"/>
    </w:p>
    <w:p w:rsidR="003E7111" w:rsidRDefault="008441AF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或成员单位有权限岗位，进入报表中心，根据筛选项进行筛选，查询，即可形成上述报表，筛选条件包括：</w:t>
      </w:r>
    </w:p>
    <w:p w:rsidR="003E7111" w:rsidRDefault="00451D09">
      <w:pPr>
        <w:ind w:firstLineChars="200" w:firstLine="420"/>
      </w:pPr>
      <w:r>
        <w:rPr>
          <w:rFonts w:hint="eastAsia"/>
        </w:rPr>
        <w:t>计算时间：通过下拉菜单方式，有按年累计</w:t>
      </w:r>
      <w:r>
        <w:rPr>
          <w:rFonts w:hint="eastAsia"/>
        </w:rPr>
        <w:t>/</w:t>
      </w:r>
      <w:r>
        <w:rPr>
          <w:rFonts w:hint="eastAsia"/>
        </w:rPr>
        <w:t>按月累计两种方式，必选项</w:t>
      </w:r>
    </w:p>
    <w:p w:rsidR="003E7111" w:rsidRDefault="00451D09">
      <w:pPr>
        <w:ind w:firstLineChars="200" w:firstLine="420"/>
      </w:pPr>
      <w:r>
        <w:rPr>
          <w:rFonts w:hint="eastAsia"/>
        </w:rPr>
        <w:t>是否合并（</w:t>
      </w:r>
      <w:r w:rsidR="008441AF">
        <w:rPr>
          <w:rFonts w:hint="eastAsia"/>
        </w:rPr>
        <w:t>铁路集团</w:t>
      </w:r>
      <w:r>
        <w:rPr>
          <w:rFonts w:hint="eastAsia"/>
        </w:rPr>
        <w:t>专用）：通过下拉菜单方式，有合并</w:t>
      </w:r>
      <w:r>
        <w:rPr>
          <w:rFonts w:hint="eastAsia"/>
        </w:rPr>
        <w:t>/</w:t>
      </w:r>
      <w:r>
        <w:rPr>
          <w:rFonts w:hint="eastAsia"/>
        </w:rPr>
        <w:t>所有信息两个选项，必选项</w:t>
      </w:r>
    </w:p>
    <w:p w:rsidR="003E7111" w:rsidRDefault="00451D09">
      <w:pPr>
        <w:ind w:firstLineChars="200" w:firstLine="420"/>
      </w:pPr>
      <w:r>
        <w:rPr>
          <w:rFonts w:hint="eastAsia"/>
        </w:rPr>
        <w:t>查询</w:t>
      </w:r>
      <w:r>
        <w:t>日期：</w:t>
      </w:r>
      <w:r>
        <w:rPr>
          <w:rFonts w:hint="eastAsia"/>
        </w:rPr>
        <w:t>当年</w:t>
      </w:r>
      <w:r>
        <w:t>累计逻辑：</w:t>
      </w:r>
      <w:r>
        <w:rPr>
          <w:rFonts w:hint="eastAsia"/>
        </w:rPr>
        <w:t>仅</w:t>
      </w:r>
      <w:r>
        <w:t>查询</w:t>
      </w:r>
      <w:r>
        <w:rPr>
          <w:rFonts w:hint="eastAsia"/>
        </w:rPr>
        <w:t>月</w:t>
      </w:r>
      <w:r>
        <w:t>，表示当年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至查询月的累计平均情况</w:t>
      </w:r>
      <w:r>
        <w:rPr>
          <w:rFonts w:hint="eastAsia"/>
        </w:rPr>
        <w:t>；</w:t>
      </w:r>
      <w:r>
        <w:t>区间累计：</w:t>
      </w:r>
      <w:r>
        <w:rPr>
          <w:rFonts w:hint="eastAsia"/>
        </w:rPr>
        <w:t>查询月起，查询月止，</w:t>
      </w:r>
      <w:r>
        <w:t>表示查询区间内的累计情况。</w:t>
      </w:r>
    </w:p>
    <w:p w:rsidR="003E7111" w:rsidRDefault="00451D09">
      <w:pPr>
        <w:ind w:firstLineChars="200" w:firstLine="420"/>
      </w:pPr>
      <w:r>
        <w:rPr>
          <w:rFonts w:hint="eastAsia"/>
        </w:rPr>
        <w:t>单位名称：列表模式，可单选、复选或不选，不选则显示所有。</w:t>
      </w:r>
    </w:p>
    <w:p w:rsidR="003E7111" w:rsidRDefault="00451D09">
      <w:pPr>
        <w:pStyle w:val="3"/>
        <w:tabs>
          <w:tab w:val="clear" w:pos="432"/>
        </w:tabs>
      </w:pPr>
      <w:bookmarkStart w:id="46" w:name="_Toc439325105"/>
      <w:bookmarkStart w:id="47" w:name="_Toc24384669"/>
      <w:r>
        <w:rPr>
          <w:rFonts w:hint="eastAsia"/>
        </w:rPr>
        <w:t>业务要素</w:t>
      </w:r>
      <w:bookmarkEnd w:id="46"/>
      <w:bookmarkEnd w:id="47"/>
    </w:p>
    <w:p w:rsidR="003E7111" w:rsidRDefault="00451D09">
      <w:pPr>
        <w:ind w:firstLineChars="200" w:firstLine="420"/>
      </w:pPr>
      <w:r>
        <w:rPr>
          <w:rFonts w:hint="eastAsia"/>
        </w:rPr>
        <w:t>表头：表</w:t>
      </w:r>
      <w:proofErr w:type="gramStart"/>
      <w:r>
        <w:rPr>
          <w:rFonts w:hint="eastAsia"/>
        </w:rPr>
        <w:t>头显示</w:t>
      </w:r>
      <w:proofErr w:type="gramEnd"/>
      <w:r>
        <w:rPr>
          <w:rFonts w:hint="eastAsia"/>
        </w:rPr>
        <w:t>为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月融资成本分析表（合并）或者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月融资成本分析表（所有信息），</w:t>
      </w:r>
      <w:r>
        <w:rPr>
          <w:rFonts w:hint="eastAsia"/>
        </w:rPr>
        <w:t>****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月为所查询月的时间，即用户进行条件筛选时录入的时间，合并</w:t>
      </w:r>
      <w:r>
        <w:rPr>
          <w:rFonts w:hint="eastAsia"/>
        </w:rPr>
        <w:t>/</w:t>
      </w:r>
      <w:r>
        <w:rPr>
          <w:rFonts w:hint="eastAsia"/>
        </w:rPr>
        <w:t>所有信息的选择亦来自用户的筛选条件。</w:t>
      </w:r>
    </w:p>
    <w:p w:rsidR="003E7111" w:rsidRDefault="00451D09">
      <w:pPr>
        <w:ind w:firstLineChars="200" w:firstLine="420"/>
      </w:pPr>
      <w:r>
        <w:rPr>
          <w:rFonts w:hint="eastAsia"/>
        </w:rPr>
        <w:t>单位：需要查询的成员单位的名称。</w:t>
      </w:r>
    </w:p>
    <w:p w:rsidR="003E7111" w:rsidRDefault="00451D09">
      <w:pPr>
        <w:ind w:firstLineChars="200" w:firstLine="420"/>
      </w:pPr>
      <w:r>
        <w:rPr>
          <w:rFonts w:hint="eastAsia"/>
        </w:rPr>
        <w:t>品种一、品种二、品种三</w:t>
      </w:r>
      <w:r>
        <w:t>…</w:t>
      </w:r>
      <w:r>
        <w:rPr>
          <w:rFonts w:hint="eastAsia"/>
        </w:rPr>
        <w:t>：查询的成员单位拥有的融资品种对应的</w:t>
      </w:r>
      <w:proofErr w:type="gramStart"/>
      <w:r>
        <w:rPr>
          <w:rFonts w:hint="eastAsia"/>
        </w:rPr>
        <w:t>成本年化利率</w:t>
      </w:r>
      <w:proofErr w:type="gramEnd"/>
      <w:r w:rsidR="00991572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平均（短期债务）：查询的成员单位所有的短期债务的</w:t>
      </w:r>
      <w:proofErr w:type="gramStart"/>
      <w:r>
        <w:rPr>
          <w:rFonts w:hint="eastAsia"/>
        </w:rPr>
        <w:t>成本年化利率</w:t>
      </w:r>
      <w:proofErr w:type="gramEnd"/>
      <w:r w:rsidR="00991572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平均（长期债务）：查询的成员单位所有的长期债务的</w:t>
      </w:r>
      <w:proofErr w:type="gramStart"/>
      <w:r>
        <w:rPr>
          <w:rFonts w:hint="eastAsia"/>
        </w:rPr>
        <w:t>成本年化利率</w:t>
      </w:r>
      <w:proofErr w:type="gramEnd"/>
      <w:r w:rsidR="00991572">
        <w:rPr>
          <w:rFonts w:hint="eastAsia"/>
        </w:rPr>
        <w:t>。</w:t>
      </w:r>
    </w:p>
    <w:p w:rsidR="003E7111" w:rsidRDefault="00451D09">
      <w:pPr>
        <w:ind w:firstLineChars="200" w:firstLine="420"/>
      </w:pPr>
      <w:r>
        <w:rPr>
          <w:rFonts w:hint="eastAsia"/>
        </w:rPr>
        <w:t>综合：查询的成员单位所有的融资的</w:t>
      </w:r>
      <w:proofErr w:type="gramStart"/>
      <w:r>
        <w:rPr>
          <w:rFonts w:hint="eastAsia"/>
        </w:rPr>
        <w:t>成本年化利率</w:t>
      </w:r>
      <w:proofErr w:type="gramEnd"/>
      <w:r w:rsidR="00991572">
        <w:rPr>
          <w:rFonts w:hint="eastAsia"/>
        </w:rPr>
        <w:t>。</w:t>
      </w:r>
    </w:p>
    <w:p w:rsidR="003E7111" w:rsidRDefault="00451D09">
      <w:pPr>
        <w:pStyle w:val="3"/>
        <w:tabs>
          <w:tab w:val="clear" w:pos="432"/>
        </w:tabs>
      </w:pPr>
      <w:bookmarkStart w:id="48" w:name="_Toc439325106"/>
      <w:bookmarkStart w:id="49" w:name="_Toc24384670"/>
      <w:r>
        <w:rPr>
          <w:rFonts w:hint="eastAsia"/>
        </w:rPr>
        <w:t>业务规则</w:t>
      </w:r>
      <w:bookmarkEnd w:id="48"/>
      <w:bookmarkEnd w:id="49"/>
    </w:p>
    <w:p w:rsidR="003E7111" w:rsidRDefault="00451D09">
      <w:pPr>
        <w:ind w:firstLineChars="200" w:firstLine="420"/>
      </w:pPr>
      <w:r>
        <w:rPr>
          <w:rFonts w:hint="eastAsia"/>
        </w:rPr>
        <w:t>无</w:t>
      </w:r>
    </w:p>
    <w:p w:rsidR="003E7111" w:rsidRDefault="00451D09">
      <w:pPr>
        <w:pStyle w:val="2"/>
        <w:tabs>
          <w:tab w:val="clear" w:pos="432"/>
          <w:tab w:val="clear" w:pos="1001"/>
        </w:tabs>
        <w:ind w:left="576"/>
        <w:rPr>
          <w:highlight w:val="green"/>
        </w:rPr>
      </w:pPr>
      <w:bookmarkStart w:id="50" w:name="_Toc439325107"/>
      <w:bookmarkStart w:id="51" w:name="_Toc24384671"/>
      <w:r>
        <w:rPr>
          <w:rFonts w:hint="eastAsia"/>
          <w:highlight w:val="green"/>
        </w:rPr>
        <w:lastRenderedPageBreak/>
        <w:t>金融机构贷款分析表</w:t>
      </w:r>
      <w:bookmarkEnd w:id="50"/>
      <w:bookmarkEnd w:id="51"/>
    </w:p>
    <w:p w:rsidR="003E7111" w:rsidRDefault="00451D09">
      <w:pPr>
        <w:pStyle w:val="3"/>
        <w:tabs>
          <w:tab w:val="clear" w:pos="432"/>
        </w:tabs>
      </w:pPr>
      <w:bookmarkStart w:id="52" w:name="_Toc439325108"/>
      <w:bookmarkStart w:id="53" w:name="_Toc24384672"/>
      <w:r>
        <w:rPr>
          <w:rFonts w:hint="eastAsia"/>
        </w:rPr>
        <w:t>业务功能</w:t>
      </w:r>
      <w:bookmarkEnd w:id="52"/>
      <w:bookmarkEnd w:id="53"/>
    </w:p>
    <w:p w:rsidR="003E7111" w:rsidRDefault="00451D09">
      <w:pPr>
        <w:ind w:firstLineChars="200" w:firstLine="420"/>
      </w:pPr>
      <w:r>
        <w:rPr>
          <w:rFonts w:hint="eastAsia"/>
        </w:rPr>
        <w:t>此表格设计功能是为了统计在所有金融机构贷款的金额及占比情况，该处的贷款包括了在各家银行的融资，包括直接融资和间接融资，</w:t>
      </w:r>
      <w:r w:rsidR="008441AF">
        <w:rPr>
          <w:rFonts w:hint="eastAsia"/>
        </w:rPr>
        <w:t>铁路集团</w:t>
      </w:r>
      <w:r>
        <w:rPr>
          <w:rFonts w:hint="eastAsia"/>
        </w:rPr>
        <w:t>自营贷款，非</w:t>
      </w:r>
      <w:proofErr w:type="gramStart"/>
      <w:r>
        <w:rPr>
          <w:rFonts w:hint="eastAsia"/>
        </w:rPr>
        <w:t>银机构</w:t>
      </w:r>
      <w:proofErr w:type="gramEnd"/>
      <w:r>
        <w:rPr>
          <w:rFonts w:hint="eastAsia"/>
        </w:rPr>
        <w:t>融资，此处的银行为广义概念，例如招商银行，工商银行，非</w:t>
      </w:r>
      <w:proofErr w:type="gramStart"/>
      <w:r>
        <w:rPr>
          <w:rFonts w:hint="eastAsia"/>
        </w:rPr>
        <w:t>银机构</w:t>
      </w:r>
      <w:proofErr w:type="gramEnd"/>
      <w:r>
        <w:rPr>
          <w:rFonts w:hint="eastAsia"/>
        </w:rPr>
        <w:t>则指具体机构，例如平安保险某某营业部。长短期债务概念同表</w:t>
      </w:r>
      <w:r>
        <w:rPr>
          <w:rFonts w:hint="eastAsia"/>
        </w:rPr>
        <w:t>4</w:t>
      </w:r>
      <w:r>
        <w:rPr>
          <w:rFonts w:hint="eastAsia"/>
        </w:rPr>
        <w:t>。该表实际包含两种逻辑，即</w:t>
      </w:r>
      <w:r w:rsidR="008441AF">
        <w:rPr>
          <w:rFonts w:hint="eastAsia"/>
        </w:rPr>
        <w:t>铁路集团</w:t>
      </w:r>
      <w:r>
        <w:rPr>
          <w:rFonts w:hint="eastAsia"/>
        </w:rPr>
        <w:t>逻辑及成员单位逻辑，</w:t>
      </w:r>
      <w:r w:rsidR="008441AF">
        <w:rPr>
          <w:rFonts w:hint="eastAsia"/>
        </w:rPr>
        <w:t>铁路集团</w:t>
      </w:r>
      <w:r>
        <w:rPr>
          <w:rFonts w:hint="eastAsia"/>
        </w:rPr>
        <w:t>逻辑下可统计所有成员单位情况，成员单位逻辑下仅统计成员单位自身情况。</w:t>
      </w:r>
    </w:p>
    <w:p w:rsidR="003E7111" w:rsidRDefault="00451D09">
      <w:pPr>
        <w:ind w:firstLineChars="200" w:firstLine="420"/>
      </w:pPr>
      <w:proofErr w:type="gramStart"/>
      <w:r>
        <w:rPr>
          <w:rFonts w:hint="eastAsia"/>
        </w:rPr>
        <w:t>表样如下</w:t>
      </w:r>
      <w:proofErr w:type="gramEnd"/>
      <w:r>
        <w:rPr>
          <w:rFonts w:hint="eastAsia"/>
        </w:rPr>
        <w:t>：</w:t>
      </w:r>
    </w:p>
    <w:p w:rsidR="003E7111" w:rsidRDefault="00FD41D1">
      <w:r w:rsidRPr="00FD41D1">
        <w:rPr>
          <w:noProof/>
        </w:rPr>
        <w:drawing>
          <wp:inline distT="0" distB="0" distL="0" distR="0">
            <wp:extent cx="5274310" cy="1338094"/>
            <wp:effectExtent l="19050" t="0" r="254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11" w:rsidRDefault="00451D09">
      <w:pPr>
        <w:ind w:firstLineChars="200" w:firstLine="420"/>
      </w:pPr>
      <w:r>
        <w:rPr>
          <w:rFonts w:hint="eastAsia"/>
        </w:rPr>
        <w:t>该功能可查询到当前月份之前任一月的金融机构贷款情况，该表列示数据均为查询月月末日时点余额数据，金额单位为万元，精确到小数点后两位，占比为百分比，精确到小数点后两位。查询到的报表可以</w:t>
      </w:r>
      <w:r>
        <w:rPr>
          <w:rFonts w:hint="eastAsia"/>
        </w:rPr>
        <w:t>excel</w:t>
      </w:r>
      <w:r>
        <w:rPr>
          <w:rFonts w:hint="eastAsia"/>
        </w:rPr>
        <w:t>表格形式导出。</w:t>
      </w:r>
    </w:p>
    <w:p w:rsidR="003E7111" w:rsidRDefault="00451D09">
      <w:pPr>
        <w:pStyle w:val="3"/>
        <w:tabs>
          <w:tab w:val="clear" w:pos="432"/>
        </w:tabs>
      </w:pPr>
      <w:bookmarkStart w:id="54" w:name="_Toc439325109"/>
      <w:bookmarkStart w:id="55" w:name="_Toc24384673"/>
      <w:r>
        <w:rPr>
          <w:rFonts w:hint="eastAsia"/>
        </w:rPr>
        <w:t>业务流程</w:t>
      </w:r>
      <w:bookmarkEnd w:id="54"/>
      <w:bookmarkEnd w:id="55"/>
    </w:p>
    <w:p w:rsidR="003E7111" w:rsidRDefault="008441AF">
      <w:pPr>
        <w:ind w:firstLineChars="200" w:firstLine="420"/>
      </w:pPr>
      <w:r>
        <w:rPr>
          <w:rFonts w:hint="eastAsia"/>
        </w:rPr>
        <w:t>铁路集团</w:t>
      </w:r>
      <w:r w:rsidR="00451D09">
        <w:rPr>
          <w:rFonts w:hint="eastAsia"/>
        </w:rPr>
        <w:t>或成员单位有权限岗位，进入报表中心，根据筛选项进行筛选，查询，即可形成上述报表，筛选条件包括：</w:t>
      </w:r>
    </w:p>
    <w:p w:rsidR="003E7111" w:rsidRDefault="00451D09">
      <w:pPr>
        <w:ind w:firstLineChars="200" w:firstLine="420"/>
      </w:pPr>
      <w:r>
        <w:rPr>
          <w:rFonts w:hint="eastAsia"/>
        </w:rPr>
        <w:t>查询日期：查询精确到月</w:t>
      </w:r>
    </w:p>
    <w:p w:rsidR="003E7111" w:rsidRDefault="00451D09">
      <w:pPr>
        <w:pStyle w:val="3"/>
        <w:tabs>
          <w:tab w:val="clear" w:pos="432"/>
        </w:tabs>
      </w:pPr>
      <w:bookmarkStart w:id="56" w:name="_Toc439325110"/>
      <w:bookmarkStart w:id="57" w:name="_Toc24384674"/>
      <w:r>
        <w:rPr>
          <w:rFonts w:hint="eastAsia"/>
        </w:rPr>
        <w:t>业务要素</w:t>
      </w:r>
      <w:bookmarkEnd w:id="56"/>
      <w:bookmarkEnd w:id="57"/>
    </w:p>
    <w:p w:rsidR="003E7111" w:rsidRDefault="00FD41D1">
      <w:pPr>
        <w:ind w:firstLineChars="200" w:firstLine="420"/>
      </w:pPr>
      <w:r>
        <w:rPr>
          <w:rFonts w:hint="eastAsia"/>
        </w:rPr>
        <w:t>融资</w:t>
      </w:r>
      <w:r w:rsidR="00451D09">
        <w:rPr>
          <w:rFonts w:hint="eastAsia"/>
        </w:rPr>
        <w:t>机构：</w:t>
      </w:r>
      <w:r w:rsidR="00FD48FC" w:rsidRPr="00161E5C">
        <w:rPr>
          <w:rFonts w:hint="eastAsia"/>
        </w:rPr>
        <w:t>成员单位有融资的机构，主要为</w:t>
      </w:r>
      <w:r w:rsidR="00451D09" w:rsidRPr="00161E5C">
        <w:rPr>
          <w:rFonts w:hint="eastAsia"/>
        </w:rPr>
        <w:t>银行（仅指广义银行概念</w:t>
      </w:r>
      <w:r w:rsidR="00FD48FC" w:rsidRPr="00161E5C">
        <w:rPr>
          <w:rFonts w:hint="eastAsia"/>
        </w:rPr>
        <w:t>，如招商银行）</w:t>
      </w:r>
      <w:r w:rsidR="00FD48FC">
        <w:rPr>
          <w:rFonts w:hint="eastAsia"/>
          <w:color w:val="FF0000"/>
        </w:rPr>
        <w:t>、</w:t>
      </w:r>
      <w:r w:rsidR="00451D09">
        <w:rPr>
          <w:rFonts w:hint="eastAsia"/>
        </w:rPr>
        <w:t>债务余额：在该金融机构的所有融资余额。</w:t>
      </w:r>
    </w:p>
    <w:p w:rsidR="003E7111" w:rsidRDefault="00451D09">
      <w:pPr>
        <w:ind w:firstLineChars="200" w:firstLine="420"/>
      </w:pPr>
      <w:r>
        <w:rPr>
          <w:rFonts w:hint="eastAsia"/>
        </w:rPr>
        <w:t>占比（</w:t>
      </w:r>
      <w:r>
        <w:rPr>
          <w:rFonts w:hint="eastAsia"/>
        </w:rPr>
        <w:t>1</w:t>
      </w:r>
      <w:r>
        <w:rPr>
          <w:rFonts w:hint="eastAsia"/>
        </w:rPr>
        <w:t>）：该排所对应的金融机构提供的资金总额在所有融资总额中的占比，数据来源为该排对应的债务余额</w:t>
      </w:r>
      <w:r>
        <w:rPr>
          <w:rFonts w:hint="eastAsia"/>
        </w:rPr>
        <w:t>/</w:t>
      </w:r>
      <w:r>
        <w:rPr>
          <w:rFonts w:hint="eastAsia"/>
        </w:rPr>
        <w:t>债务余额合计×</w:t>
      </w:r>
      <w:r>
        <w:rPr>
          <w:rFonts w:hint="eastAsia"/>
        </w:rPr>
        <w:t>100%</w:t>
      </w:r>
    </w:p>
    <w:p w:rsidR="003E7111" w:rsidRDefault="00451D09">
      <w:pPr>
        <w:ind w:firstLineChars="200" w:firstLine="420"/>
      </w:pPr>
      <w:r>
        <w:rPr>
          <w:rFonts w:hint="eastAsia"/>
        </w:rPr>
        <w:t>短期债务：在该金融机构的所有期限在</w:t>
      </w:r>
      <w:r w:rsidR="00FD48FC">
        <w:rPr>
          <w:rFonts w:hint="eastAsia"/>
        </w:rPr>
        <w:t>12</w:t>
      </w:r>
      <w:r w:rsidR="00FD48FC">
        <w:rPr>
          <w:rFonts w:hint="eastAsia"/>
        </w:rPr>
        <w:t>个月</w:t>
      </w:r>
      <w:r>
        <w:rPr>
          <w:rFonts w:hint="eastAsia"/>
        </w:rPr>
        <w:t>以下（含）的融资总额</w:t>
      </w:r>
    </w:p>
    <w:p w:rsidR="003E7111" w:rsidRDefault="00451D09">
      <w:pPr>
        <w:ind w:firstLineChars="200" w:firstLine="420"/>
      </w:pPr>
      <w:r>
        <w:rPr>
          <w:rFonts w:hint="eastAsia"/>
        </w:rPr>
        <w:t>占比（</w:t>
      </w:r>
      <w:r>
        <w:rPr>
          <w:rFonts w:hint="eastAsia"/>
        </w:rPr>
        <w:t>2</w:t>
      </w:r>
      <w:r>
        <w:rPr>
          <w:rFonts w:hint="eastAsia"/>
        </w:rPr>
        <w:t>）：该排所对应的短期债务余额在该金融机构融资总额中的占比，数据来源为该排对应的短期债务</w:t>
      </w:r>
      <w:r>
        <w:rPr>
          <w:rFonts w:hint="eastAsia"/>
        </w:rPr>
        <w:t>/</w:t>
      </w:r>
      <w:r>
        <w:rPr>
          <w:rFonts w:hint="eastAsia"/>
        </w:rPr>
        <w:t>债务余额×</w:t>
      </w:r>
      <w:r>
        <w:rPr>
          <w:rFonts w:hint="eastAsia"/>
        </w:rPr>
        <w:t>100%</w:t>
      </w:r>
    </w:p>
    <w:p w:rsidR="003E7111" w:rsidRDefault="00451D09">
      <w:pPr>
        <w:ind w:firstLineChars="200" w:firstLine="420"/>
      </w:pPr>
      <w:r>
        <w:rPr>
          <w:rFonts w:hint="eastAsia"/>
        </w:rPr>
        <w:t>长期债务：在该金融机构的所有期限在</w:t>
      </w:r>
      <w:r w:rsidR="00FD48FC">
        <w:rPr>
          <w:rFonts w:hint="eastAsia"/>
        </w:rPr>
        <w:t>12</w:t>
      </w:r>
      <w:r w:rsidR="00FD48FC">
        <w:rPr>
          <w:rFonts w:hint="eastAsia"/>
        </w:rPr>
        <w:t>个月</w:t>
      </w:r>
      <w:r>
        <w:rPr>
          <w:rFonts w:hint="eastAsia"/>
        </w:rPr>
        <w:t>以上（不含）的融资总额</w:t>
      </w:r>
    </w:p>
    <w:p w:rsidR="003E7111" w:rsidRDefault="00451D09">
      <w:pPr>
        <w:ind w:firstLineChars="200" w:firstLine="420"/>
      </w:pPr>
      <w:r>
        <w:rPr>
          <w:rFonts w:hint="eastAsia"/>
        </w:rPr>
        <w:t>占比（</w:t>
      </w:r>
      <w:r>
        <w:rPr>
          <w:rFonts w:hint="eastAsia"/>
        </w:rPr>
        <w:t>3</w:t>
      </w:r>
      <w:r>
        <w:rPr>
          <w:rFonts w:hint="eastAsia"/>
        </w:rPr>
        <w:t>）：该排所对应的长期债务余额在该金融机构融资总额中的占比，数据来源为该排对应的长期债务</w:t>
      </w:r>
      <w:r>
        <w:rPr>
          <w:rFonts w:hint="eastAsia"/>
        </w:rPr>
        <w:t>/</w:t>
      </w:r>
      <w:r>
        <w:rPr>
          <w:rFonts w:hint="eastAsia"/>
        </w:rPr>
        <w:t>债务余额×</w:t>
      </w:r>
      <w:r>
        <w:rPr>
          <w:rFonts w:hint="eastAsia"/>
        </w:rPr>
        <w:t>100%</w:t>
      </w:r>
    </w:p>
    <w:p w:rsidR="003E7111" w:rsidRDefault="00451D09">
      <w:pPr>
        <w:ind w:firstLineChars="200" w:firstLine="420"/>
      </w:pPr>
      <w:r>
        <w:rPr>
          <w:rFonts w:hint="eastAsia"/>
        </w:rPr>
        <w:t>合计：对应债务余额、短期债务、长期债务</w:t>
      </w:r>
      <w:proofErr w:type="gramStart"/>
      <w:r>
        <w:rPr>
          <w:rFonts w:hint="eastAsia"/>
        </w:rPr>
        <w:t>则为竖列</w:t>
      </w:r>
      <w:proofErr w:type="gramEnd"/>
      <w:r>
        <w:rPr>
          <w:rFonts w:hint="eastAsia"/>
        </w:rPr>
        <w:t>的加和，</w:t>
      </w:r>
      <w:proofErr w:type="gramStart"/>
      <w:r>
        <w:rPr>
          <w:rFonts w:hint="eastAsia"/>
        </w:rPr>
        <w:t>对应占</w:t>
      </w:r>
      <w:proofErr w:type="gramEnd"/>
      <w:r>
        <w:rPr>
          <w:rFonts w:hint="eastAsia"/>
        </w:rPr>
        <w:t>比（</w:t>
      </w:r>
      <w:r>
        <w:rPr>
          <w:rFonts w:hint="eastAsia"/>
        </w:rPr>
        <w:t>1</w:t>
      </w:r>
      <w:r>
        <w:rPr>
          <w:rFonts w:hint="eastAsia"/>
        </w:rPr>
        <w:t>）栏则为</w:t>
      </w:r>
      <w:r>
        <w:rPr>
          <w:rFonts w:hint="eastAsia"/>
        </w:rPr>
        <w:t>100%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对应占</w:t>
      </w:r>
      <w:proofErr w:type="gramEnd"/>
      <w:r>
        <w:rPr>
          <w:rFonts w:hint="eastAsia"/>
        </w:rPr>
        <w:t>比（</w:t>
      </w:r>
      <w:r>
        <w:rPr>
          <w:rFonts w:hint="eastAsia"/>
        </w:rPr>
        <w:t>2</w:t>
      </w:r>
      <w:r>
        <w:rPr>
          <w:rFonts w:hint="eastAsia"/>
        </w:rPr>
        <w:t>）栏则为短期债务合计</w:t>
      </w:r>
      <w:r>
        <w:rPr>
          <w:rFonts w:hint="eastAsia"/>
        </w:rPr>
        <w:t>/</w:t>
      </w:r>
      <w:r>
        <w:rPr>
          <w:rFonts w:hint="eastAsia"/>
        </w:rPr>
        <w:t>债务余额合计×</w:t>
      </w:r>
      <w:r>
        <w:rPr>
          <w:rFonts w:hint="eastAsia"/>
        </w:rPr>
        <w:t>100%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对应占</w:t>
      </w:r>
      <w:proofErr w:type="gramEnd"/>
      <w:r>
        <w:rPr>
          <w:rFonts w:hint="eastAsia"/>
        </w:rPr>
        <w:t>比（</w:t>
      </w:r>
      <w:r>
        <w:rPr>
          <w:rFonts w:hint="eastAsia"/>
        </w:rPr>
        <w:t>3</w:t>
      </w:r>
      <w:r>
        <w:rPr>
          <w:rFonts w:hint="eastAsia"/>
        </w:rPr>
        <w:t>）栏则为长期债务合计</w:t>
      </w:r>
      <w:r>
        <w:rPr>
          <w:rFonts w:hint="eastAsia"/>
        </w:rPr>
        <w:t>/</w:t>
      </w:r>
      <w:r>
        <w:rPr>
          <w:rFonts w:hint="eastAsia"/>
        </w:rPr>
        <w:t>债务余额合计×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3E7111" w:rsidRDefault="00451D09">
      <w:pPr>
        <w:pStyle w:val="3"/>
        <w:tabs>
          <w:tab w:val="clear" w:pos="432"/>
        </w:tabs>
      </w:pPr>
      <w:bookmarkStart w:id="58" w:name="_Toc439325111"/>
      <w:bookmarkStart w:id="59" w:name="_Toc24384675"/>
      <w:r>
        <w:rPr>
          <w:rFonts w:hint="eastAsia"/>
        </w:rPr>
        <w:lastRenderedPageBreak/>
        <w:t>业务规则</w:t>
      </w:r>
      <w:bookmarkEnd w:id="58"/>
      <w:bookmarkEnd w:id="59"/>
    </w:p>
    <w:p w:rsidR="003E7111" w:rsidRPr="00FD48FC" w:rsidRDefault="00451D09">
      <w:pPr>
        <w:ind w:firstLineChars="200" w:firstLine="420"/>
        <w:rPr>
          <w:color w:val="00B0F0"/>
        </w:rPr>
      </w:pPr>
      <w:r>
        <w:rPr>
          <w:rFonts w:hint="eastAsia"/>
          <w:color w:val="00B0F0"/>
        </w:rPr>
        <w:t>常用</w:t>
      </w:r>
      <w:r>
        <w:rPr>
          <w:color w:val="00B0F0"/>
        </w:rPr>
        <w:t>金融机构请</w:t>
      </w:r>
      <w:r>
        <w:rPr>
          <w:rFonts w:hint="eastAsia"/>
          <w:color w:val="00B0F0"/>
        </w:rPr>
        <w:t>企业</w:t>
      </w:r>
      <w:r>
        <w:rPr>
          <w:color w:val="00B0F0"/>
        </w:rPr>
        <w:t>提供</w:t>
      </w:r>
      <w:r>
        <w:rPr>
          <w:rFonts w:hint="eastAsia"/>
          <w:color w:val="00B0F0"/>
        </w:rPr>
        <w:t>，对于常用银行以外的全部列为其他</w:t>
      </w:r>
      <w:r>
        <w:rPr>
          <w:color w:val="00B0F0"/>
        </w:rPr>
        <w:t>。</w:t>
      </w: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60" w:name="_Toc24384676"/>
      <w:r>
        <w:rPr>
          <w:rFonts w:hint="eastAsia"/>
        </w:rPr>
        <w:t>业务报表定义</w:t>
      </w:r>
      <w:bookmarkEnd w:id="9"/>
      <w:bookmarkEnd w:id="60"/>
    </w:p>
    <w:p w:rsidR="003E7111" w:rsidRDefault="003E7111"/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61" w:name="_Toc394416799"/>
      <w:bookmarkStart w:id="62" w:name="_Toc24384677"/>
      <w:r>
        <w:rPr>
          <w:rFonts w:hint="eastAsia"/>
        </w:rPr>
        <w:t>数据标准定义</w:t>
      </w:r>
      <w:bookmarkEnd w:id="61"/>
      <w:bookmarkEnd w:id="62"/>
    </w:p>
    <w:p w:rsidR="003E7111" w:rsidRDefault="003E7111"/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63" w:name="_Toc394416800"/>
      <w:bookmarkStart w:id="64" w:name="_Toc24384678"/>
      <w:r>
        <w:rPr>
          <w:rFonts w:hint="eastAsia"/>
        </w:rPr>
        <w:t>其它要求</w:t>
      </w:r>
      <w:bookmarkEnd w:id="63"/>
      <w:bookmarkEnd w:id="64"/>
    </w:p>
    <w:p w:rsidR="003E7111" w:rsidRDefault="00451D09">
      <w:pPr>
        <w:pStyle w:val="2"/>
        <w:numPr>
          <w:ilvl w:val="1"/>
          <w:numId w:val="2"/>
        </w:numPr>
        <w:spacing w:before="50" w:after="50"/>
      </w:pPr>
      <w:bookmarkStart w:id="65" w:name="_Toc394416801"/>
      <w:bookmarkStart w:id="66" w:name="_Toc24384679"/>
      <w:r>
        <w:rPr>
          <w:rFonts w:hint="eastAsia"/>
        </w:rPr>
        <w:t>安全性要求</w:t>
      </w:r>
      <w:bookmarkEnd w:id="65"/>
      <w:bookmarkEnd w:id="66"/>
    </w:p>
    <w:p w:rsidR="003E7111" w:rsidRDefault="00451D09">
      <w:pPr>
        <w:spacing w:before="50" w:after="50"/>
        <w:ind w:left="420"/>
      </w:pPr>
      <w:r>
        <w:rPr>
          <w:rFonts w:hint="eastAsia"/>
        </w:rPr>
        <w:t>经办交易需要证书签名</w:t>
      </w:r>
    </w:p>
    <w:p w:rsidR="003E7111" w:rsidRDefault="003E7111">
      <w:pPr>
        <w:spacing w:before="50" w:after="50"/>
        <w:ind w:left="420"/>
      </w:pPr>
    </w:p>
    <w:p w:rsidR="003E7111" w:rsidRDefault="00451D09">
      <w:pPr>
        <w:pStyle w:val="2"/>
        <w:numPr>
          <w:ilvl w:val="1"/>
          <w:numId w:val="2"/>
        </w:numPr>
        <w:spacing w:before="50" w:after="50"/>
      </w:pPr>
      <w:bookmarkStart w:id="67" w:name="_Toc394416802"/>
      <w:bookmarkStart w:id="68" w:name="_Toc24384680"/>
      <w:r>
        <w:rPr>
          <w:rFonts w:hint="eastAsia"/>
        </w:rPr>
        <w:t>性能要求</w:t>
      </w:r>
      <w:bookmarkEnd w:id="67"/>
      <w:bookmarkEnd w:id="68"/>
    </w:p>
    <w:p w:rsidR="003E7111" w:rsidRDefault="00451D09">
      <w:pPr>
        <w:spacing w:before="50" w:after="50"/>
        <w:ind w:left="420"/>
      </w:pPr>
      <w:r>
        <w:rPr>
          <w:rFonts w:hint="eastAsia"/>
        </w:rPr>
        <w:t>无</w:t>
      </w:r>
    </w:p>
    <w:p w:rsidR="003E7111" w:rsidRDefault="00451D09">
      <w:pPr>
        <w:pStyle w:val="2"/>
        <w:numPr>
          <w:ilvl w:val="1"/>
          <w:numId w:val="2"/>
        </w:numPr>
        <w:spacing w:before="50" w:after="50"/>
      </w:pPr>
      <w:bookmarkStart w:id="69" w:name="_Toc394416803"/>
      <w:bookmarkStart w:id="70" w:name="_Toc24384681"/>
      <w:r>
        <w:rPr>
          <w:rFonts w:hint="eastAsia"/>
        </w:rPr>
        <w:t>易用性要求</w:t>
      </w:r>
      <w:bookmarkEnd w:id="69"/>
      <w:bookmarkEnd w:id="70"/>
    </w:p>
    <w:p w:rsidR="003E7111" w:rsidRDefault="00451D09">
      <w:pPr>
        <w:spacing w:before="50" w:after="50"/>
        <w:ind w:left="420"/>
      </w:pPr>
      <w:r>
        <w:rPr>
          <w:rFonts w:hint="eastAsia"/>
        </w:rPr>
        <w:t>无</w:t>
      </w:r>
    </w:p>
    <w:p w:rsidR="003E7111" w:rsidRDefault="00451D09">
      <w:pPr>
        <w:pStyle w:val="2"/>
        <w:numPr>
          <w:ilvl w:val="1"/>
          <w:numId w:val="2"/>
        </w:numPr>
        <w:spacing w:before="50" w:after="50"/>
      </w:pPr>
      <w:bookmarkStart w:id="71" w:name="_Toc394416804"/>
      <w:bookmarkStart w:id="72" w:name="_Toc24384682"/>
      <w:r>
        <w:rPr>
          <w:rFonts w:hint="eastAsia"/>
        </w:rPr>
        <w:t>可扩展性要求</w:t>
      </w:r>
      <w:bookmarkEnd w:id="71"/>
      <w:bookmarkEnd w:id="72"/>
    </w:p>
    <w:p w:rsidR="003E7111" w:rsidRDefault="00451D09">
      <w:pPr>
        <w:spacing w:before="50" w:after="50"/>
        <w:ind w:left="420"/>
      </w:pPr>
      <w:r>
        <w:rPr>
          <w:rFonts w:hint="eastAsia"/>
        </w:rPr>
        <w:t>无</w:t>
      </w:r>
    </w:p>
    <w:p w:rsidR="003E7111" w:rsidRDefault="00451D09">
      <w:pPr>
        <w:pStyle w:val="2"/>
        <w:numPr>
          <w:ilvl w:val="1"/>
          <w:numId w:val="2"/>
        </w:numPr>
        <w:spacing w:before="50" w:after="50"/>
      </w:pPr>
      <w:bookmarkStart w:id="73" w:name="_Toc394416805"/>
      <w:bookmarkStart w:id="74" w:name="_Toc24384683"/>
      <w:r>
        <w:rPr>
          <w:rFonts w:hint="eastAsia"/>
        </w:rPr>
        <w:t>其它</w:t>
      </w:r>
      <w:bookmarkEnd w:id="73"/>
      <w:bookmarkEnd w:id="74"/>
    </w:p>
    <w:p w:rsidR="003E7111" w:rsidRDefault="00451D09">
      <w:pPr>
        <w:spacing w:before="50" w:after="50"/>
        <w:ind w:left="420"/>
      </w:pPr>
      <w:r>
        <w:rPr>
          <w:rFonts w:hint="eastAsia"/>
        </w:rPr>
        <w:t>无</w:t>
      </w: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75" w:name="_Toc394416806"/>
      <w:bookmarkStart w:id="76" w:name="_Toc24384684"/>
      <w:r>
        <w:rPr>
          <w:rFonts w:hint="eastAsia"/>
        </w:rPr>
        <w:t>实施策略</w:t>
      </w:r>
      <w:bookmarkEnd w:id="75"/>
      <w:bookmarkEnd w:id="76"/>
    </w:p>
    <w:p w:rsidR="003E7111" w:rsidRDefault="003E7111">
      <w:pPr>
        <w:spacing w:before="50" w:after="50"/>
      </w:pP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77" w:name="_Toc394416807"/>
      <w:bookmarkStart w:id="78" w:name="_Toc24384685"/>
      <w:r>
        <w:rPr>
          <w:rFonts w:hint="eastAsia"/>
        </w:rPr>
        <w:t>风险分析</w:t>
      </w:r>
      <w:bookmarkEnd w:id="77"/>
      <w:bookmarkEnd w:id="78"/>
    </w:p>
    <w:p w:rsidR="003E7111" w:rsidRDefault="003E7111">
      <w:pPr>
        <w:spacing w:before="50" w:after="50"/>
      </w:pPr>
    </w:p>
    <w:p w:rsidR="003E7111" w:rsidRDefault="00451D09">
      <w:pPr>
        <w:pStyle w:val="1"/>
        <w:numPr>
          <w:ilvl w:val="0"/>
          <w:numId w:val="2"/>
        </w:numPr>
        <w:spacing w:before="50" w:after="50"/>
      </w:pPr>
      <w:bookmarkStart w:id="79" w:name="_Toc394416808"/>
      <w:bookmarkStart w:id="80" w:name="_Toc24384686"/>
      <w:r>
        <w:rPr>
          <w:rFonts w:hint="eastAsia"/>
        </w:rPr>
        <w:t>其它说明</w:t>
      </w:r>
      <w:bookmarkEnd w:id="79"/>
      <w:bookmarkEnd w:id="80"/>
    </w:p>
    <w:p w:rsidR="003E7111" w:rsidRDefault="003E7111">
      <w:pPr>
        <w:spacing w:before="50" w:after="50"/>
      </w:pPr>
    </w:p>
    <w:p w:rsidR="003E7111" w:rsidRDefault="003E7111">
      <w:pPr>
        <w:ind w:firstLine="435"/>
      </w:pPr>
    </w:p>
    <w:sectPr w:rsidR="003E7111" w:rsidSect="003E7111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7C2" w:rsidRDefault="00B847C2" w:rsidP="003E7111">
      <w:r>
        <w:separator/>
      </w:r>
    </w:p>
  </w:endnote>
  <w:endnote w:type="continuationSeparator" w:id="0">
    <w:p w:rsidR="00B847C2" w:rsidRDefault="00B847C2" w:rsidP="003E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09" w:rsidRDefault="000E4CA6">
    <w:pPr>
      <w:pStyle w:val="a9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451D09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451D09" w:rsidRDefault="00451D0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09" w:rsidRDefault="000E4CA6">
    <w:pPr>
      <w:pStyle w:val="a9"/>
      <w:jc w:val="center"/>
    </w:pPr>
    <w:r>
      <w:rPr>
        <w:rStyle w:val="af2"/>
      </w:rPr>
      <w:fldChar w:fldCharType="begin"/>
    </w:r>
    <w:r w:rsidR="00451D09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D9468A">
      <w:rPr>
        <w:rStyle w:val="af2"/>
        <w:noProof/>
      </w:rPr>
      <w:t>4</w:t>
    </w:r>
    <w:r>
      <w:rPr>
        <w:rStyle w:val="af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09" w:rsidRDefault="000E4CA6">
    <w:pPr>
      <w:pStyle w:val="a9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451D09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451D09" w:rsidRDefault="00451D09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09" w:rsidRDefault="000E4CA6">
    <w:pPr>
      <w:pStyle w:val="a9"/>
      <w:jc w:val="center"/>
    </w:pPr>
    <w:r>
      <w:rPr>
        <w:rStyle w:val="af2"/>
      </w:rPr>
      <w:fldChar w:fldCharType="begin"/>
    </w:r>
    <w:r w:rsidR="00451D09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D9468A">
      <w:rPr>
        <w:rStyle w:val="af2"/>
        <w:noProof/>
      </w:rPr>
      <w:t>12</w:t>
    </w:r>
    <w:r>
      <w:rPr>
        <w:rStyle w:val="af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7C2" w:rsidRDefault="00B847C2" w:rsidP="003E7111">
      <w:r>
        <w:separator/>
      </w:r>
    </w:p>
  </w:footnote>
  <w:footnote w:type="continuationSeparator" w:id="0">
    <w:p w:rsidR="00B847C2" w:rsidRDefault="00B847C2" w:rsidP="003E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09" w:rsidRDefault="003D79B6">
    <w:pPr>
      <w:pStyle w:val="aa"/>
    </w:pPr>
    <w:r>
      <w:rPr>
        <w:noProof/>
      </w:rPr>
      <w:drawing>
        <wp:inline distT="0" distB="0" distL="0" distR="0">
          <wp:extent cx="285750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1D09">
      <w:rPr>
        <w:rFonts w:hint="eastAsia"/>
      </w:rPr>
      <w:t>招商银行业</w:t>
    </w:r>
    <w:proofErr w:type="gramStart"/>
    <w:r w:rsidR="00451D09">
      <w:rPr>
        <w:rFonts w:hint="eastAsia"/>
      </w:rPr>
      <w:t>务需</w:t>
    </w:r>
    <w:proofErr w:type="gramEnd"/>
    <w:r w:rsidR="00451D09">
      <w:rPr>
        <w:rFonts w:hint="eastAsia"/>
      </w:rPr>
      <w:t>求说明书</w:t>
    </w:r>
    <w:r w:rsidR="00451D09">
      <w:rPr>
        <w:rFonts w:hint="eastAsia"/>
      </w:rPr>
      <w:t>V2.0</w:t>
    </w:r>
    <w:r w:rsidR="00451D09">
      <w:rPr>
        <w:rFonts w:hint="eastAsia"/>
      </w:rPr>
      <w:tab/>
    </w:r>
    <w:r w:rsidR="00451D09">
      <w:rPr>
        <w:rFonts w:hint="eastAsia"/>
      </w:rPr>
      <w:tab/>
    </w:r>
    <w:r w:rsidR="00451D09">
      <w:rPr>
        <w:rFonts w:hint="eastAsia"/>
      </w:rPr>
      <w:t>保密级别：内部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DDB"/>
    <w:multiLevelType w:val="multilevel"/>
    <w:tmpl w:val="230A7DDB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828"/>
        </w:tabs>
        <w:ind w:left="482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715"/>
        </w:tabs>
        <w:ind w:left="1715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D540F0E"/>
    <w:multiLevelType w:val="multilevel"/>
    <w:tmpl w:val="3D540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7D9C1473"/>
    <w:multiLevelType w:val="multilevel"/>
    <w:tmpl w:val="7D9C147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56"/>
    <w:rsid w:val="00001488"/>
    <w:rsid w:val="00001DE5"/>
    <w:rsid w:val="00002A4F"/>
    <w:rsid w:val="00003146"/>
    <w:rsid w:val="000034C1"/>
    <w:rsid w:val="00004D47"/>
    <w:rsid w:val="00005222"/>
    <w:rsid w:val="000060A4"/>
    <w:rsid w:val="00006B2C"/>
    <w:rsid w:val="000074BA"/>
    <w:rsid w:val="000105ED"/>
    <w:rsid w:val="00015B4D"/>
    <w:rsid w:val="00016AEC"/>
    <w:rsid w:val="000176EE"/>
    <w:rsid w:val="000209FC"/>
    <w:rsid w:val="00021313"/>
    <w:rsid w:val="00022DB4"/>
    <w:rsid w:val="00023144"/>
    <w:rsid w:val="00023501"/>
    <w:rsid w:val="00023BE5"/>
    <w:rsid w:val="000242DA"/>
    <w:rsid w:val="00025A5E"/>
    <w:rsid w:val="00027B98"/>
    <w:rsid w:val="00032545"/>
    <w:rsid w:val="0003291A"/>
    <w:rsid w:val="0003456A"/>
    <w:rsid w:val="000345F4"/>
    <w:rsid w:val="00034CF1"/>
    <w:rsid w:val="0004023A"/>
    <w:rsid w:val="0004290D"/>
    <w:rsid w:val="0004328D"/>
    <w:rsid w:val="00045333"/>
    <w:rsid w:val="00047FF1"/>
    <w:rsid w:val="00050058"/>
    <w:rsid w:val="000500E5"/>
    <w:rsid w:val="000519E1"/>
    <w:rsid w:val="0005392B"/>
    <w:rsid w:val="00053EC5"/>
    <w:rsid w:val="0005436E"/>
    <w:rsid w:val="0005534D"/>
    <w:rsid w:val="00057ECC"/>
    <w:rsid w:val="0006038D"/>
    <w:rsid w:val="00060970"/>
    <w:rsid w:val="00062C3C"/>
    <w:rsid w:val="000646D8"/>
    <w:rsid w:val="00066CA2"/>
    <w:rsid w:val="00071CAD"/>
    <w:rsid w:val="00073545"/>
    <w:rsid w:val="00080055"/>
    <w:rsid w:val="00080E17"/>
    <w:rsid w:val="00085146"/>
    <w:rsid w:val="00085CE1"/>
    <w:rsid w:val="00086094"/>
    <w:rsid w:val="00087FDC"/>
    <w:rsid w:val="00090244"/>
    <w:rsid w:val="00091BE3"/>
    <w:rsid w:val="00092447"/>
    <w:rsid w:val="000A1A07"/>
    <w:rsid w:val="000A2F00"/>
    <w:rsid w:val="000A2F88"/>
    <w:rsid w:val="000A454E"/>
    <w:rsid w:val="000A5395"/>
    <w:rsid w:val="000A711C"/>
    <w:rsid w:val="000B1116"/>
    <w:rsid w:val="000B4146"/>
    <w:rsid w:val="000B4BAB"/>
    <w:rsid w:val="000B4EE5"/>
    <w:rsid w:val="000B5300"/>
    <w:rsid w:val="000B5CDD"/>
    <w:rsid w:val="000B5D3D"/>
    <w:rsid w:val="000C00B4"/>
    <w:rsid w:val="000C11F6"/>
    <w:rsid w:val="000C252A"/>
    <w:rsid w:val="000C2BE9"/>
    <w:rsid w:val="000C49B2"/>
    <w:rsid w:val="000C56E2"/>
    <w:rsid w:val="000C57B5"/>
    <w:rsid w:val="000C693C"/>
    <w:rsid w:val="000C6F1E"/>
    <w:rsid w:val="000C70EC"/>
    <w:rsid w:val="000D0605"/>
    <w:rsid w:val="000D08A3"/>
    <w:rsid w:val="000D102D"/>
    <w:rsid w:val="000D1C92"/>
    <w:rsid w:val="000D1D5B"/>
    <w:rsid w:val="000E0D92"/>
    <w:rsid w:val="000E0D93"/>
    <w:rsid w:val="000E1D98"/>
    <w:rsid w:val="000E4CA6"/>
    <w:rsid w:val="000E4F68"/>
    <w:rsid w:val="000E7BBD"/>
    <w:rsid w:val="000F25C8"/>
    <w:rsid w:val="000F2765"/>
    <w:rsid w:val="000F774B"/>
    <w:rsid w:val="001003DB"/>
    <w:rsid w:val="001009A1"/>
    <w:rsid w:val="00104D62"/>
    <w:rsid w:val="00105D2F"/>
    <w:rsid w:val="00106E5D"/>
    <w:rsid w:val="001076E5"/>
    <w:rsid w:val="0011301F"/>
    <w:rsid w:val="00117990"/>
    <w:rsid w:val="00117FD3"/>
    <w:rsid w:val="00121756"/>
    <w:rsid w:val="001244C2"/>
    <w:rsid w:val="00124D69"/>
    <w:rsid w:val="00125B7C"/>
    <w:rsid w:val="00126160"/>
    <w:rsid w:val="001270CD"/>
    <w:rsid w:val="001305DB"/>
    <w:rsid w:val="00131DDA"/>
    <w:rsid w:val="00132619"/>
    <w:rsid w:val="00133BB6"/>
    <w:rsid w:val="001347D3"/>
    <w:rsid w:val="00137950"/>
    <w:rsid w:val="001419AD"/>
    <w:rsid w:val="00141EB8"/>
    <w:rsid w:val="00143771"/>
    <w:rsid w:val="00145E90"/>
    <w:rsid w:val="001509C7"/>
    <w:rsid w:val="001523ED"/>
    <w:rsid w:val="00152E49"/>
    <w:rsid w:val="0015510E"/>
    <w:rsid w:val="001554E0"/>
    <w:rsid w:val="001558D7"/>
    <w:rsid w:val="00156008"/>
    <w:rsid w:val="00156161"/>
    <w:rsid w:val="00160F1D"/>
    <w:rsid w:val="00161E5C"/>
    <w:rsid w:val="001626EF"/>
    <w:rsid w:val="00163ED3"/>
    <w:rsid w:val="00164FF1"/>
    <w:rsid w:val="00166041"/>
    <w:rsid w:val="00166ECC"/>
    <w:rsid w:val="00167F9B"/>
    <w:rsid w:val="001708F6"/>
    <w:rsid w:val="00171610"/>
    <w:rsid w:val="00173F05"/>
    <w:rsid w:val="00174076"/>
    <w:rsid w:val="001763E5"/>
    <w:rsid w:val="001765BD"/>
    <w:rsid w:val="0017789D"/>
    <w:rsid w:val="00180EAD"/>
    <w:rsid w:val="00182303"/>
    <w:rsid w:val="001836B2"/>
    <w:rsid w:val="00183802"/>
    <w:rsid w:val="00186082"/>
    <w:rsid w:val="001868D1"/>
    <w:rsid w:val="00186982"/>
    <w:rsid w:val="00186D60"/>
    <w:rsid w:val="00187140"/>
    <w:rsid w:val="00190741"/>
    <w:rsid w:val="00191A01"/>
    <w:rsid w:val="00191DF3"/>
    <w:rsid w:val="00193C4E"/>
    <w:rsid w:val="0019628E"/>
    <w:rsid w:val="00196348"/>
    <w:rsid w:val="00196A0E"/>
    <w:rsid w:val="00196AE1"/>
    <w:rsid w:val="001A22C8"/>
    <w:rsid w:val="001A459F"/>
    <w:rsid w:val="001B0C9C"/>
    <w:rsid w:val="001B1406"/>
    <w:rsid w:val="001B24EF"/>
    <w:rsid w:val="001B309B"/>
    <w:rsid w:val="001B4623"/>
    <w:rsid w:val="001B4B1C"/>
    <w:rsid w:val="001B5B3D"/>
    <w:rsid w:val="001B5E36"/>
    <w:rsid w:val="001B6B1E"/>
    <w:rsid w:val="001C10A4"/>
    <w:rsid w:val="001C18EE"/>
    <w:rsid w:val="001C64DE"/>
    <w:rsid w:val="001C7C04"/>
    <w:rsid w:val="001C7DA1"/>
    <w:rsid w:val="001C7E61"/>
    <w:rsid w:val="001D1436"/>
    <w:rsid w:val="001D19CC"/>
    <w:rsid w:val="001D25C7"/>
    <w:rsid w:val="001D2924"/>
    <w:rsid w:val="001D2E99"/>
    <w:rsid w:val="001D3703"/>
    <w:rsid w:val="001D46C3"/>
    <w:rsid w:val="001D4F19"/>
    <w:rsid w:val="001D6043"/>
    <w:rsid w:val="001D6145"/>
    <w:rsid w:val="001D75B8"/>
    <w:rsid w:val="001E2B83"/>
    <w:rsid w:val="001E2B84"/>
    <w:rsid w:val="001E2D91"/>
    <w:rsid w:val="001E2E97"/>
    <w:rsid w:val="001E449A"/>
    <w:rsid w:val="001E5B60"/>
    <w:rsid w:val="001E5CE0"/>
    <w:rsid w:val="001F1C74"/>
    <w:rsid w:val="001F5787"/>
    <w:rsid w:val="001F7711"/>
    <w:rsid w:val="002017C7"/>
    <w:rsid w:val="0020472F"/>
    <w:rsid w:val="00206F7D"/>
    <w:rsid w:val="00210267"/>
    <w:rsid w:val="002109E4"/>
    <w:rsid w:val="0021131A"/>
    <w:rsid w:val="00211658"/>
    <w:rsid w:val="0021293A"/>
    <w:rsid w:val="002137D1"/>
    <w:rsid w:val="00215233"/>
    <w:rsid w:val="00216F18"/>
    <w:rsid w:val="00217D51"/>
    <w:rsid w:val="00217D63"/>
    <w:rsid w:val="002206FB"/>
    <w:rsid w:val="00220E66"/>
    <w:rsid w:val="00221D14"/>
    <w:rsid w:val="00222A4F"/>
    <w:rsid w:val="00222E20"/>
    <w:rsid w:val="002234EE"/>
    <w:rsid w:val="00223EA4"/>
    <w:rsid w:val="0022629B"/>
    <w:rsid w:val="00226913"/>
    <w:rsid w:val="00226ABF"/>
    <w:rsid w:val="00227883"/>
    <w:rsid w:val="0023445D"/>
    <w:rsid w:val="002348C9"/>
    <w:rsid w:val="00234E92"/>
    <w:rsid w:val="00235C38"/>
    <w:rsid w:val="0023692B"/>
    <w:rsid w:val="00240C6B"/>
    <w:rsid w:val="002414DD"/>
    <w:rsid w:val="00241571"/>
    <w:rsid w:val="00241C37"/>
    <w:rsid w:val="00244AD5"/>
    <w:rsid w:val="00245A93"/>
    <w:rsid w:val="00246FF9"/>
    <w:rsid w:val="0024794B"/>
    <w:rsid w:val="0025048E"/>
    <w:rsid w:val="00250494"/>
    <w:rsid w:val="00250ECC"/>
    <w:rsid w:val="00250F36"/>
    <w:rsid w:val="00252574"/>
    <w:rsid w:val="00252A03"/>
    <w:rsid w:val="00253EC8"/>
    <w:rsid w:val="00255B84"/>
    <w:rsid w:val="00260825"/>
    <w:rsid w:val="00261855"/>
    <w:rsid w:val="0026275B"/>
    <w:rsid w:val="00263108"/>
    <w:rsid w:val="002655B0"/>
    <w:rsid w:val="00265D43"/>
    <w:rsid w:val="00265FE1"/>
    <w:rsid w:val="00266078"/>
    <w:rsid w:val="002665C4"/>
    <w:rsid w:val="002667DB"/>
    <w:rsid w:val="00266C95"/>
    <w:rsid w:val="00267440"/>
    <w:rsid w:val="00267921"/>
    <w:rsid w:val="00270665"/>
    <w:rsid w:val="00271A1A"/>
    <w:rsid w:val="00272FC7"/>
    <w:rsid w:val="00274182"/>
    <w:rsid w:val="00275602"/>
    <w:rsid w:val="002804DB"/>
    <w:rsid w:val="00280AC6"/>
    <w:rsid w:val="00280E99"/>
    <w:rsid w:val="00281346"/>
    <w:rsid w:val="00281436"/>
    <w:rsid w:val="00283D09"/>
    <w:rsid w:val="00283FD2"/>
    <w:rsid w:val="002841B2"/>
    <w:rsid w:val="00284E2C"/>
    <w:rsid w:val="00286A7B"/>
    <w:rsid w:val="00286D89"/>
    <w:rsid w:val="00286F9E"/>
    <w:rsid w:val="00291074"/>
    <w:rsid w:val="00292487"/>
    <w:rsid w:val="00292CF7"/>
    <w:rsid w:val="0029304B"/>
    <w:rsid w:val="0029319F"/>
    <w:rsid w:val="0029454D"/>
    <w:rsid w:val="002953BA"/>
    <w:rsid w:val="00295423"/>
    <w:rsid w:val="00296B45"/>
    <w:rsid w:val="00297074"/>
    <w:rsid w:val="00297B4C"/>
    <w:rsid w:val="002A0346"/>
    <w:rsid w:val="002A224A"/>
    <w:rsid w:val="002A4C6D"/>
    <w:rsid w:val="002A5A6A"/>
    <w:rsid w:val="002A61EC"/>
    <w:rsid w:val="002B0250"/>
    <w:rsid w:val="002B1D81"/>
    <w:rsid w:val="002B1F8D"/>
    <w:rsid w:val="002B2859"/>
    <w:rsid w:val="002B33B9"/>
    <w:rsid w:val="002B3730"/>
    <w:rsid w:val="002B53DF"/>
    <w:rsid w:val="002C0E6F"/>
    <w:rsid w:val="002C1312"/>
    <w:rsid w:val="002C1372"/>
    <w:rsid w:val="002C22AB"/>
    <w:rsid w:val="002C53DF"/>
    <w:rsid w:val="002C653A"/>
    <w:rsid w:val="002C7C79"/>
    <w:rsid w:val="002D161E"/>
    <w:rsid w:val="002D28D6"/>
    <w:rsid w:val="002D4F77"/>
    <w:rsid w:val="002D5098"/>
    <w:rsid w:val="002D674C"/>
    <w:rsid w:val="002D74FD"/>
    <w:rsid w:val="002D7AE1"/>
    <w:rsid w:val="002E4F1C"/>
    <w:rsid w:val="002E58CB"/>
    <w:rsid w:val="002E5B47"/>
    <w:rsid w:val="002E5D7A"/>
    <w:rsid w:val="002E6D7F"/>
    <w:rsid w:val="002F1D3F"/>
    <w:rsid w:val="002F2FB8"/>
    <w:rsid w:val="002F3B3E"/>
    <w:rsid w:val="002F42F2"/>
    <w:rsid w:val="002F5076"/>
    <w:rsid w:val="002F65B9"/>
    <w:rsid w:val="002F6EB2"/>
    <w:rsid w:val="00300299"/>
    <w:rsid w:val="003012B0"/>
    <w:rsid w:val="003019E5"/>
    <w:rsid w:val="00301C37"/>
    <w:rsid w:val="003042E8"/>
    <w:rsid w:val="00304448"/>
    <w:rsid w:val="00305DA6"/>
    <w:rsid w:val="00306618"/>
    <w:rsid w:val="00306842"/>
    <w:rsid w:val="00307FF5"/>
    <w:rsid w:val="0031050E"/>
    <w:rsid w:val="00310AC1"/>
    <w:rsid w:val="00311F8C"/>
    <w:rsid w:val="00312013"/>
    <w:rsid w:val="00313133"/>
    <w:rsid w:val="003139A1"/>
    <w:rsid w:val="00320505"/>
    <w:rsid w:val="0032068A"/>
    <w:rsid w:val="00321538"/>
    <w:rsid w:val="003215B5"/>
    <w:rsid w:val="00323075"/>
    <w:rsid w:val="00325980"/>
    <w:rsid w:val="00333A0E"/>
    <w:rsid w:val="003348E4"/>
    <w:rsid w:val="00336834"/>
    <w:rsid w:val="003369D1"/>
    <w:rsid w:val="00336BDB"/>
    <w:rsid w:val="00337FB7"/>
    <w:rsid w:val="00340232"/>
    <w:rsid w:val="003406A4"/>
    <w:rsid w:val="00341FFF"/>
    <w:rsid w:val="00342556"/>
    <w:rsid w:val="00342824"/>
    <w:rsid w:val="00342C01"/>
    <w:rsid w:val="003430D9"/>
    <w:rsid w:val="0035154E"/>
    <w:rsid w:val="00351769"/>
    <w:rsid w:val="00351C82"/>
    <w:rsid w:val="00351FA0"/>
    <w:rsid w:val="0035314E"/>
    <w:rsid w:val="003531DA"/>
    <w:rsid w:val="003549C2"/>
    <w:rsid w:val="00355C38"/>
    <w:rsid w:val="00357B8E"/>
    <w:rsid w:val="0036000C"/>
    <w:rsid w:val="00361562"/>
    <w:rsid w:val="00362104"/>
    <w:rsid w:val="00362E68"/>
    <w:rsid w:val="00364601"/>
    <w:rsid w:val="00365BF6"/>
    <w:rsid w:val="00365E46"/>
    <w:rsid w:val="00365EB7"/>
    <w:rsid w:val="003661E0"/>
    <w:rsid w:val="00370E17"/>
    <w:rsid w:val="00371ECC"/>
    <w:rsid w:val="003732C2"/>
    <w:rsid w:val="00374BCA"/>
    <w:rsid w:val="003750D3"/>
    <w:rsid w:val="00375144"/>
    <w:rsid w:val="003757B4"/>
    <w:rsid w:val="0037733F"/>
    <w:rsid w:val="003804BC"/>
    <w:rsid w:val="0038462D"/>
    <w:rsid w:val="0038498A"/>
    <w:rsid w:val="00385C6B"/>
    <w:rsid w:val="00385DD0"/>
    <w:rsid w:val="00386D4A"/>
    <w:rsid w:val="00386E09"/>
    <w:rsid w:val="00386F72"/>
    <w:rsid w:val="00387D9B"/>
    <w:rsid w:val="00391B72"/>
    <w:rsid w:val="003923B4"/>
    <w:rsid w:val="0039364C"/>
    <w:rsid w:val="0039577A"/>
    <w:rsid w:val="003957DA"/>
    <w:rsid w:val="0039607E"/>
    <w:rsid w:val="00396B06"/>
    <w:rsid w:val="003974E8"/>
    <w:rsid w:val="003A082E"/>
    <w:rsid w:val="003A22C4"/>
    <w:rsid w:val="003A3DA9"/>
    <w:rsid w:val="003A4324"/>
    <w:rsid w:val="003A47BF"/>
    <w:rsid w:val="003A49A7"/>
    <w:rsid w:val="003A56F0"/>
    <w:rsid w:val="003A5997"/>
    <w:rsid w:val="003A5ED7"/>
    <w:rsid w:val="003B0CB6"/>
    <w:rsid w:val="003B561C"/>
    <w:rsid w:val="003B5902"/>
    <w:rsid w:val="003B60A1"/>
    <w:rsid w:val="003B7774"/>
    <w:rsid w:val="003B7AB1"/>
    <w:rsid w:val="003B7B86"/>
    <w:rsid w:val="003C053A"/>
    <w:rsid w:val="003C0709"/>
    <w:rsid w:val="003C2B8D"/>
    <w:rsid w:val="003C35E6"/>
    <w:rsid w:val="003C36FD"/>
    <w:rsid w:val="003C43D8"/>
    <w:rsid w:val="003C5FA9"/>
    <w:rsid w:val="003C68B0"/>
    <w:rsid w:val="003D0CE2"/>
    <w:rsid w:val="003D44D6"/>
    <w:rsid w:val="003D5001"/>
    <w:rsid w:val="003D786D"/>
    <w:rsid w:val="003D79B6"/>
    <w:rsid w:val="003E284B"/>
    <w:rsid w:val="003E550A"/>
    <w:rsid w:val="003E6600"/>
    <w:rsid w:val="003E7111"/>
    <w:rsid w:val="003E762E"/>
    <w:rsid w:val="003E7A16"/>
    <w:rsid w:val="003F1447"/>
    <w:rsid w:val="003F4BAE"/>
    <w:rsid w:val="003F7012"/>
    <w:rsid w:val="00400400"/>
    <w:rsid w:val="00402BF3"/>
    <w:rsid w:val="00403A69"/>
    <w:rsid w:val="0040406B"/>
    <w:rsid w:val="00404893"/>
    <w:rsid w:val="00404E0E"/>
    <w:rsid w:val="00406835"/>
    <w:rsid w:val="00407F31"/>
    <w:rsid w:val="004101EF"/>
    <w:rsid w:val="00412740"/>
    <w:rsid w:val="0041321D"/>
    <w:rsid w:val="00414FD2"/>
    <w:rsid w:val="0042127C"/>
    <w:rsid w:val="00426800"/>
    <w:rsid w:val="004269B2"/>
    <w:rsid w:val="00426EF8"/>
    <w:rsid w:val="0043369B"/>
    <w:rsid w:val="00434420"/>
    <w:rsid w:val="00434C8E"/>
    <w:rsid w:val="00435D8D"/>
    <w:rsid w:val="00436838"/>
    <w:rsid w:val="00437074"/>
    <w:rsid w:val="00437B8D"/>
    <w:rsid w:val="00440339"/>
    <w:rsid w:val="004406D6"/>
    <w:rsid w:val="00440B1D"/>
    <w:rsid w:val="004425B0"/>
    <w:rsid w:val="00442A9A"/>
    <w:rsid w:val="004431AA"/>
    <w:rsid w:val="0044432B"/>
    <w:rsid w:val="00444543"/>
    <w:rsid w:val="00446578"/>
    <w:rsid w:val="00447D82"/>
    <w:rsid w:val="004517DE"/>
    <w:rsid w:val="00451D09"/>
    <w:rsid w:val="00453B2A"/>
    <w:rsid w:val="00457132"/>
    <w:rsid w:val="0045731C"/>
    <w:rsid w:val="00457D7F"/>
    <w:rsid w:val="00460AC4"/>
    <w:rsid w:val="00466DC2"/>
    <w:rsid w:val="00470279"/>
    <w:rsid w:val="00471702"/>
    <w:rsid w:val="00472AA1"/>
    <w:rsid w:val="00472EAA"/>
    <w:rsid w:val="00473605"/>
    <w:rsid w:val="00475B72"/>
    <w:rsid w:val="00476467"/>
    <w:rsid w:val="00476BCD"/>
    <w:rsid w:val="00480397"/>
    <w:rsid w:val="00481817"/>
    <w:rsid w:val="00482202"/>
    <w:rsid w:val="00485EB0"/>
    <w:rsid w:val="00486262"/>
    <w:rsid w:val="0048644F"/>
    <w:rsid w:val="00491855"/>
    <w:rsid w:val="00494311"/>
    <w:rsid w:val="00494B34"/>
    <w:rsid w:val="00494CA4"/>
    <w:rsid w:val="00496D6F"/>
    <w:rsid w:val="004979AF"/>
    <w:rsid w:val="004A01DA"/>
    <w:rsid w:val="004A1CF3"/>
    <w:rsid w:val="004A238C"/>
    <w:rsid w:val="004A23E5"/>
    <w:rsid w:val="004A2CB0"/>
    <w:rsid w:val="004A3CE7"/>
    <w:rsid w:val="004A4D61"/>
    <w:rsid w:val="004A5BCC"/>
    <w:rsid w:val="004A5C4A"/>
    <w:rsid w:val="004A6C79"/>
    <w:rsid w:val="004B00EA"/>
    <w:rsid w:val="004B0712"/>
    <w:rsid w:val="004B10B3"/>
    <w:rsid w:val="004B10CC"/>
    <w:rsid w:val="004B212C"/>
    <w:rsid w:val="004B265E"/>
    <w:rsid w:val="004B29C6"/>
    <w:rsid w:val="004B2B92"/>
    <w:rsid w:val="004B364B"/>
    <w:rsid w:val="004B44DB"/>
    <w:rsid w:val="004B4C69"/>
    <w:rsid w:val="004B591C"/>
    <w:rsid w:val="004B6E21"/>
    <w:rsid w:val="004C0123"/>
    <w:rsid w:val="004C40D8"/>
    <w:rsid w:val="004C4524"/>
    <w:rsid w:val="004C4F7C"/>
    <w:rsid w:val="004C52ED"/>
    <w:rsid w:val="004C54BC"/>
    <w:rsid w:val="004D192A"/>
    <w:rsid w:val="004D7C42"/>
    <w:rsid w:val="004E0CEE"/>
    <w:rsid w:val="004E1ACE"/>
    <w:rsid w:val="004E1FCC"/>
    <w:rsid w:val="004E2DFF"/>
    <w:rsid w:val="004E5561"/>
    <w:rsid w:val="004F0363"/>
    <w:rsid w:val="004F11F3"/>
    <w:rsid w:val="004F1906"/>
    <w:rsid w:val="004F2F0F"/>
    <w:rsid w:val="004F37E3"/>
    <w:rsid w:val="004F3F6E"/>
    <w:rsid w:val="004F50E7"/>
    <w:rsid w:val="004F56EB"/>
    <w:rsid w:val="004F65DB"/>
    <w:rsid w:val="004F73CD"/>
    <w:rsid w:val="00500210"/>
    <w:rsid w:val="00500CC4"/>
    <w:rsid w:val="00501399"/>
    <w:rsid w:val="005026E2"/>
    <w:rsid w:val="00502C50"/>
    <w:rsid w:val="005035FA"/>
    <w:rsid w:val="005037B5"/>
    <w:rsid w:val="00505B13"/>
    <w:rsid w:val="005123FB"/>
    <w:rsid w:val="00516F24"/>
    <w:rsid w:val="005205B8"/>
    <w:rsid w:val="0052318C"/>
    <w:rsid w:val="00525361"/>
    <w:rsid w:val="00526426"/>
    <w:rsid w:val="005266FD"/>
    <w:rsid w:val="005271D1"/>
    <w:rsid w:val="00527899"/>
    <w:rsid w:val="005307F5"/>
    <w:rsid w:val="00531BE3"/>
    <w:rsid w:val="00532ABB"/>
    <w:rsid w:val="00532F48"/>
    <w:rsid w:val="0053339F"/>
    <w:rsid w:val="00533E79"/>
    <w:rsid w:val="00534B8D"/>
    <w:rsid w:val="00534F78"/>
    <w:rsid w:val="00536F80"/>
    <w:rsid w:val="00537ECF"/>
    <w:rsid w:val="005430F9"/>
    <w:rsid w:val="00543803"/>
    <w:rsid w:val="00545224"/>
    <w:rsid w:val="005465C4"/>
    <w:rsid w:val="005466BC"/>
    <w:rsid w:val="0054672B"/>
    <w:rsid w:val="00547D09"/>
    <w:rsid w:val="00550649"/>
    <w:rsid w:val="0055162D"/>
    <w:rsid w:val="00551A49"/>
    <w:rsid w:val="00551D38"/>
    <w:rsid w:val="005534DB"/>
    <w:rsid w:val="00554A57"/>
    <w:rsid w:val="005551FA"/>
    <w:rsid w:val="00556284"/>
    <w:rsid w:val="00556C85"/>
    <w:rsid w:val="00561106"/>
    <w:rsid w:val="005618A8"/>
    <w:rsid w:val="00561BE4"/>
    <w:rsid w:val="00561F06"/>
    <w:rsid w:val="00561F12"/>
    <w:rsid w:val="00563EE4"/>
    <w:rsid w:val="00571314"/>
    <w:rsid w:val="00571E9B"/>
    <w:rsid w:val="00573D1B"/>
    <w:rsid w:val="00574144"/>
    <w:rsid w:val="005818B8"/>
    <w:rsid w:val="00581BEC"/>
    <w:rsid w:val="005820E7"/>
    <w:rsid w:val="00583989"/>
    <w:rsid w:val="0058685F"/>
    <w:rsid w:val="00586D91"/>
    <w:rsid w:val="005877F7"/>
    <w:rsid w:val="005946E9"/>
    <w:rsid w:val="0059573D"/>
    <w:rsid w:val="00595FFC"/>
    <w:rsid w:val="00596346"/>
    <w:rsid w:val="00596A24"/>
    <w:rsid w:val="00597774"/>
    <w:rsid w:val="005A0962"/>
    <w:rsid w:val="005A2F26"/>
    <w:rsid w:val="005A395B"/>
    <w:rsid w:val="005A5121"/>
    <w:rsid w:val="005A66EB"/>
    <w:rsid w:val="005B0556"/>
    <w:rsid w:val="005B07A0"/>
    <w:rsid w:val="005B136B"/>
    <w:rsid w:val="005B1EF7"/>
    <w:rsid w:val="005B7A80"/>
    <w:rsid w:val="005C1F4D"/>
    <w:rsid w:val="005C22B6"/>
    <w:rsid w:val="005C2D9C"/>
    <w:rsid w:val="005C325A"/>
    <w:rsid w:val="005C4A31"/>
    <w:rsid w:val="005C6DF5"/>
    <w:rsid w:val="005C75A5"/>
    <w:rsid w:val="005C788D"/>
    <w:rsid w:val="005D0C44"/>
    <w:rsid w:val="005D0FD7"/>
    <w:rsid w:val="005D1EB1"/>
    <w:rsid w:val="005D4FAC"/>
    <w:rsid w:val="005D5091"/>
    <w:rsid w:val="005D5F14"/>
    <w:rsid w:val="005D6509"/>
    <w:rsid w:val="005D6EF6"/>
    <w:rsid w:val="005D711B"/>
    <w:rsid w:val="005D731A"/>
    <w:rsid w:val="005D7D59"/>
    <w:rsid w:val="005E01F9"/>
    <w:rsid w:val="005E1274"/>
    <w:rsid w:val="005F03EF"/>
    <w:rsid w:val="005F0E4A"/>
    <w:rsid w:val="005F1FC2"/>
    <w:rsid w:val="005F2609"/>
    <w:rsid w:val="005F2EFF"/>
    <w:rsid w:val="005F2FF7"/>
    <w:rsid w:val="005F3065"/>
    <w:rsid w:val="005F3395"/>
    <w:rsid w:val="005F3E7D"/>
    <w:rsid w:val="005F46FA"/>
    <w:rsid w:val="005F4C37"/>
    <w:rsid w:val="005F4EB5"/>
    <w:rsid w:val="005F667D"/>
    <w:rsid w:val="005F7120"/>
    <w:rsid w:val="005F79AC"/>
    <w:rsid w:val="005F7CD4"/>
    <w:rsid w:val="0060076F"/>
    <w:rsid w:val="00604886"/>
    <w:rsid w:val="00606BB1"/>
    <w:rsid w:val="00606C1E"/>
    <w:rsid w:val="006073E9"/>
    <w:rsid w:val="00607ED1"/>
    <w:rsid w:val="006116B5"/>
    <w:rsid w:val="00614962"/>
    <w:rsid w:val="006165C3"/>
    <w:rsid w:val="0061697D"/>
    <w:rsid w:val="0062017B"/>
    <w:rsid w:val="0062077A"/>
    <w:rsid w:val="0062257B"/>
    <w:rsid w:val="006229C1"/>
    <w:rsid w:val="00623BB6"/>
    <w:rsid w:val="00624A00"/>
    <w:rsid w:val="00625DDC"/>
    <w:rsid w:val="00626BC8"/>
    <w:rsid w:val="0063220C"/>
    <w:rsid w:val="0063283A"/>
    <w:rsid w:val="0063321E"/>
    <w:rsid w:val="006343A2"/>
    <w:rsid w:val="006351F2"/>
    <w:rsid w:val="00635DBF"/>
    <w:rsid w:val="00636F33"/>
    <w:rsid w:val="00640076"/>
    <w:rsid w:val="00640C22"/>
    <w:rsid w:val="00640F15"/>
    <w:rsid w:val="0064117E"/>
    <w:rsid w:val="006430FE"/>
    <w:rsid w:val="006434DE"/>
    <w:rsid w:val="00643A91"/>
    <w:rsid w:val="00645496"/>
    <w:rsid w:val="006515AC"/>
    <w:rsid w:val="0065585E"/>
    <w:rsid w:val="006558FF"/>
    <w:rsid w:val="00657D10"/>
    <w:rsid w:val="006601C9"/>
    <w:rsid w:val="00660509"/>
    <w:rsid w:val="006636E4"/>
    <w:rsid w:val="006643D0"/>
    <w:rsid w:val="00664AE6"/>
    <w:rsid w:val="00664D56"/>
    <w:rsid w:val="00664F5A"/>
    <w:rsid w:val="00665C1C"/>
    <w:rsid w:val="006661CE"/>
    <w:rsid w:val="0066664C"/>
    <w:rsid w:val="00667370"/>
    <w:rsid w:val="00667876"/>
    <w:rsid w:val="006707B2"/>
    <w:rsid w:val="00670824"/>
    <w:rsid w:val="00670F5B"/>
    <w:rsid w:val="006714DC"/>
    <w:rsid w:val="006724C9"/>
    <w:rsid w:val="00672F4D"/>
    <w:rsid w:val="006735C7"/>
    <w:rsid w:val="006737D8"/>
    <w:rsid w:val="0067406C"/>
    <w:rsid w:val="0067429E"/>
    <w:rsid w:val="006755DE"/>
    <w:rsid w:val="006758CB"/>
    <w:rsid w:val="00676663"/>
    <w:rsid w:val="006768E2"/>
    <w:rsid w:val="00680323"/>
    <w:rsid w:val="006846FB"/>
    <w:rsid w:val="00685B1A"/>
    <w:rsid w:val="00685B9E"/>
    <w:rsid w:val="0069211D"/>
    <w:rsid w:val="0069335F"/>
    <w:rsid w:val="00693581"/>
    <w:rsid w:val="00694713"/>
    <w:rsid w:val="00695545"/>
    <w:rsid w:val="0069632D"/>
    <w:rsid w:val="0069651A"/>
    <w:rsid w:val="006965FE"/>
    <w:rsid w:val="006A180B"/>
    <w:rsid w:val="006A21EA"/>
    <w:rsid w:val="006A286A"/>
    <w:rsid w:val="006A53FF"/>
    <w:rsid w:val="006A5F1C"/>
    <w:rsid w:val="006A79BE"/>
    <w:rsid w:val="006B1D2D"/>
    <w:rsid w:val="006B2086"/>
    <w:rsid w:val="006B2DD3"/>
    <w:rsid w:val="006B468F"/>
    <w:rsid w:val="006B5456"/>
    <w:rsid w:val="006B7003"/>
    <w:rsid w:val="006B7A2B"/>
    <w:rsid w:val="006C02F2"/>
    <w:rsid w:val="006C07EB"/>
    <w:rsid w:val="006C07FF"/>
    <w:rsid w:val="006C0DD9"/>
    <w:rsid w:val="006C2E6D"/>
    <w:rsid w:val="006C3433"/>
    <w:rsid w:val="006C42ED"/>
    <w:rsid w:val="006C6CDE"/>
    <w:rsid w:val="006C707C"/>
    <w:rsid w:val="006C7FDD"/>
    <w:rsid w:val="006D03C3"/>
    <w:rsid w:val="006D0A32"/>
    <w:rsid w:val="006D0A96"/>
    <w:rsid w:val="006D0B4B"/>
    <w:rsid w:val="006D1261"/>
    <w:rsid w:val="006D6B35"/>
    <w:rsid w:val="006E018B"/>
    <w:rsid w:val="006E200D"/>
    <w:rsid w:val="006E2547"/>
    <w:rsid w:val="006E28C8"/>
    <w:rsid w:val="006E5B3E"/>
    <w:rsid w:val="006E5CFD"/>
    <w:rsid w:val="006E62FE"/>
    <w:rsid w:val="006E6F17"/>
    <w:rsid w:val="006E6F52"/>
    <w:rsid w:val="006E7792"/>
    <w:rsid w:val="006F146B"/>
    <w:rsid w:val="006F189D"/>
    <w:rsid w:val="006F1B5D"/>
    <w:rsid w:val="006F3438"/>
    <w:rsid w:val="006F3C3C"/>
    <w:rsid w:val="006F4AFD"/>
    <w:rsid w:val="006F5295"/>
    <w:rsid w:val="006F5591"/>
    <w:rsid w:val="006F7D54"/>
    <w:rsid w:val="00700982"/>
    <w:rsid w:val="00703F29"/>
    <w:rsid w:val="0070407B"/>
    <w:rsid w:val="0070409B"/>
    <w:rsid w:val="00705362"/>
    <w:rsid w:val="00706033"/>
    <w:rsid w:val="007126BB"/>
    <w:rsid w:val="007126EC"/>
    <w:rsid w:val="0071442F"/>
    <w:rsid w:val="0071471D"/>
    <w:rsid w:val="0071716F"/>
    <w:rsid w:val="00717749"/>
    <w:rsid w:val="007202C9"/>
    <w:rsid w:val="0072032D"/>
    <w:rsid w:val="00720B2F"/>
    <w:rsid w:val="007213F2"/>
    <w:rsid w:val="007215F4"/>
    <w:rsid w:val="00723DD3"/>
    <w:rsid w:val="0072535F"/>
    <w:rsid w:val="0072687C"/>
    <w:rsid w:val="00727512"/>
    <w:rsid w:val="0072770E"/>
    <w:rsid w:val="00727EC0"/>
    <w:rsid w:val="00730BC9"/>
    <w:rsid w:val="00734A70"/>
    <w:rsid w:val="00740B7A"/>
    <w:rsid w:val="007410D0"/>
    <w:rsid w:val="007414FF"/>
    <w:rsid w:val="00742464"/>
    <w:rsid w:val="0074265A"/>
    <w:rsid w:val="00742E30"/>
    <w:rsid w:val="00743F62"/>
    <w:rsid w:val="0074417F"/>
    <w:rsid w:val="00744C45"/>
    <w:rsid w:val="00744CF4"/>
    <w:rsid w:val="00744FE0"/>
    <w:rsid w:val="00745BFC"/>
    <w:rsid w:val="00746FBF"/>
    <w:rsid w:val="0074743D"/>
    <w:rsid w:val="00751485"/>
    <w:rsid w:val="007520D5"/>
    <w:rsid w:val="00752F96"/>
    <w:rsid w:val="00755390"/>
    <w:rsid w:val="007556C3"/>
    <w:rsid w:val="007562D5"/>
    <w:rsid w:val="00756A21"/>
    <w:rsid w:val="007572DA"/>
    <w:rsid w:val="0076496F"/>
    <w:rsid w:val="00764BC2"/>
    <w:rsid w:val="00764BED"/>
    <w:rsid w:val="00764C49"/>
    <w:rsid w:val="00767319"/>
    <w:rsid w:val="007679A7"/>
    <w:rsid w:val="00767BCC"/>
    <w:rsid w:val="00771F91"/>
    <w:rsid w:val="00772B22"/>
    <w:rsid w:val="00773448"/>
    <w:rsid w:val="00773F5C"/>
    <w:rsid w:val="007755B1"/>
    <w:rsid w:val="0077693E"/>
    <w:rsid w:val="0078222A"/>
    <w:rsid w:val="0078771C"/>
    <w:rsid w:val="00790244"/>
    <w:rsid w:val="00791443"/>
    <w:rsid w:val="00792645"/>
    <w:rsid w:val="00792995"/>
    <w:rsid w:val="00793C8F"/>
    <w:rsid w:val="007944DF"/>
    <w:rsid w:val="007946EA"/>
    <w:rsid w:val="00795689"/>
    <w:rsid w:val="0079624F"/>
    <w:rsid w:val="0079706E"/>
    <w:rsid w:val="007973C5"/>
    <w:rsid w:val="00797E5E"/>
    <w:rsid w:val="007A0314"/>
    <w:rsid w:val="007A1856"/>
    <w:rsid w:val="007A2008"/>
    <w:rsid w:val="007A2389"/>
    <w:rsid w:val="007A3285"/>
    <w:rsid w:val="007A4162"/>
    <w:rsid w:val="007A48BA"/>
    <w:rsid w:val="007A4E05"/>
    <w:rsid w:val="007A6A0D"/>
    <w:rsid w:val="007A7DA1"/>
    <w:rsid w:val="007B079D"/>
    <w:rsid w:val="007B08DC"/>
    <w:rsid w:val="007B0DF2"/>
    <w:rsid w:val="007B220E"/>
    <w:rsid w:val="007B378B"/>
    <w:rsid w:val="007B3B16"/>
    <w:rsid w:val="007B5497"/>
    <w:rsid w:val="007B743D"/>
    <w:rsid w:val="007B7442"/>
    <w:rsid w:val="007B7C6B"/>
    <w:rsid w:val="007B7DAD"/>
    <w:rsid w:val="007C10D4"/>
    <w:rsid w:val="007C1C6F"/>
    <w:rsid w:val="007C1EEE"/>
    <w:rsid w:val="007C7505"/>
    <w:rsid w:val="007C7E25"/>
    <w:rsid w:val="007D4D93"/>
    <w:rsid w:val="007D5750"/>
    <w:rsid w:val="007E0408"/>
    <w:rsid w:val="007E192A"/>
    <w:rsid w:val="007E1A3E"/>
    <w:rsid w:val="007E30A5"/>
    <w:rsid w:val="007E31C6"/>
    <w:rsid w:val="007E4620"/>
    <w:rsid w:val="007E4E7E"/>
    <w:rsid w:val="007E6E9C"/>
    <w:rsid w:val="007E74B1"/>
    <w:rsid w:val="007F05CE"/>
    <w:rsid w:val="007F0974"/>
    <w:rsid w:val="007F3DD3"/>
    <w:rsid w:val="007F4612"/>
    <w:rsid w:val="007F4A3C"/>
    <w:rsid w:val="007F5D64"/>
    <w:rsid w:val="007F670C"/>
    <w:rsid w:val="00800078"/>
    <w:rsid w:val="0080106B"/>
    <w:rsid w:val="00802691"/>
    <w:rsid w:val="00805ED9"/>
    <w:rsid w:val="008064DE"/>
    <w:rsid w:val="00807DC6"/>
    <w:rsid w:val="00810B2E"/>
    <w:rsid w:val="008125AA"/>
    <w:rsid w:val="0081309E"/>
    <w:rsid w:val="0081339C"/>
    <w:rsid w:val="00816526"/>
    <w:rsid w:val="0081722C"/>
    <w:rsid w:val="00821490"/>
    <w:rsid w:val="00823531"/>
    <w:rsid w:val="008248D5"/>
    <w:rsid w:val="0082491F"/>
    <w:rsid w:val="00824C3F"/>
    <w:rsid w:val="00830101"/>
    <w:rsid w:val="00830D11"/>
    <w:rsid w:val="008315BF"/>
    <w:rsid w:val="008331F2"/>
    <w:rsid w:val="0083600C"/>
    <w:rsid w:val="0084320D"/>
    <w:rsid w:val="0084395F"/>
    <w:rsid w:val="00843C9B"/>
    <w:rsid w:val="008441AF"/>
    <w:rsid w:val="008452C4"/>
    <w:rsid w:val="00846136"/>
    <w:rsid w:val="00847F76"/>
    <w:rsid w:val="00851081"/>
    <w:rsid w:val="00851CFB"/>
    <w:rsid w:val="00853384"/>
    <w:rsid w:val="0085498A"/>
    <w:rsid w:val="00854B03"/>
    <w:rsid w:val="00854DB6"/>
    <w:rsid w:val="008553DE"/>
    <w:rsid w:val="00856967"/>
    <w:rsid w:val="00856CA6"/>
    <w:rsid w:val="00857AFC"/>
    <w:rsid w:val="0086012A"/>
    <w:rsid w:val="00862796"/>
    <w:rsid w:val="008631DC"/>
    <w:rsid w:val="00863292"/>
    <w:rsid w:val="00863534"/>
    <w:rsid w:val="00863C65"/>
    <w:rsid w:val="00864B27"/>
    <w:rsid w:val="0086588B"/>
    <w:rsid w:val="00866D0C"/>
    <w:rsid w:val="00867109"/>
    <w:rsid w:val="00867E80"/>
    <w:rsid w:val="00870B75"/>
    <w:rsid w:val="00871491"/>
    <w:rsid w:val="008723A5"/>
    <w:rsid w:val="008725F8"/>
    <w:rsid w:val="008774D5"/>
    <w:rsid w:val="00877EC4"/>
    <w:rsid w:val="00880638"/>
    <w:rsid w:val="0088472B"/>
    <w:rsid w:val="008851DF"/>
    <w:rsid w:val="00890BD5"/>
    <w:rsid w:val="00894640"/>
    <w:rsid w:val="00895B36"/>
    <w:rsid w:val="0089601A"/>
    <w:rsid w:val="00896198"/>
    <w:rsid w:val="00897956"/>
    <w:rsid w:val="00897CAB"/>
    <w:rsid w:val="008A1EF3"/>
    <w:rsid w:val="008A2024"/>
    <w:rsid w:val="008A5450"/>
    <w:rsid w:val="008A54DC"/>
    <w:rsid w:val="008A6049"/>
    <w:rsid w:val="008A6D94"/>
    <w:rsid w:val="008A7698"/>
    <w:rsid w:val="008B124F"/>
    <w:rsid w:val="008B1F10"/>
    <w:rsid w:val="008B3976"/>
    <w:rsid w:val="008B6450"/>
    <w:rsid w:val="008B7507"/>
    <w:rsid w:val="008C0300"/>
    <w:rsid w:val="008C1EEC"/>
    <w:rsid w:val="008C2271"/>
    <w:rsid w:val="008C3620"/>
    <w:rsid w:val="008C639F"/>
    <w:rsid w:val="008C6B2D"/>
    <w:rsid w:val="008C7A95"/>
    <w:rsid w:val="008D079C"/>
    <w:rsid w:val="008D093B"/>
    <w:rsid w:val="008D0D29"/>
    <w:rsid w:val="008D15DC"/>
    <w:rsid w:val="008D3CC3"/>
    <w:rsid w:val="008D6E70"/>
    <w:rsid w:val="008D73B1"/>
    <w:rsid w:val="008E0FFA"/>
    <w:rsid w:val="008E1D3D"/>
    <w:rsid w:val="008E3153"/>
    <w:rsid w:val="008E4BEF"/>
    <w:rsid w:val="008E709A"/>
    <w:rsid w:val="008E743A"/>
    <w:rsid w:val="008F128B"/>
    <w:rsid w:val="008F23D3"/>
    <w:rsid w:val="008F2A55"/>
    <w:rsid w:val="008F3D54"/>
    <w:rsid w:val="008F4B12"/>
    <w:rsid w:val="008F562A"/>
    <w:rsid w:val="008F5659"/>
    <w:rsid w:val="008F64D7"/>
    <w:rsid w:val="008F717E"/>
    <w:rsid w:val="0090062D"/>
    <w:rsid w:val="00903848"/>
    <w:rsid w:val="009064DC"/>
    <w:rsid w:val="00906563"/>
    <w:rsid w:val="00906766"/>
    <w:rsid w:val="0091182B"/>
    <w:rsid w:val="00911E3E"/>
    <w:rsid w:val="009131B4"/>
    <w:rsid w:val="009131C6"/>
    <w:rsid w:val="0091343D"/>
    <w:rsid w:val="00913A8C"/>
    <w:rsid w:val="00916D5C"/>
    <w:rsid w:val="00923A2E"/>
    <w:rsid w:val="00924E6D"/>
    <w:rsid w:val="00924F95"/>
    <w:rsid w:val="00926710"/>
    <w:rsid w:val="009273A9"/>
    <w:rsid w:val="009276EB"/>
    <w:rsid w:val="009318DB"/>
    <w:rsid w:val="0093392C"/>
    <w:rsid w:val="0093746E"/>
    <w:rsid w:val="00943D75"/>
    <w:rsid w:val="00943E58"/>
    <w:rsid w:val="009453E6"/>
    <w:rsid w:val="0094571A"/>
    <w:rsid w:val="0094574B"/>
    <w:rsid w:val="009538AF"/>
    <w:rsid w:val="00953A68"/>
    <w:rsid w:val="00954505"/>
    <w:rsid w:val="00954956"/>
    <w:rsid w:val="00954FB1"/>
    <w:rsid w:val="0095552F"/>
    <w:rsid w:val="009555E0"/>
    <w:rsid w:val="009575B8"/>
    <w:rsid w:val="00960E18"/>
    <w:rsid w:val="0096153E"/>
    <w:rsid w:val="0096163C"/>
    <w:rsid w:val="00961AE4"/>
    <w:rsid w:val="00961DEC"/>
    <w:rsid w:val="009635AE"/>
    <w:rsid w:val="00963730"/>
    <w:rsid w:val="009659DC"/>
    <w:rsid w:val="00965A93"/>
    <w:rsid w:val="00966396"/>
    <w:rsid w:val="0096666C"/>
    <w:rsid w:val="009723A3"/>
    <w:rsid w:val="00973810"/>
    <w:rsid w:val="009748F2"/>
    <w:rsid w:val="0097499A"/>
    <w:rsid w:val="00976DF5"/>
    <w:rsid w:val="00977035"/>
    <w:rsid w:val="0098047C"/>
    <w:rsid w:val="00981844"/>
    <w:rsid w:val="00982559"/>
    <w:rsid w:val="00986C42"/>
    <w:rsid w:val="00991078"/>
    <w:rsid w:val="00991572"/>
    <w:rsid w:val="009918CB"/>
    <w:rsid w:val="00991EAE"/>
    <w:rsid w:val="009924CA"/>
    <w:rsid w:val="0099296E"/>
    <w:rsid w:val="00992B86"/>
    <w:rsid w:val="00992E85"/>
    <w:rsid w:val="0099363C"/>
    <w:rsid w:val="00993E80"/>
    <w:rsid w:val="009940D1"/>
    <w:rsid w:val="009944B4"/>
    <w:rsid w:val="00995D06"/>
    <w:rsid w:val="00996105"/>
    <w:rsid w:val="0099713B"/>
    <w:rsid w:val="00997476"/>
    <w:rsid w:val="009A1233"/>
    <w:rsid w:val="009A15CD"/>
    <w:rsid w:val="009A1EAE"/>
    <w:rsid w:val="009A2594"/>
    <w:rsid w:val="009A264C"/>
    <w:rsid w:val="009A3F45"/>
    <w:rsid w:val="009A49CE"/>
    <w:rsid w:val="009A4E99"/>
    <w:rsid w:val="009A5317"/>
    <w:rsid w:val="009A5549"/>
    <w:rsid w:val="009A63A1"/>
    <w:rsid w:val="009A6CF2"/>
    <w:rsid w:val="009A6F27"/>
    <w:rsid w:val="009B084A"/>
    <w:rsid w:val="009B3175"/>
    <w:rsid w:val="009B3769"/>
    <w:rsid w:val="009B380F"/>
    <w:rsid w:val="009B58C8"/>
    <w:rsid w:val="009B7B82"/>
    <w:rsid w:val="009C06DD"/>
    <w:rsid w:val="009C07EF"/>
    <w:rsid w:val="009C450A"/>
    <w:rsid w:val="009C5091"/>
    <w:rsid w:val="009C53B1"/>
    <w:rsid w:val="009D0131"/>
    <w:rsid w:val="009D0812"/>
    <w:rsid w:val="009D246E"/>
    <w:rsid w:val="009D29D5"/>
    <w:rsid w:val="009D56BC"/>
    <w:rsid w:val="009D614E"/>
    <w:rsid w:val="009D64AA"/>
    <w:rsid w:val="009D7479"/>
    <w:rsid w:val="009D7D60"/>
    <w:rsid w:val="009E115C"/>
    <w:rsid w:val="009E1B18"/>
    <w:rsid w:val="009E26C7"/>
    <w:rsid w:val="009E2B44"/>
    <w:rsid w:val="009E2BF5"/>
    <w:rsid w:val="009E3603"/>
    <w:rsid w:val="009E3DF6"/>
    <w:rsid w:val="009E4A23"/>
    <w:rsid w:val="009E4B87"/>
    <w:rsid w:val="009E4D94"/>
    <w:rsid w:val="009E683C"/>
    <w:rsid w:val="009F11BF"/>
    <w:rsid w:val="009F13B3"/>
    <w:rsid w:val="009F50B7"/>
    <w:rsid w:val="009F52EE"/>
    <w:rsid w:val="009F6FFE"/>
    <w:rsid w:val="009F73A5"/>
    <w:rsid w:val="00A00CFF"/>
    <w:rsid w:val="00A03409"/>
    <w:rsid w:val="00A110DA"/>
    <w:rsid w:val="00A124B8"/>
    <w:rsid w:val="00A12676"/>
    <w:rsid w:val="00A138F6"/>
    <w:rsid w:val="00A14771"/>
    <w:rsid w:val="00A1486E"/>
    <w:rsid w:val="00A14CB6"/>
    <w:rsid w:val="00A14F44"/>
    <w:rsid w:val="00A1524C"/>
    <w:rsid w:val="00A15D43"/>
    <w:rsid w:val="00A16012"/>
    <w:rsid w:val="00A174FE"/>
    <w:rsid w:val="00A177EE"/>
    <w:rsid w:val="00A203F8"/>
    <w:rsid w:val="00A204B9"/>
    <w:rsid w:val="00A20AC9"/>
    <w:rsid w:val="00A232A8"/>
    <w:rsid w:val="00A2376B"/>
    <w:rsid w:val="00A25E2F"/>
    <w:rsid w:val="00A26058"/>
    <w:rsid w:val="00A265C2"/>
    <w:rsid w:val="00A2789A"/>
    <w:rsid w:val="00A3020C"/>
    <w:rsid w:val="00A3114A"/>
    <w:rsid w:val="00A315FA"/>
    <w:rsid w:val="00A3238A"/>
    <w:rsid w:val="00A33E6E"/>
    <w:rsid w:val="00A35102"/>
    <w:rsid w:val="00A35991"/>
    <w:rsid w:val="00A35BD3"/>
    <w:rsid w:val="00A36715"/>
    <w:rsid w:val="00A3783C"/>
    <w:rsid w:val="00A4041B"/>
    <w:rsid w:val="00A40824"/>
    <w:rsid w:val="00A440FE"/>
    <w:rsid w:val="00A44395"/>
    <w:rsid w:val="00A444CC"/>
    <w:rsid w:val="00A45219"/>
    <w:rsid w:val="00A45450"/>
    <w:rsid w:val="00A46F21"/>
    <w:rsid w:val="00A47066"/>
    <w:rsid w:val="00A47D3F"/>
    <w:rsid w:val="00A50A74"/>
    <w:rsid w:val="00A51051"/>
    <w:rsid w:val="00A5117E"/>
    <w:rsid w:val="00A51CEF"/>
    <w:rsid w:val="00A536C2"/>
    <w:rsid w:val="00A54572"/>
    <w:rsid w:val="00A553CA"/>
    <w:rsid w:val="00A5546B"/>
    <w:rsid w:val="00A56042"/>
    <w:rsid w:val="00A63E42"/>
    <w:rsid w:val="00A64AD9"/>
    <w:rsid w:val="00A64B3D"/>
    <w:rsid w:val="00A65BE7"/>
    <w:rsid w:val="00A65DE1"/>
    <w:rsid w:val="00A65F12"/>
    <w:rsid w:val="00A6647A"/>
    <w:rsid w:val="00A71249"/>
    <w:rsid w:val="00A716C0"/>
    <w:rsid w:val="00A72E3E"/>
    <w:rsid w:val="00A736A6"/>
    <w:rsid w:val="00A73DBF"/>
    <w:rsid w:val="00A73EBC"/>
    <w:rsid w:val="00A7442F"/>
    <w:rsid w:val="00A77434"/>
    <w:rsid w:val="00A77476"/>
    <w:rsid w:val="00A77A0C"/>
    <w:rsid w:val="00A8012D"/>
    <w:rsid w:val="00A817CF"/>
    <w:rsid w:val="00A82913"/>
    <w:rsid w:val="00A83675"/>
    <w:rsid w:val="00A84212"/>
    <w:rsid w:val="00A842C6"/>
    <w:rsid w:val="00A84866"/>
    <w:rsid w:val="00A855BF"/>
    <w:rsid w:val="00A87FD2"/>
    <w:rsid w:val="00A927CB"/>
    <w:rsid w:val="00A92EEE"/>
    <w:rsid w:val="00A94201"/>
    <w:rsid w:val="00AA44A7"/>
    <w:rsid w:val="00AA5A59"/>
    <w:rsid w:val="00AA7A12"/>
    <w:rsid w:val="00AB0527"/>
    <w:rsid w:val="00AB1B08"/>
    <w:rsid w:val="00AB380C"/>
    <w:rsid w:val="00AB3941"/>
    <w:rsid w:val="00AB3AAB"/>
    <w:rsid w:val="00AB48C6"/>
    <w:rsid w:val="00AB490C"/>
    <w:rsid w:val="00AB63BC"/>
    <w:rsid w:val="00AB64AB"/>
    <w:rsid w:val="00AB7B0A"/>
    <w:rsid w:val="00AC0851"/>
    <w:rsid w:val="00AC0A79"/>
    <w:rsid w:val="00AC1F60"/>
    <w:rsid w:val="00AC247F"/>
    <w:rsid w:val="00AC328D"/>
    <w:rsid w:val="00AC3F55"/>
    <w:rsid w:val="00AC41F6"/>
    <w:rsid w:val="00AC669C"/>
    <w:rsid w:val="00AC7578"/>
    <w:rsid w:val="00AD0252"/>
    <w:rsid w:val="00AD1291"/>
    <w:rsid w:val="00AD2127"/>
    <w:rsid w:val="00AD4399"/>
    <w:rsid w:val="00AD69A2"/>
    <w:rsid w:val="00AD705E"/>
    <w:rsid w:val="00AD7811"/>
    <w:rsid w:val="00AD7CB3"/>
    <w:rsid w:val="00AE146F"/>
    <w:rsid w:val="00AE19C5"/>
    <w:rsid w:val="00AE614C"/>
    <w:rsid w:val="00AE620A"/>
    <w:rsid w:val="00AE6AF5"/>
    <w:rsid w:val="00AE6F2E"/>
    <w:rsid w:val="00AE7B7F"/>
    <w:rsid w:val="00AF05D3"/>
    <w:rsid w:val="00AF288D"/>
    <w:rsid w:val="00AF6318"/>
    <w:rsid w:val="00AF646A"/>
    <w:rsid w:val="00B0281A"/>
    <w:rsid w:val="00B02AAF"/>
    <w:rsid w:val="00B0361C"/>
    <w:rsid w:val="00B04C8D"/>
    <w:rsid w:val="00B0629D"/>
    <w:rsid w:val="00B0674C"/>
    <w:rsid w:val="00B10DC2"/>
    <w:rsid w:val="00B11298"/>
    <w:rsid w:val="00B11AE5"/>
    <w:rsid w:val="00B11C2D"/>
    <w:rsid w:val="00B11CCD"/>
    <w:rsid w:val="00B11DD5"/>
    <w:rsid w:val="00B140B7"/>
    <w:rsid w:val="00B140F3"/>
    <w:rsid w:val="00B15E93"/>
    <w:rsid w:val="00B209C4"/>
    <w:rsid w:val="00B20ADB"/>
    <w:rsid w:val="00B20E19"/>
    <w:rsid w:val="00B25C7C"/>
    <w:rsid w:val="00B2705E"/>
    <w:rsid w:val="00B33554"/>
    <w:rsid w:val="00B33AA4"/>
    <w:rsid w:val="00B33BEC"/>
    <w:rsid w:val="00B34380"/>
    <w:rsid w:val="00B35D3C"/>
    <w:rsid w:val="00B36219"/>
    <w:rsid w:val="00B3688F"/>
    <w:rsid w:val="00B371D6"/>
    <w:rsid w:val="00B37E5C"/>
    <w:rsid w:val="00B37F7A"/>
    <w:rsid w:val="00B42037"/>
    <w:rsid w:val="00B47605"/>
    <w:rsid w:val="00B50A3F"/>
    <w:rsid w:val="00B53CC9"/>
    <w:rsid w:val="00B575E2"/>
    <w:rsid w:val="00B57954"/>
    <w:rsid w:val="00B600F8"/>
    <w:rsid w:val="00B61145"/>
    <w:rsid w:val="00B614BF"/>
    <w:rsid w:val="00B64257"/>
    <w:rsid w:val="00B648FE"/>
    <w:rsid w:val="00B64C80"/>
    <w:rsid w:val="00B6533B"/>
    <w:rsid w:val="00B658C2"/>
    <w:rsid w:val="00B66412"/>
    <w:rsid w:val="00B66428"/>
    <w:rsid w:val="00B67083"/>
    <w:rsid w:val="00B7206A"/>
    <w:rsid w:val="00B72890"/>
    <w:rsid w:val="00B7565B"/>
    <w:rsid w:val="00B7749D"/>
    <w:rsid w:val="00B8017F"/>
    <w:rsid w:val="00B80A7C"/>
    <w:rsid w:val="00B81E99"/>
    <w:rsid w:val="00B82835"/>
    <w:rsid w:val="00B82CAB"/>
    <w:rsid w:val="00B83BD8"/>
    <w:rsid w:val="00B847C2"/>
    <w:rsid w:val="00B8545F"/>
    <w:rsid w:val="00B85555"/>
    <w:rsid w:val="00B856F6"/>
    <w:rsid w:val="00B92FC9"/>
    <w:rsid w:val="00B944FA"/>
    <w:rsid w:val="00B94814"/>
    <w:rsid w:val="00B94E69"/>
    <w:rsid w:val="00B96C4D"/>
    <w:rsid w:val="00BA17EB"/>
    <w:rsid w:val="00BA1F85"/>
    <w:rsid w:val="00BA4DF3"/>
    <w:rsid w:val="00BA7F20"/>
    <w:rsid w:val="00BB114B"/>
    <w:rsid w:val="00BB2862"/>
    <w:rsid w:val="00BB2C0D"/>
    <w:rsid w:val="00BB4C4C"/>
    <w:rsid w:val="00BB5776"/>
    <w:rsid w:val="00BB7501"/>
    <w:rsid w:val="00BB7A50"/>
    <w:rsid w:val="00BC03B8"/>
    <w:rsid w:val="00BC4176"/>
    <w:rsid w:val="00BC454E"/>
    <w:rsid w:val="00BC532D"/>
    <w:rsid w:val="00BC596F"/>
    <w:rsid w:val="00BC6E18"/>
    <w:rsid w:val="00BC7BA2"/>
    <w:rsid w:val="00BD1F2D"/>
    <w:rsid w:val="00BD2231"/>
    <w:rsid w:val="00BD247E"/>
    <w:rsid w:val="00BD2DD0"/>
    <w:rsid w:val="00BD4005"/>
    <w:rsid w:val="00BD40B6"/>
    <w:rsid w:val="00BD663C"/>
    <w:rsid w:val="00BD721F"/>
    <w:rsid w:val="00BE038C"/>
    <w:rsid w:val="00BE0417"/>
    <w:rsid w:val="00BE0D45"/>
    <w:rsid w:val="00BE137C"/>
    <w:rsid w:val="00BE141E"/>
    <w:rsid w:val="00BE1D26"/>
    <w:rsid w:val="00BE30ED"/>
    <w:rsid w:val="00BE6B9A"/>
    <w:rsid w:val="00BF0638"/>
    <w:rsid w:val="00BF270D"/>
    <w:rsid w:val="00BF4240"/>
    <w:rsid w:val="00BF440A"/>
    <w:rsid w:val="00BF5EB4"/>
    <w:rsid w:val="00BF7615"/>
    <w:rsid w:val="00BF7A07"/>
    <w:rsid w:val="00C026B9"/>
    <w:rsid w:val="00C0274E"/>
    <w:rsid w:val="00C03C12"/>
    <w:rsid w:val="00C05398"/>
    <w:rsid w:val="00C10632"/>
    <w:rsid w:val="00C11DF5"/>
    <w:rsid w:val="00C12330"/>
    <w:rsid w:val="00C123A4"/>
    <w:rsid w:val="00C13B57"/>
    <w:rsid w:val="00C15B54"/>
    <w:rsid w:val="00C172A0"/>
    <w:rsid w:val="00C207E5"/>
    <w:rsid w:val="00C20B14"/>
    <w:rsid w:val="00C20E8E"/>
    <w:rsid w:val="00C23F61"/>
    <w:rsid w:val="00C24281"/>
    <w:rsid w:val="00C251DA"/>
    <w:rsid w:val="00C258E4"/>
    <w:rsid w:val="00C25C5B"/>
    <w:rsid w:val="00C276AD"/>
    <w:rsid w:val="00C30311"/>
    <w:rsid w:val="00C3167D"/>
    <w:rsid w:val="00C31D6D"/>
    <w:rsid w:val="00C33FA5"/>
    <w:rsid w:val="00C34238"/>
    <w:rsid w:val="00C34719"/>
    <w:rsid w:val="00C351CF"/>
    <w:rsid w:val="00C366B8"/>
    <w:rsid w:val="00C36A75"/>
    <w:rsid w:val="00C37391"/>
    <w:rsid w:val="00C40FC8"/>
    <w:rsid w:val="00C46097"/>
    <w:rsid w:val="00C50226"/>
    <w:rsid w:val="00C50529"/>
    <w:rsid w:val="00C506E2"/>
    <w:rsid w:val="00C50808"/>
    <w:rsid w:val="00C53033"/>
    <w:rsid w:val="00C54F87"/>
    <w:rsid w:val="00C55029"/>
    <w:rsid w:val="00C551A3"/>
    <w:rsid w:val="00C600D1"/>
    <w:rsid w:val="00C6023A"/>
    <w:rsid w:val="00C61519"/>
    <w:rsid w:val="00C61924"/>
    <w:rsid w:val="00C62329"/>
    <w:rsid w:val="00C63CA6"/>
    <w:rsid w:val="00C65A31"/>
    <w:rsid w:val="00C67776"/>
    <w:rsid w:val="00C72B23"/>
    <w:rsid w:val="00C739AD"/>
    <w:rsid w:val="00C7528B"/>
    <w:rsid w:val="00C7646C"/>
    <w:rsid w:val="00C76A4A"/>
    <w:rsid w:val="00C77700"/>
    <w:rsid w:val="00C7773C"/>
    <w:rsid w:val="00C813D6"/>
    <w:rsid w:val="00C837DF"/>
    <w:rsid w:val="00C83DC4"/>
    <w:rsid w:val="00C83DF4"/>
    <w:rsid w:val="00C84CA2"/>
    <w:rsid w:val="00C86A95"/>
    <w:rsid w:val="00C86F62"/>
    <w:rsid w:val="00C914C1"/>
    <w:rsid w:val="00C926AB"/>
    <w:rsid w:val="00C93380"/>
    <w:rsid w:val="00C95464"/>
    <w:rsid w:val="00C95ACA"/>
    <w:rsid w:val="00C964A3"/>
    <w:rsid w:val="00C970BD"/>
    <w:rsid w:val="00CA0304"/>
    <w:rsid w:val="00CA12AA"/>
    <w:rsid w:val="00CA6266"/>
    <w:rsid w:val="00CA68F6"/>
    <w:rsid w:val="00CA7E91"/>
    <w:rsid w:val="00CB0F9A"/>
    <w:rsid w:val="00CB2E01"/>
    <w:rsid w:val="00CB42CD"/>
    <w:rsid w:val="00CB67C0"/>
    <w:rsid w:val="00CC1456"/>
    <w:rsid w:val="00CC1CF3"/>
    <w:rsid w:val="00CC259B"/>
    <w:rsid w:val="00CC3065"/>
    <w:rsid w:val="00CC3DB6"/>
    <w:rsid w:val="00CC59A0"/>
    <w:rsid w:val="00CD35B5"/>
    <w:rsid w:val="00CD37F4"/>
    <w:rsid w:val="00CD4DA3"/>
    <w:rsid w:val="00CD574C"/>
    <w:rsid w:val="00CD5FF2"/>
    <w:rsid w:val="00CE086B"/>
    <w:rsid w:val="00CE0A3F"/>
    <w:rsid w:val="00CE632A"/>
    <w:rsid w:val="00CF0B6D"/>
    <w:rsid w:val="00CF11C6"/>
    <w:rsid w:val="00CF11F9"/>
    <w:rsid w:val="00CF320B"/>
    <w:rsid w:val="00CF4A54"/>
    <w:rsid w:val="00CF4F58"/>
    <w:rsid w:val="00CF57A1"/>
    <w:rsid w:val="00CF74DD"/>
    <w:rsid w:val="00CF7579"/>
    <w:rsid w:val="00D015B4"/>
    <w:rsid w:val="00D02D6F"/>
    <w:rsid w:val="00D02F7C"/>
    <w:rsid w:val="00D06933"/>
    <w:rsid w:val="00D06DB0"/>
    <w:rsid w:val="00D073E1"/>
    <w:rsid w:val="00D11018"/>
    <w:rsid w:val="00D13258"/>
    <w:rsid w:val="00D135D1"/>
    <w:rsid w:val="00D1388C"/>
    <w:rsid w:val="00D13D05"/>
    <w:rsid w:val="00D149A3"/>
    <w:rsid w:val="00D1531C"/>
    <w:rsid w:val="00D15756"/>
    <w:rsid w:val="00D2082C"/>
    <w:rsid w:val="00D20EB0"/>
    <w:rsid w:val="00D223D3"/>
    <w:rsid w:val="00D22AFA"/>
    <w:rsid w:val="00D23F9B"/>
    <w:rsid w:val="00D258C0"/>
    <w:rsid w:val="00D26DB9"/>
    <w:rsid w:val="00D30B23"/>
    <w:rsid w:val="00D30B2E"/>
    <w:rsid w:val="00D3398D"/>
    <w:rsid w:val="00D33B25"/>
    <w:rsid w:val="00D34B0E"/>
    <w:rsid w:val="00D34BD8"/>
    <w:rsid w:val="00D35C26"/>
    <w:rsid w:val="00D35CE8"/>
    <w:rsid w:val="00D44297"/>
    <w:rsid w:val="00D44482"/>
    <w:rsid w:val="00D445A3"/>
    <w:rsid w:val="00D445E4"/>
    <w:rsid w:val="00D461A8"/>
    <w:rsid w:val="00D46A56"/>
    <w:rsid w:val="00D525AE"/>
    <w:rsid w:val="00D53174"/>
    <w:rsid w:val="00D53433"/>
    <w:rsid w:val="00D554E8"/>
    <w:rsid w:val="00D61119"/>
    <w:rsid w:val="00D622BD"/>
    <w:rsid w:val="00D62B91"/>
    <w:rsid w:val="00D631B6"/>
    <w:rsid w:val="00D63BA9"/>
    <w:rsid w:val="00D63D67"/>
    <w:rsid w:val="00D643BA"/>
    <w:rsid w:val="00D65087"/>
    <w:rsid w:val="00D655F9"/>
    <w:rsid w:val="00D6600E"/>
    <w:rsid w:val="00D66562"/>
    <w:rsid w:val="00D6687F"/>
    <w:rsid w:val="00D701DE"/>
    <w:rsid w:val="00D7099E"/>
    <w:rsid w:val="00D72FC7"/>
    <w:rsid w:val="00D73899"/>
    <w:rsid w:val="00D73FC1"/>
    <w:rsid w:val="00D747D8"/>
    <w:rsid w:val="00D7681F"/>
    <w:rsid w:val="00D7707F"/>
    <w:rsid w:val="00D80B62"/>
    <w:rsid w:val="00D815D7"/>
    <w:rsid w:val="00D82A33"/>
    <w:rsid w:val="00D90D2A"/>
    <w:rsid w:val="00D9292F"/>
    <w:rsid w:val="00D93273"/>
    <w:rsid w:val="00D93508"/>
    <w:rsid w:val="00D936AB"/>
    <w:rsid w:val="00D9468A"/>
    <w:rsid w:val="00D948DE"/>
    <w:rsid w:val="00D94E95"/>
    <w:rsid w:val="00D96CBF"/>
    <w:rsid w:val="00DA145C"/>
    <w:rsid w:val="00DA1ECC"/>
    <w:rsid w:val="00DA311F"/>
    <w:rsid w:val="00DA7907"/>
    <w:rsid w:val="00DB137F"/>
    <w:rsid w:val="00DB23AB"/>
    <w:rsid w:val="00DB24CB"/>
    <w:rsid w:val="00DB4221"/>
    <w:rsid w:val="00DB5101"/>
    <w:rsid w:val="00DB6060"/>
    <w:rsid w:val="00DC13AD"/>
    <w:rsid w:val="00DC1BA5"/>
    <w:rsid w:val="00DC2054"/>
    <w:rsid w:val="00DC53C3"/>
    <w:rsid w:val="00DC6E4A"/>
    <w:rsid w:val="00DC7346"/>
    <w:rsid w:val="00DC7B83"/>
    <w:rsid w:val="00DD099C"/>
    <w:rsid w:val="00DD3420"/>
    <w:rsid w:val="00DD70E5"/>
    <w:rsid w:val="00DE12C0"/>
    <w:rsid w:val="00DE14B1"/>
    <w:rsid w:val="00DE18E1"/>
    <w:rsid w:val="00DE27CF"/>
    <w:rsid w:val="00DE4BA8"/>
    <w:rsid w:val="00DE4D28"/>
    <w:rsid w:val="00DE5EFB"/>
    <w:rsid w:val="00DE6862"/>
    <w:rsid w:val="00DE6B8C"/>
    <w:rsid w:val="00DF038A"/>
    <w:rsid w:val="00DF0B82"/>
    <w:rsid w:val="00DF201D"/>
    <w:rsid w:val="00DF2CB0"/>
    <w:rsid w:val="00DF38CE"/>
    <w:rsid w:val="00DF3C8E"/>
    <w:rsid w:val="00DF3ED4"/>
    <w:rsid w:val="00DF47A9"/>
    <w:rsid w:val="00DF76B3"/>
    <w:rsid w:val="00DF7BE5"/>
    <w:rsid w:val="00E02648"/>
    <w:rsid w:val="00E02B9D"/>
    <w:rsid w:val="00E05A85"/>
    <w:rsid w:val="00E065FD"/>
    <w:rsid w:val="00E108C7"/>
    <w:rsid w:val="00E12BC7"/>
    <w:rsid w:val="00E15C78"/>
    <w:rsid w:val="00E169A2"/>
    <w:rsid w:val="00E177AD"/>
    <w:rsid w:val="00E17838"/>
    <w:rsid w:val="00E239A9"/>
    <w:rsid w:val="00E3048A"/>
    <w:rsid w:val="00E30F5C"/>
    <w:rsid w:val="00E321D5"/>
    <w:rsid w:val="00E32247"/>
    <w:rsid w:val="00E354D9"/>
    <w:rsid w:val="00E35D33"/>
    <w:rsid w:val="00E36AAA"/>
    <w:rsid w:val="00E36F03"/>
    <w:rsid w:val="00E37013"/>
    <w:rsid w:val="00E37AB2"/>
    <w:rsid w:val="00E40251"/>
    <w:rsid w:val="00E408E4"/>
    <w:rsid w:val="00E4097D"/>
    <w:rsid w:val="00E40B62"/>
    <w:rsid w:val="00E41B5E"/>
    <w:rsid w:val="00E42FCA"/>
    <w:rsid w:val="00E44F90"/>
    <w:rsid w:val="00E45A4A"/>
    <w:rsid w:val="00E45F77"/>
    <w:rsid w:val="00E47054"/>
    <w:rsid w:val="00E52E22"/>
    <w:rsid w:val="00E5567B"/>
    <w:rsid w:val="00E57B34"/>
    <w:rsid w:val="00E60B5A"/>
    <w:rsid w:val="00E6137B"/>
    <w:rsid w:val="00E61A03"/>
    <w:rsid w:val="00E64547"/>
    <w:rsid w:val="00E679FF"/>
    <w:rsid w:val="00E70018"/>
    <w:rsid w:val="00E7043A"/>
    <w:rsid w:val="00E70F45"/>
    <w:rsid w:val="00E71A86"/>
    <w:rsid w:val="00E72927"/>
    <w:rsid w:val="00E800C9"/>
    <w:rsid w:val="00E8106A"/>
    <w:rsid w:val="00E82EA4"/>
    <w:rsid w:val="00E879B9"/>
    <w:rsid w:val="00E900E4"/>
    <w:rsid w:val="00E90187"/>
    <w:rsid w:val="00E902F6"/>
    <w:rsid w:val="00E91223"/>
    <w:rsid w:val="00E93000"/>
    <w:rsid w:val="00E94331"/>
    <w:rsid w:val="00E943A7"/>
    <w:rsid w:val="00E94C8B"/>
    <w:rsid w:val="00E94DBC"/>
    <w:rsid w:val="00E94F14"/>
    <w:rsid w:val="00E95486"/>
    <w:rsid w:val="00E957C6"/>
    <w:rsid w:val="00E958A4"/>
    <w:rsid w:val="00E95923"/>
    <w:rsid w:val="00E96741"/>
    <w:rsid w:val="00E96E51"/>
    <w:rsid w:val="00E97DC1"/>
    <w:rsid w:val="00EA25B5"/>
    <w:rsid w:val="00EA4177"/>
    <w:rsid w:val="00EB0B1C"/>
    <w:rsid w:val="00EB1560"/>
    <w:rsid w:val="00EB1A63"/>
    <w:rsid w:val="00EB2D1E"/>
    <w:rsid w:val="00EB402D"/>
    <w:rsid w:val="00EB6BE9"/>
    <w:rsid w:val="00EB7C04"/>
    <w:rsid w:val="00EB7E91"/>
    <w:rsid w:val="00EC0D74"/>
    <w:rsid w:val="00EC36BB"/>
    <w:rsid w:val="00EC401C"/>
    <w:rsid w:val="00EC4628"/>
    <w:rsid w:val="00EC477D"/>
    <w:rsid w:val="00EC4B08"/>
    <w:rsid w:val="00EC50E6"/>
    <w:rsid w:val="00EC543E"/>
    <w:rsid w:val="00EC5E93"/>
    <w:rsid w:val="00EC6182"/>
    <w:rsid w:val="00EC6209"/>
    <w:rsid w:val="00EC66BE"/>
    <w:rsid w:val="00EC6A2B"/>
    <w:rsid w:val="00ED2949"/>
    <w:rsid w:val="00ED336B"/>
    <w:rsid w:val="00ED4325"/>
    <w:rsid w:val="00ED49DF"/>
    <w:rsid w:val="00ED4C33"/>
    <w:rsid w:val="00ED51C0"/>
    <w:rsid w:val="00ED5E0D"/>
    <w:rsid w:val="00ED5F40"/>
    <w:rsid w:val="00ED6187"/>
    <w:rsid w:val="00ED6EFC"/>
    <w:rsid w:val="00ED7B5D"/>
    <w:rsid w:val="00EE133D"/>
    <w:rsid w:val="00EE16B9"/>
    <w:rsid w:val="00EE1C4B"/>
    <w:rsid w:val="00EE29B0"/>
    <w:rsid w:val="00EE2B31"/>
    <w:rsid w:val="00EE2C17"/>
    <w:rsid w:val="00EE2FB2"/>
    <w:rsid w:val="00EE3F53"/>
    <w:rsid w:val="00EE43CE"/>
    <w:rsid w:val="00EE77A1"/>
    <w:rsid w:val="00EF0D21"/>
    <w:rsid w:val="00EF1626"/>
    <w:rsid w:val="00EF176F"/>
    <w:rsid w:val="00EF186A"/>
    <w:rsid w:val="00EF4885"/>
    <w:rsid w:val="00EF6CD6"/>
    <w:rsid w:val="00EF72B1"/>
    <w:rsid w:val="00F01F29"/>
    <w:rsid w:val="00F0417C"/>
    <w:rsid w:val="00F07064"/>
    <w:rsid w:val="00F0790A"/>
    <w:rsid w:val="00F1074B"/>
    <w:rsid w:val="00F109F2"/>
    <w:rsid w:val="00F11D38"/>
    <w:rsid w:val="00F137F5"/>
    <w:rsid w:val="00F1588C"/>
    <w:rsid w:val="00F20C9D"/>
    <w:rsid w:val="00F212B0"/>
    <w:rsid w:val="00F212C2"/>
    <w:rsid w:val="00F21851"/>
    <w:rsid w:val="00F21A42"/>
    <w:rsid w:val="00F23785"/>
    <w:rsid w:val="00F23B84"/>
    <w:rsid w:val="00F24719"/>
    <w:rsid w:val="00F25CFD"/>
    <w:rsid w:val="00F25E9A"/>
    <w:rsid w:val="00F26A89"/>
    <w:rsid w:val="00F30C54"/>
    <w:rsid w:val="00F31482"/>
    <w:rsid w:val="00F31B61"/>
    <w:rsid w:val="00F31BAE"/>
    <w:rsid w:val="00F31DED"/>
    <w:rsid w:val="00F324C6"/>
    <w:rsid w:val="00F33083"/>
    <w:rsid w:val="00F3441A"/>
    <w:rsid w:val="00F353CB"/>
    <w:rsid w:val="00F3552D"/>
    <w:rsid w:val="00F359E1"/>
    <w:rsid w:val="00F3670E"/>
    <w:rsid w:val="00F4011D"/>
    <w:rsid w:val="00F40673"/>
    <w:rsid w:val="00F43013"/>
    <w:rsid w:val="00F43182"/>
    <w:rsid w:val="00F447E2"/>
    <w:rsid w:val="00F459AB"/>
    <w:rsid w:val="00F50638"/>
    <w:rsid w:val="00F508B5"/>
    <w:rsid w:val="00F51AD1"/>
    <w:rsid w:val="00F52082"/>
    <w:rsid w:val="00F532A6"/>
    <w:rsid w:val="00F53BAB"/>
    <w:rsid w:val="00F53BBE"/>
    <w:rsid w:val="00F549A7"/>
    <w:rsid w:val="00F600B2"/>
    <w:rsid w:val="00F624F6"/>
    <w:rsid w:val="00F62A2D"/>
    <w:rsid w:val="00F62F85"/>
    <w:rsid w:val="00F631C3"/>
    <w:rsid w:val="00F64F43"/>
    <w:rsid w:val="00F65664"/>
    <w:rsid w:val="00F666CF"/>
    <w:rsid w:val="00F67163"/>
    <w:rsid w:val="00F7021D"/>
    <w:rsid w:val="00F74B0A"/>
    <w:rsid w:val="00F7594D"/>
    <w:rsid w:val="00F75AFD"/>
    <w:rsid w:val="00F76250"/>
    <w:rsid w:val="00F76856"/>
    <w:rsid w:val="00F779B4"/>
    <w:rsid w:val="00F82B6E"/>
    <w:rsid w:val="00F82B77"/>
    <w:rsid w:val="00F82C38"/>
    <w:rsid w:val="00F83336"/>
    <w:rsid w:val="00F8354A"/>
    <w:rsid w:val="00F84EC1"/>
    <w:rsid w:val="00F85F01"/>
    <w:rsid w:val="00F876BF"/>
    <w:rsid w:val="00F87992"/>
    <w:rsid w:val="00F87EFC"/>
    <w:rsid w:val="00F90F8B"/>
    <w:rsid w:val="00F91335"/>
    <w:rsid w:val="00F928D7"/>
    <w:rsid w:val="00F92938"/>
    <w:rsid w:val="00F92B3C"/>
    <w:rsid w:val="00FA0CF1"/>
    <w:rsid w:val="00FA1308"/>
    <w:rsid w:val="00FA1397"/>
    <w:rsid w:val="00FA2787"/>
    <w:rsid w:val="00FA3EB5"/>
    <w:rsid w:val="00FA6A4F"/>
    <w:rsid w:val="00FB298A"/>
    <w:rsid w:val="00FB2D15"/>
    <w:rsid w:val="00FB60EC"/>
    <w:rsid w:val="00FB65A5"/>
    <w:rsid w:val="00FC0D6C"/>
    <w:rsid w:val="00FC1468"/>
    <w:rsid w:val="00FC1D83"/>
    <w:rsid w:val="00FC27CE"/>
    <w:rsid w:val="00FC37A7"/>
    <w:rsid w:val="00FC3DDD"/>
    <w:rsid w:val="00FC5D56"/>
    <w:rsid w:val="00FC7A62"/>
    <w:rsid w:val="00FD05B2"/>
    <w:rsid w:val="00FD2447"/>
    <w:rsid w:val="00FD3C76"/>
    <w:rsid w:val="00FD41D1"/>
    <w:rsid w:val="00FD48FC"/>
    <w:rsid w:val="00FD49DF"/>
    <w:rsid w:val="00FD4EDE"/>
    <w:rsid w:val="00FD7871"/>
    <w:rsid w:val="00FD79AE"/>
    <w:rsid w:val="00FD7C33"/>
    <w:rsid w:val="00FE101B"/>
    <w:rsid w:val="00FE3381"/>
    <w:rsid w:val="00FE4283"/>
    <w:rsid w:val="00FE45BC"/>
    <w:rsid w:val="00FE4D0C"/>
    <w:rsid w:val="00FE55AF"/>
    <w:rsid w:val="00FE5A96"/>
    <w:rsid w:val="00FE669B"/>
    <w:rsid w:val="00FF05FA"/>
    <w:rsid w:val="00FF0FBC"/>
    <w:rsid w:val="00FF1115"/>
    <w:rsid w:val="00FF19CF"/>
    <w:rsid w:val="00FF1B7D"/>
    <w:rsid w:val="00FF309D"/>
    <w:rsid w:val="00FF3260"/>
    <w:rsid w:val="00FF4697"/>
    <w:rsid w:val="00FF4EF0"/>
    <w:rsid w:val="00FF6188"/>
    <w:rsid w:val="04B008D5"/>
    <w:rsid w:val="07157C80"/>
    <w:rsid w:val="08582D80"/>
    <w:rsid w:val="0D8F61CA"/>
    <w:rsid w:val="161E6859"/>
    <w:rsid w:val="1D4F7AD8"/>
    <w:rsid w:val="344C0D1E"/>
    <w:rsid w:val="3C127459"/>
    <w:rsid w:val="3E8938B0"/>
    <w:rsid w:val="437C1F45"/>
    <w:rsid w:val="441433BD"/>
    <w:rsid w:val="441F4FD2"/>
    <w:rsid w:val="4A2C15B6"/>
    <w:rsid w:val="534244A5"/>
    <w:rsid w:val="599E0097"/>
    <w:rsid w:val="5FEE15D0"/>
    <w:rsid w:val="5FFA4B83"/>
    <w:rsid w:val="610905C4"/>
    <w:rsid w:val="64176BC2"/>
    <w:rsid w:val="65DE1DB1"/>
    <w:rsid w:val="66616B07"/>
    <w:rsid w:val="68C078EA"/>
    <w:rsid w:val="6C863F31"/>
    <w:rsid w:val="7840492B"/>
    <w:rsid w:val="7B043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98CC"/>
  <w15:docId w15:val="{E1CE8174-1FF0-40BC-87A6-CAA9B39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711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711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3E7111"/>
    <w:pPr>
      <w:keepNext/>
      <w:keepLines/>
      <w:numPr>
        <w:ilvl w:val="1"/>
        <w:numId w:val="1"/>
      </w:numPr>
      <w:tabs>
        <w:tab w:val="clear" w:pos="4828"/>
        <w:tab w:val="left" w:pos="432"/>
        <w:tab w:val="left" w:pos="576"/>
        <w:tab w:val="left" w:pos="1001"/>
      </w:tabs>
      <w:spacing w:before="260" w:after="260" w:line="416" w:lineRule="auto"/>
      <w:ind w:left="1001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link w:val="30"/>
    <w:qFormat/>
    <w:rsid w:val="003E7111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ascii="Arial" w:hAnsi="Arial"/>
      <w:szCs w:val="32"/>
    </w:rPr>
  </w:style>
  <w:style w:type="paragraph" w:styleId="4">
    <w:name w:val="heading 4"/>
    <w:basedOn w:val="a"/>
    <w:next w:val="a"/>
    <w:link w:val="40"/>
    <w:qFormat/>
    <w:rsid w:val="003E7111"/>
    <w:pPr>
      <w:keepNext/>
      <w:keepLines/>
      <w:numPr>
        <w:ilvl w:val="3"/>
        <w:numId w:val="1"/>
      </w:numPr>
      <w:tabs>
        <w:tab w:val="left" w:pos="432"/>
        <w:tab w:val="left" w:pos="1290"/>
      </w:tabs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next w:val="a"/>
    <w:qFormat/>
    <w:rsid w:val="003E7111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3E7111"/>
    <w:pPr>
      <w:ind w:leftChars="1200" w:left="2520"/>
    </w:pPr>
    <w:rPr>
      <w:rFonts w:ascii="Calibri" w:hAnsi="Calibri"/>
      <w:szCs w:val="22"/>
    </w:rPr>
  </w:style>
  <w:style w:type="paragraph" w:styleId="a3">
    <w:name w:val="Normal Indent"/>
    <w:basedOn w:val="a"/>
    <w:qFormat/>
    <w:rsid w:val="003E7111"/>
    <w:pPr>
      <w:spacing w:beforeLines="60" w:afterLines="60"/>
      <w:ind w:firstLineChars="256" w:firstLine="256"/>
      <w:jc w:val="left"/>
    </w:pPr>
    <w:rPr>
      <w:rFonts w:ascii="宋体"/>
      <w:snapToGrid w:val="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3E7111"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semiHidden/>
    <w:qFormat/>
    <w:rsid w:val="003E7111"/>
    <w:pPr>
      <w:shd w:val="clear" w:color="auto" w:fill="000080"/>
    </w:pPr>
  </w:style>
  <w:style w:type="paragraph" w:styleId="a6">
    <w:name w:val="annotation text"/>
    <w:basedOn w:val="a"/>
    <w:semiHidden/>
    <w:qFormat/>
    <w:rsid w:val="003E7111"/>
    <w:pPr>
      <w:jc w:val="left"/>
    </w:pPr>
  </w:style>
  <w:style w:type="paragraph" w:styleId="TOC5">
    <w:name w:val="toc 5"/>
    <w:basedOn w:val="a"/>
    <w:next w:val="a"/>
    <w:uiPriority w:val="39"/>
    <w:unhideWhenUsed/>
    <w:qFormat/>
    <w:rsid w:val="003E7111"/>
    <w:pPr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"/>
    <w:next w:val="a"/>
    <w:uiPriority w:val="39"/>
    <w:qFormat/>
    <w:rsid w:val="003E7111"/>
    <w:pPr>
      <w:ind w:left="840"/>
    </w:pPr>
  </w:style>
  <w:style w:type="paragraph" w:styleId="TOC8">
    <w:name w:val="toc 8"/>
    <w:basedOn w:val="a"/>
    <w:next w:val="a"/>
    <w:uiPriority w:val="39"/>
    <w:unhideWhenUsed/>
    <w:qFormat/>
    <w:rsid w:val="003E7111"/>
    <w:pPr>
      <w:ind w:leftChars="1400" w:left="2940"/>
    </w:pPr>
    <w:rPr>
      <w:rFonts w:ascii="Calibri" w:hAnsi="Calibri"/>
      <w:szCs w:val="22"/>
    </w:rPr>
  </w:style>
  <w:style w:type="paragraph" w:styleId="a7">
    <w:name w:val="Date"/>
    <w:basedOn w:val="a"/>
    <w:next w:val="a"/>
    <w:qFormat/>
    <w:rsid w:val="003E7111"/>
    <w:pPr>
      <w:ind w:leftChars="2500" w:left="100"/>
    </w:pPr>
  </w:style>
  <w:style w:type="paragraph" w:styleId="21">
    <w:name w:val="Body Text Indent 2"/>
    <w:basedOn w:val="a"/>
    <w:qFormat/>
    <w:rsid w:val="003E7111"/>
    <w:pPr>
      <w:spacing w:after="120" w:line="480" w:lineRule="auto"/>
      <w:ind w:leftChars="200" w:left="420"/>
    </w:pPr>
  </w:style>
  <w:style w:type="paragraph" w:styleId="a8">
    <w:name w:val="Balloon Text"/>
    <w:basedOn w:val="a"/>
    <w:semiHidden/>
    <w:qFormat/>
    <w:rsid w:val="003E7111"/>
    <w:rPr>
      <w:sz w:val="18"/>
      <w:szCs w:val="18"/>
    </w:rPr>
  </w:style>
  <w:style w:type="paragraph" w:styleId="a9">
    <w:name w:val="footer"/>
    <w:basedOn w:val="a"/>
    <w:qFormat/>
    <w:rsid w:val="003E7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3E7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3E7111"/>
    <w:pPr>
      <w:tabs>
        <w:tab w:val="left" w:pos="420"/>
        <w:tab w:val="right" w:leader="dot" w:pos="8296"/>
      </w:tabs>
      <w:spacing w:line="360" w:lineRule="auto"/>
    </w:pPr>
  </w:style>
  <w:style w:type="paragraph" w:styleId="TOC4">
    <w:name w:val="toc 4"/>
    <w:basedOn w:val="a"/>
    <w:next w:val="a"/>
    <w:uiPriority w:val="39"/>
    <w:qFormat/>
    <w:rsid w:val="003E7111"/>
    <w:pPr>
      <w:ind w:left="1260"/>
    </w:pPr>
  </w:style>
  <w:style w:type="paragraph" w:styleId="ab">
    <w:name w:val="footnote text"/>
    <w:basedOn w:val="a"/>
    <w:link w:val="ac"/>
    <w:qFormat/>
    <w:rsid w:val="003E7111"/>
    <w:pPr>
      <w:snapToGrid w:val="0"/>
      <w:jc w:val="left"/>
    </w:pPr>
    <w:rPr>
      <w:sz w:val="18"/>
      <w:szCs w:val="20"/>
    </w:rPr>
  </w:style>
  <w:style w:type="paragraph" w:styleId="TOC6">
    <w:name w:val="toc 6"/>
    <w:basedOn w:val="a"/>
    <w:next w:val="a"/>
    <w:uiPriority w:val="39"/>
    <w:unhideWhenUsed/>
    <w:qFormat/>
    <w:rsid w:val="003E7111"/>
    <w:pPr>
      <w:ind w:leftChars="1000" w:left="2100"/>
    </w:pPr>
    <w:rPr>
      <w:rFonts w:ascii="Calibri" w:hAnsi="Calibri"/>
      <w:szCs w:val="22"/>
    </w:rPr>
  </w:style>
  <w:style w:type="paragraph" w:styleId="TOC2">
    <w:name w:val="toc 2"/>
    <w:basedOn w:val="a"/>
    <w:next w:val="a"/>
    <w:uiPriority w:val="39"/>
    <w:qFormat/>
    <w:rsid w:val="003E7111"/>
    <w:pPr>
      <w:ind w:left="420"/>
    </w:pPr>
  </w:style>
  <w:style w:type="paragraph" w:styleId="TOC9">
    <w:name w:val="toc 9"/>
    <w:basedOn w:val="a"/>
    <w:next w:val="a"/>
    <w:uiPriority w:val="39"/>
    <w:unhideWhenUsed/>
    <w:qFormat/>
    <w:rsid w:val="003E7111"/>
    <w:pPr>
      <w:ind w:leftChars="1600" w:left="3360"/>
    </w:pPr>
    <w:rPr>
      <w:rFonts w:ascii="Calibri" w:hAnsi="Calibri"/>
      <w:szCs w:val="22"/>
    </w:rPr>
  </w:style>
  <w:style w:type="paragraph" w:styleId="ad">
    <w:name w:val="Normal (Web)"/>
    <w:basedOn w:val="a"/>
    <w:uiPriority w:val="99"/>
    <w:unhideWhenUsed/>
    <w:qFormat/>
    <w:rsid w:val="003E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next w:val="a"/>
    <w:qFormat/>
    <w:rsid w:val="003E7111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af">
    <w:name w:val="annotation subject"/>
    <w:basedOn w:val="a6"/>
    <w:next w:val="a6"/>
    <w:semiHidden/>
    <w:qFormat/>
    <w:rsid w:val="003E7111"/>
    <w:rPr>
      <w:b/>
      <w:bCs/>
    </w:rPr>
  </w:style>
  <w:style w:type="table" w:styleId="af0">
    <w:name w:val="Table Grid"/>
    <w:basedOn w:val="a1"/>
    <w:qFormat/>
    <w:rsid w:val="003E711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uiPriority w:val="22"/>
    <w:qFormat/>
    <w:rsid w:val="003E7111"/>
    <w:rPr>
      <w:b/>
      <w:bCs/>
    </w:rPr>
  </w:style>
  <w:style w:type="character" w:styleId="af2">
    <w:name w:val="page number"/>
    <w:basedOn w:val="a0"/>
    <w:qFormat/>
    <w:rsid w:val="003E7111"/>
  </w:style>
  <w:style w:type="character" w:styleId="af3">
    <w:name w:val="FollowedHyperlink"/>
    <w:qFormat/>
    <w:rsid w:val="003E7111"/>
    <w:rPr>
      <w:color w:val="800080"/>
      <w:u w:val="single"/>
    </w:rPr>
  </w:style>
  <w:style w:type="character" w:styleId="af4">
    <w:name w:val="Hyperlink"/>
    <w:uiPriority w:val="99"/>
    <w:qFormat/>
    <w:rsid w:val="003E7111"/>
    <w:rPr>
      <w:color w:val="0000FF"/>
      <w:u w:val="single"/>
    </w:rPr>
  </w:style>
  <w:style w:type="character" w:styleId="af5">
    <w:name w:val="annotation reference"/>
    <w:semiHidden/>
    <w:qFormat/>
    <w:rsid w:val="003E7111"/>
    <w:rPr>
      <w:sz w:val="21"/>
      <w:szCs w:val="21"/>
    </w:rPr>
  </w:style>
  <w:style w:type="character" w:styleId="af6">
    <w:name w:val="footnote reference"/>
    <w:qFormat/>
    <w:rsid w:val="003E7111"/>
    <w:rPr>
      <w:vertAlign w:val="superscript"/>
    </w:rPr>
  </w:style>
  <w:style w:type="paragraph" w:customStyle="1" w:styleId="CharCharCharChar">
    <w:name w:val="Char Char Char Char"/>
    <w:basedOn w:val="a"/>
    <w:next w:val="a"/>
    <w:qFormat/>
    <w:rsid w:val="003E7111"/>
    <w:pPr>
      <w:widowControl/>
      <w:spacing w:before="120" w:after="120"/>
      <w:jc w:val="left"/>
    </w:pPr>
    <w:rPr>
      <w:szCs w:val="20"/>
    </w:rPr>
  </w:style>
  <w:style w:type="paragraph" w:customStyle="1" w:styleId="af7">
    <w:name w:val="文档中文标题"/>
    <w:basedOn w:val="a"/>
    <w:qFormat/>
    <w:rsid w:val="003E7111"/>
    <w:pPr>
      <w:keepLines/>
      <w:widowControl/>
      <w:overflowPunct w:val="0"/>
      <w:autoSpaceDE w:val="0"/>
      <w:autoSpaceDN w:val="0"/>
      <w:adjustRightInd w:val="0"/>
      <w:spacing w:after="120"/>
      <w:ind w:left="2552" w:right="720"/>
      <w:jc w:val="left"/>
      <w:textAlignment w:val="baseline"/>
    </w:pPr>
    <w:rPr>
      <w:rFonts w:ascii="宋体"/>
      <w:b/>
      <w:bCs/>
      <w:smallCaps/>
      <w:kern w:val="0"/>
      <w:sz w:val="44"/>
      <w:szCs w:val="18"/>
      <w:lang w:val="zh-CN"/>
    </w:rPr>
  </w:style>
  <w:style w:type="paragraph" w:customStyle="1" w:styleId="10">
    <w:name w:val="列出段落1"/>
    <w:basedOn w:val="a"/>
    <w:qFormat/>
    <w:rsid w:val="003E7111"/>
    <w:pPr>
      <w:ind w:firstLineChars="200" w:firstLine="420"/>
    </w:pPr>
  </w:style>
  <w:style w:type="paragraph" w:customStyle="1" w:styleId="22">
    <w:name w:val="列出段落2"/>
    <w:basedOn w:val="a"/>
    <w:uiPriority w:val="99"/>
    <w:qFormat/>
    <w:rsid w:val="003E7111"/>
    <w:pPr>
      <w:ind w:firstLineChars="200" w:firstLine="420"/>
    </w:pPr>
  </w:style>
  <w:style w:type="paragraph" w:customStyle="1" w:styleId="11">
    <w:name w:val="正文1"/>
    <w:link w:val="Char"/>
    <w:qFormat/>
    <w:rsid w:val="003E7111"/>
    <w:pPr>
      <w:ind w:firstLine="420"/>
    </w:pPr>
    <w:rPr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rsid w:val="003E7111"/>
    <w:pPr>
      <w:ind w:firstLineChars="200" w:firstLine="420"/>
    </w:pPr>
    <w:rPr>
      <w:rFonts w:ascii="Calibri" w:hAnsi="Calibri" w:cs="黑体"/>
    </w:rPr>
  </w:style>
  <w:style w:type="paragraph" w:customStyle="1" w:styleId="6">
    <w:name w:val="标题6"/>
    <w:basedOn w:val="a"/>
    <w:qFormat/>
    <w:rsid w:val="003E7111"/>
    <w:rPr>
      <w:sz w:val="24"/>
      <w:szCs w:val="20"/>
    </w:rPr>
  </w:style>
  <w:style w:type="paragraph" w:customStyle="1" w:styleId="52">
    <w:name w:val="标题5 个数+2"/>
    <w:basedOn w:val="a"/>
    <w:qFormat/>
    <w:rsid w:val="003E7111"/>
    <w:rPr>
      <w:sz w:val="28"/>
      <w:szCs w:val="20"/>
    </w:rPr>
  </w:style>
  <w:style w:type="character" w:customStyle="1" w:styleId="40">
    <w:name w:val="标题 4 字符"/>
    <w:link w:val="4"/>
    <w:qFormat/>
    <w:rsid w:val="003E7111"/>
    <w:rPr>
      <w:rFonts w:ascii="Arial" w:hAnsi="Arial"/>
      <w:bCs/>
      <w:kern w:val="2"/>
      <w:sz w:val="21"/>
      <w:szCs w:val="28"/>
    </w:rPr>
  </w:style>
  <w:style w:type="character" w:customStyle="1" w:styleId="ac">
    <w:name w:val="脚注文本 字符"/>
    <w:link w:val="ab"/>
    <w:qFormat/>
    <w:rsid w:val="003E7111"/>
    <w:rPr>
      <w:kern w:val="2"/>
      <w:sz w:val="18"/>
    </w:rPr>
  </w:style>
  <w:style w:type="character" w:customStyle="1" w:styleId="Char">
    <w:name w:val="正文 Char"/>
    <w:link w:val="11"/>
    <w:qFormat/>
    <w:rsid w:val="003E7111"/>
    <w:rPr>
      <w:kern w:val="2"/>
      <w:sz w:val="21"/>
      <w:szCs w:val="22"/>
      <w:lang w:bidi="ar-SA"/>
    </w:rPr>
  </w:style>
  <w:style w:type="character" w:customStyle="1" w:styleId="30">
    <w:name w:val="标题 3 字符"/>
    <w:link w:val="3"/>
    <w:qFormat/>
    <w:rsid w:val="003E7111"/>
    <w:rPr>
      <w:rFonts w:ascii="Arial" w:hAnsi="Arial"/>
      <w:kern w:val="2"/>
      <w:sz w:val="21"/>
      <w:szCs w:val="32"/>
    </w:rPr>
  </w:style>
  <w:style w:type="character" w:customStyle="1" w:styleId="20">
    <w:name w:val="标题 2 字符"/>
    <w:link w:val="2"/>
    <w:qFormat/>
    <w:rsid w:val="003E7111"/>
    <w:rPr>
      <w:rFonts w:ascii="Arial" w:eastAsia="黑体" w:hAnsi="Arial"/>
      <w:kern w:val="2"/>
      <w:sz w:val="24"/>
      <w:szCs w:val="32"/>
    </w:rPr>
  </w:style>
  <w:style w:type="paragraph" w:styleId="af8">
    <w:name w:val="List Paragraph"/>
    <w:basedOn w:val="a"/>
    <w:uiPriority w:val="99"/>
    <w:unhideWhenUsed/>
    <w:qFormat/>
    <w:rsid w:val="003E7111"/>
    <w:pPr>
      <w:ind w:firstLineChars="200" w:firstLine="420"/>
    </w:pPr>
  </w:style>
  <w:style w:type="paragraph" w:customStyle="1" w:styleId="41">
    <w:name w:val="标题4"/>
    <w:basedOn w:val="a"/>
    <w:link w:val="4Char"/>
    <w:qFormat/>
    <w:rsid w:val="003E7111"/>
    <w:rPr>
      <w:sz w:val="30"/>
      <w:szCs w:val="20"/>
    </w:rPr>
  </w:style>
  <w:style w:type="character" w:customStyle="1" w:styleId="4Char">
    <w:name w:val="标题4 Char"/>
    <w:link w:val="41"/>
    <w:rsid w:val="003E7111"/>
    <w:rPr>
      <w:kern w:val="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AF538-D549-497C-87FE-27BE5412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12</Pages>
  <Words>1259</Words>
  <Characters>7178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招商银行业务需求说明书</dc:title>
  <dc:creator>01156244</dc:creator>
  <cp:lastModifiedBy>xiaoxiang zhou</cp:lastModifiedBy>
  <cp:revision>22</cp:revision>
  <cp:lastPrinted>2010-01-04T07:20:00Z</cp:lastPrinted>
  <dcterms:created xsi:type="dcterms:W3CDTF">2019-11-20T09:07:00Z</dcterms:created>
  <dcterms:modified xsi:type="dcterms:W3CDTF">2019-12-12T08:57:00Z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