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sz w:val="36"/>
        </w:rPr>
      </w:pPr>
      <w:bookmarkStart w:id="0" w:name="_Hlk484765699"/>
      <w:bookmarkStart w:id="1" w:name="_Hlk484767583"/>
      <w:bookmarkStart w:id="2" w:name="_Hlk484765806"/>
      <w:r>
        <w:rPr>
          <w:rFonts w:hint="eastAsia"/>
          <w:sz w:val="36"/>
        </w:rPr>
        <w:t>运作管理</w:t>
      </w:r>
    </w:p>
    <w:p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转受让台账</w:t>
      </w:r>
    </w:p>
    <w:p>
      <w:pPr>
        <w:pStyle w:val="4"/>
      </w:pPr>
      <w:commentRangeStart w:id="0"/>
      <w:r>
        <w:rPr>
          <w:rFonts w:hint="eastAsia"/>
        </w:rPr>
        <w:t>U</w:t>
      </w:r>
      <w:r>
        <w:t>I</w:t>
      </w:r>
      <w:r>
        <w:rPr>
          <w:rFonts w:hint="eastAsia"/>
        </w:rPr>
        <w:t>图</w:t>
      </w:r>
      <w:commentRangeEnd w:id="0"/>
      <w:r>
        <w:rPr>
          <w:rStyle w:val="32"/>
          <w:b w:val="0"/>
          <w:bCs w:val="0"/>
        </w:rPr>
        <w:commentReference w:id="0"/>
      </w:r>
    </w:p>
    <w:p>
      <w:pPr>
        <w:pStyle w:val="51"/>
        <w:numPr>
          <w:ilvl w:val="0"/>
          <w:numId w:val="2"/>
        </w:numPr>
        <w:ind w:firstLineChars="0"/>
      </w:pPr>
      <w:r>
        <w:rPr>
          <w:rFonts w:hint="eastAsia"/>
        </w:rPr>
        <w:t>转受让台账列表U</w:t>
      </w:r>
      <w:r>
        <w:t>I</w:t>
      </w:r>
      <w:r>
        <w:rPr>
          <w:rFonts w:hint="eastAsia"/>
        </w:rPr>
        <w:t>图：</w:t>
      </w:r>
    </w:p>
    <w:p>
      <w:pPr>
        <w:ind w:firstLineChars="0"/>
      </w:pPr>
      <w:r>
        <w:drawing>
          <wp:inline distT="0" distB="0" distL="0" distR="0">
            <wp:extent cx="5274310" cy="2143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1"/>
        <w:numPr>
          <w:ilvl w:val="0"/>
          <w:numId w:val="2"/>
        </w:numPr>
        <w:ind w:firstLineChars="0"/>
      </w:pPr>
      <w:r>
        <w:rPr>
          <w:rFonts w:hint="eastAsia"/>
        </w:rPr>
        <w:t>点击基金名称进入详情页面，详情页U</w:t>
      </w:r>
      <w:r>
        <w:t>I</w:t>
      </w:r>
      <w:r>
        <w:rPr>
          <w:rFonts w:hint="eastAsia"/>
        </w:rPr>
        <w:t>图：</w:t>
      </w:r>
    </w:p>
    <w:p>
      <w:pPr>
        <w:ind w:firstLine="210" w:firstLineChars="100"/>
      </w:pPr>
      <w:r>
        <w:drawing>
          <wp:inline distT="0" distB="0" distL="0" distR="0">
            <wp:extent cx="5274310" cy="3724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</w:p>
    <w:p>
      <w:pPr>
        <w:pStyle w:val="51"/>
        <w:numPr>
          <w:ilvl w:val="0"/>
          <w:numId w:val="2"/>
        </w:numPr>
        <w:ind w:firstLineChars="0"/>
      </w:pPr>
      <w:r>
        <w:rPr>
          <w:rFonts w:hint="eastAsia"/>
        </w:rPr>
        <w:t>点击相关附件，进入附件详情页，可查看下载相关附件：</w:t>
      </w:r>
    </w:p>
    <w:p>
      <w:pPr>
        <w:ind w:firstLineChars="0"/>
      </w:pPr>
      <w:r>
        <w:drawing>
          <wp:inline distT="0" distB="0" distL="0" distR="0">
            <wp:extent cx="5274310" cy="2755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业务逻辑</w:t>
      </w:r>
    </w:p>
    <w:p>
      <w:pPr>
        <w:pStyle w:val="51"/>
        <w:numPr>
          <w:ilvl w:val="0"/>
          <w:numId w:val="3"/>
        </w:numPr>
        <w:ind w:firstLineChars="0"/>
      </w:pPr>
      <w:r>
        <w:t>大部分转受让信息是</w:t>
      </w:r>
      <w:r>
        <w:rPr>
          <w:rFonts w:hint="eastAsia"/>
        </w:rPr>
        <w:t>运营人员在B</w:t>
      </w:r>
      <w:r>
        <w:t>DS</w:t>
      </w:r>
      <w:r>
        <w:rPr>
          <w:rFonts w:hint="eastAsia"/>
        </w:rPr>
        <w:t>系统中发起产品转受让流程，BDS提供接口，GoWin将转受让信息进行展示。</w:t>
      </w:r>
    </w:p>
    <w:p>
      <w:pPr>
        <w:pStyle w:val="51"/>
        <w:numPr>
          <w:ilvl w:val="0"/>
          <w:numId w:val="3"/>
        </w:numPr>
        <w:ind w:firstLineChars="0"/>
      </w:pPr>
      <w:r>
        <w:t>导入：</w:t>
      </w:r>
      <w:r>
        <w:rPr>
          <w:rFonts w:hint="eastAsia"/>
        </w:rPr>
        <w:t>批量的数据导入，由于不是常用业务场景，不开发导入功能，后续可以指定excel导入格式，由系统管理员写成脚本，走后台数据更新的OA流程来更新底层的台账数据。</w:t>
      </w:r>
    </w:p>
    <w:p>
      <w:pPr>
        <w:pStyle w:val="51"/>
        <w:numPr>
          <w:ilvl w:val="0"/>
          <w:numId w:val="3"/>
        </w:numPr>
        <w:ind w:firstLineChars="0"/>
      </w:pPr>
      <w:r>
        <w:rPr>
          <w:rFonts w:hint="eastAsia"/>
        </w:rPr>
        <w:t>修改（指定有权限的超级管理员才可以修改）：Gowin设定固定角色，通过权限控制数据修改。</w:t>
      </w:r>
    </w:p>
    <w:p>
      <w:pPr>
        <w:pStyle w:val="51"/>
        <w:numPr>
          <w:ilvl w:val="0"/>
          <w:numId w:val="3"/>
        </w:numPr>
        <w:ind w:firstLineChars="0"/>
      </w:pPr>
      <w:r>
        <w:t>删除</w:t>
      </w:r>
      <w:r>
        <w:rPr>
          <w:rFonts w:hint="eastAsia"/>
        </w:rPr>
        <w:t>（指定有权限的超级管理员才可以删除）</w:t>
      </w:r>
      <w:r>
        <w:t>：运营人员也需要对转受让台账进行删除操作，删除需要进行二次提示，以免进行误删。</w:t>
      </w:r>
    </w:p>
    <w:p>
      <w:pPr>
        <w:pStyle w:val="51"/>
        <w:numPr>
          <w:ilvl w:val="0"/>
          <w:numId w:val="3"/>
        </w:numPr>
        <w:ind w:firstLineChars="0"/>
      </w:pPr>
      <w:r>
        <w:rPr>
          <w:rFonts w:hint="eastAsia"/>
        </w:rPr>
        <w:t>运营人员可以通过基金名称、基金编号、业务类型、转让方、受让方、手续费日期、工商变更日期、份额变更日期、B</w:t>
      </w:r>
      <w:r>
        <w:t>DS</w:t>
      </w:r>
      <w:r>
        <w:rPr>
          <w:rFonts w:hint="eastAsia"/>
        </w:rPr>
        <w:t>状态、来源来进行查询，查询结果以分页形式进行展示，并可对查询结果进行导出，导出格式 为EXCEL。</w:t>
      </w:r>
    </w:p>
    <w:p>
      <w:pPr>
        <w:pStyle w:val="51"/>
        <w:ind w:left="840" w:firstLine="0" w:firstLineChars="0"/>
      </w:pPr>
      <w:r>
        <w:rPr>
          <w:rFonts w:hint="eastAsia"/>
        </w:rPr>
        <w:t>查询规则：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5812"/>
      </w:tblGrid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基金名称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基金编号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业务类型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下拉框查询，下拉框值：全部/契约型/有限合伙/非交易过户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转让方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受让方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手续费日期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工商变更日期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份额变更日期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B</w:t>
            </w:r>
            <w:r>
              <w:t>DS</w:t>
            </w:r>
            <w:r>
              <w:rPr>
                <w:rFonts w:hint="eastAsia"/>
              </w:rPr>
              <w:t>状态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下拉框查询，全部/审批中/完成/退回/终止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来源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下拉框查询，全部/</w:t>
            </w:r>
            <w:r>
              <w:t>BDS</w:t>
            </w:r>
            <w:r>
              <w:rPr>
                <w:rFonts w:hint="eastAsia"/>
              </w:rPr>
              <w:t>/</w:t>
            </w:r>
            <w:r>
              <w:t>GOWin</w:t>
            </w:r>
          </w:p>
        </w:tc>
      </w:tr>
    </w:tbl>
    <w:p>
      <w:pPr>
        <w:pStyle w:val="14"/>
        <w:numPr>
          <w:ilvl w:val="0"/>
          <w:numId w:val="4"/>
        </w:numPr>
        <w:spacing w:before="0" w:line="360" w:lineRule="auto"/>
      </w:pPr>
      <w:r>
        <w:rPr>
          <w:rFonts w:hint="eastAsia"/>
        </w:rPr>
        <w:t>针对于转受让流程中的罚息、后续加入费，默认情况是有转让方主动承担；但某些情况下，罚息、后续加入费是由受让方承担，受让方有2种处理方式，1：受让方主动缴纳费用 2：受让方没有主动缴纳费用，只能后续基金分配时自动扣减。</w:t>
      </w:r>
    </w:p>
    <w:p>
      <w:pPr>
        <w:ind w:firstLine="0" w:firstLineChars="0"/>
      </w:pPr>
      <w:r>
        <w:drawing>
          <wp:inline distT="0" distB="0" distL="0" distR="0">
            <wp:extent cx="5274310" cy="12477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1"/>
        <w:numPr>
          <w:ilvl w:val="0"/>
          <w:numId w:val="4"/>
        </w:numPr>
        <w:ind w:firstLineChars="0"/>
      </w:pPr>
      <w:r>
        <w:rPr>
          <w:rFonts w:hint="eastAsia"/>
        </w:rPr>
        <w:t>对于转受让流程中，罚息、加入费承担方为</w:t>
      </w:r>
      <w:r>
        <w:rPr>
          <w:rFonts w:hint="eastAsia"/>
          <w:highlight w:val="yellow"/>
        </w:rPr>
        <w:t>受让方时</w:t>
      </w:r>
      <w:r>
        <w:rPr>
          <w:rFonts w:hint="eastAsia"/>
        </w:rPr>
        <w:t>，GoWin生成待办给运营综合岗， 待办内容为：请及时更新xxxx（产品名称）产品，流程编号为xxx的转受让台账中“是否已缴纳罚息加入费”的关键信息。当系统检测到是否已缴纳字段已设置后，待办自动消失。</w:t>
      </w:r>
    </w:p>
    <w:p>
      <w:pPr>
        <w:pStyle w:val="51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针对于无外包产品，后续在分配等运营流程中，需要知晓受让方的银行卡号，因此运营人员手工维护</w:t>
      </w:r>
      <w:r>
        <w:rPr>
          <w:rFonts w:hint="eastAsia" w:cs="宋体" w:asciiTheme="minorEastAsia" w:hAnsiTheme="minorEastAsia"/>
          <w:kern w:val="0"/>
          <w:szCs w:val="21"/>
        </w:rPr>
        <w:t>受让方银行账号、受让方银行开户行字段。受让方银行账号、受让方银行开户行需要人工输入，触发输入节点是：对于无外包产品，转受让流程已完成后</w:t>
      </w:r>
      <w:r>
        <w:rPr>
          <w:rFonts w:hint="eastAsia" w:cs="宋体" w:asciiTheme="minorEastAsia" w:hAnsiTheme="minorEastAsia"/>
          <w:kern w:val="0"/>
          <w:szCs w:val="21"/>
          <w:highlight w:val="yellow"/>
        </w:rPr>
        <w:t>向运营综合岗</w:t>
      </w:r>
      <w:r>
        <w:rPr>
          <w:rFonts w:hint="eastAsia" w:cs="宋体" w:asciiTheme="minorEastAsia" w:hAnsiTheme="minorEastAsia"/>
          <w:kern w:val="0"/>
          <w:szCs w:val="21"/>
        </w:rPr>
        <w:t>发送待办</w:t>
      </w:r>
      <w:r>
        <w:rPr>
          <w:rFonts w:hint="eastAsia" w:asciiTheme="minorEastAsia" w:hAnsiTheme="minorEastAsia"/>
          <w:szCs w:val="21"/>
        </w:rPr>
        <w:t>：请在账户维护界面，补充转受让流程xxx（流程编号）中受让方银行卡相关信息。</w:t>
      </w:r>
    </w:p>
    <w:p>
      <w:pPr>
        <w:pStyle w:val="14"/>
        <w:ind w:firstLine="0"/>
      </w:pPr>
      <w:r>
        <w:t xml:space="preserve">                         </w:t>
      </w:r>
      <w:r>
        <w:drawing>
          <wp:inline distT="0" distB="0" distL="0" distR="0">
            <wp:extent cx="2465705" cy="37471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0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spacing w:before="0" w:line="360" w:lineRule="auto"/>
      </w:pPr>
      <w:r>
        <w:t>BDS</w:t>
      </w:r>
      <w:r>
        <w:rPr>
          <w:rFonts w:hint="eastAsia"/>
        </w:rPr>
        <w:t>产品转受让流程中的附件，需要从B</w:t>
      </w:r>
      <w:r>
        <w:t>DS</w:t>
      </w:r>
      <w:r>
        <w:rPr>
          <w:rFonts w:hint="eastAsia"/>
        </w:rPr>
        <w:t>产品转受让流程的节点中找到附件名称关键字获取，用户可在转受让功能页面下载查看，附件包含：</w:t>
      </w:r>
    </w:p>
    <w:tbl>
      <w:tblPr>
        <w:tblStyle w:val="34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3827"/>
      </w:tblGrid>
      <w:tr>
        <w:tc>
          <w:tcPr>
            <w:tcW w:w="3261" w:type="dxa"/>
          </w:tcPr>
          <w:p>
            <w:pPr>
              <w:pStyle w:val="14"/>
              <w:ind w:firstLine="0"/>
            </w:pPr>
            <w:r>
              <w:rPr>
                <w:rFonts w:hint="eastAsia"/>
                <w:highlight w:val="yellow"/>
              </w:rPr>
              <w:t>附件名称关键字</w:t>
            </w:r>
          </w:p>
        </w:tc>
        <w:tc>
          <w:tcPr>
            <w:tcW w:w="3827" w:type="dxa"/>
          </w:tcPr>
          <w:p>
            <w:pPr>
              <w:pStyle w:val="14"/>
              <w:ind w:firstLine="0"/>
            </w:pPr>
            <w:r>
              <w:rPr>
                <w:rFonts w:hint="eastAsia"/>
              </w:rPr>
              <w:t>流程节点名称</w:t>
            </w:r>
          </w:p>
        </w:tc>
      </w:tr>
      <w:tr>
        <w:tc>
          <w:tcPr>
            <w:tcW w:w="3261" w:type="dxa"/>
          </w:tcPr>
          <w:p>
            <w:pPr>
              <w:pStyle w:val="14"/>
              <w:ind w:firstLine="0"/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份额转让协议</w:t>
            </w:r>
          </w:p>
        </w:tc>
        <w:tc>
          <w:tcPr>
            <w:tcW w:w="3827" w:type="dxa"/>
          </w:tcPr>
          <w:p>
            <w:pPr>
              <w:pStyle w:val="14"/>
              <w:ind w:firstLine="0"/>
            </w:pPr>
            <w:r>
              <w:rPr>
                <w:rFonts w:hint="eastAsia"/>
              </w:rPr>
              <w:t>运营综合岗填写确定转让总价</w:t>
            </w:r>
          </w:p>
        </w:tc>
      </w:tr>
      <w:tr>
        <w:tc>
          <w:tcPr>
            <w:tcW w:w="3261" w:type="dxa"/>
          </w:tcPr>
          <w:p>
            <w:pPr>
              <w:pStyle w:val="14"/>
              <w:ind w:firstLine="0"/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份额转让指令</w:t>
            </w:r>
          </w:p>
        </w:tc>
        <w:tc>
          <w:tcPr>
            <w:tcW w:w="3827" w:type="dxa"/>
          </w:tcPr>
          <w:p>
            <w:pPr>
              <w:pStyle w:val="14"/>
              <w:ind w:firstLine="0"/>
            </w:pPr>
            <w:r>
              <w:rPr>
                <w:rFonts w:hint="eastAsia"/>
              </w:rPr>
              <w:t>常规存续服务通知流程</w:t>
            </w:r>
            <w:r>
              <w:t xml:space="preserve"> </w:t>
            </w:r>
          </w:p>
        </w:tc>
      </w:tr>
      <w:tr>
        <w:tc>
          <w:tcPr>
            <w:tcW w:w="3261" w:type="dxa"/>
          </w:tcPr>
          <w:p>
            <w:pPr>
              <w:pStyle w:val="14"/>
              <w:ind w:firstLine="0"/>
            </w:pPr>
            <w:r>
              <w:rPr>
                <w:rFonts w:hint="eastAsia"/>
              </w:rPr>
              <w:t>打款凭证</w:t>
            </w:r>
          </w:p>
        </w:tc>
        <w:tc>
          <w:tcPr>
            <w:tcW w:w="3827" w:type="dxa"/>
          </w:tcPr>
          <w:p>
            <w:pPr>
              <w:pStyle w:val="14"/>
              <w:ind w:firstLine="0"/>
            </w:pPr>
            <w:r>
              <w:rPr>
                <w:rFonts w:hint="eastAsia"/>
              </w:rPr>
              <w:t>运营综合岗上传凭证</w:t>
            </w:r>
          </w:p>
        </w:tc>
      </w:tr>
    </w:tbl>
    <w:p>
      <w:pPr>
        <w:ind w:firstLine="0" w:firstLineChars="0"/>
      </w:pPr>
    </w:p>
    <w:p>
      <w:pPr>
        <w:pStyle w:val="4"/>
      </w:pPr>
      <w:r>
        <w:rPr>
          <w:rFonts w:hint="eastAsia"/>
        </w:rPr>
        <w:t>数据来源</w:t>
      </w:r>
    </w:p>
    <w:tbl>
      <w:tblPr>
        <w:tblStyle w:val="33"/>
        <w:tblW w:w="101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2660"/>
        <w:gridCol w:w="3020"/>
        <w:gridCol w:w="2200"/>
      </w:tblGrid>
      <w:tr>
        <w:trPr>
          <w:trHeight w:val="270" w:hRule="atLeast"/>
        </w:trPr>
        <w:tc>
          <w:tcPr>
            <w:tcW w:w="2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字段名称</w:t>
            </w:r>
          </w:p>
        </w:tc>
        <w:tc>
          <w:tcPr>
            <w:tcW w:w="26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数据来源</w:t>
            </w:r>
          </w:p>
        </w:tc>
        <w:tc>
          <w:tcPr>
            <w:tcW w:w="30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是否可修改</w:t>
            </w:r>
          </w:p>
        </w:tc>
        <w:tc>
          <w:tcPr>
            <w:tcW w:w="22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流程编号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基金名称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基金编号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管理人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基金台账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托管人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基金台账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业务类型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转让方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转让方证件号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认缴份额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实缴份额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受让方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受让方证件号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B7DEE8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转让份额(认缴）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转让份额(实缴）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罚息（元）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后续加入费（元）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罚息承担方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加入费承担方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是否已缴纳罚息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GoWin人工输入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是否已缴纳加入费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79646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GoWin人工输入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54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协议转让总价（元）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79646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历史数据中=实际转让总价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实缴印花税税金（元）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实缴个税税金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分配金额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手续费（元）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手续费日期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转让类型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印花税复核金额（元）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个税复核金额（元）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工商变更日期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00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份额变更日期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事由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人工输入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人工输入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81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commentRangeStart w:id="1"/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来源</w:t>
            </w:r>
            <w:commentRangeEnd w:id="1"/>
            <w:r>
              <w:rPr>
                <w:rStyle w:val="32"/>
              </w:rPr>
              <w:commentReference w:id="1"/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系统自动判断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0：BDS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1：ODC</w:t>
            </w:r>
          </w:p>
        </w:tc>
      </w:tr>
      <w:tr>
        <w:trPr>
          <w:trHeight w:val="1530" w:hRule="atLeast"/>
        </w:trPr>
        <w:tc>
          <w:tcPr>
            <w:tcW w:w="22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00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BDS状态</w:t>
            </w:r>
          </w:p>
        </w:tc>
        <w:tc>
          <w:tcPr>
            <w:tcW w:w="2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BDS-产品转受让流程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FF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t>审批中（来源于BDS）</w:t>
            </w: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t>完成（来源于BDS）</w:t>
            </w: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t>退回（来源于BDS）</w:t>
            </w:r>
          </w:p>
        </w:tc>
      </w:tr>
    </w:tbl>
    <w:p>
      <w:pPr>
        <w:ind w:firstLine="0" w:firstLineChars="0"/>
      </w:pPr>
    </w:p>
    <w:p>
      <w:pPr>
        <w:pStyle w:val="4"/>
        <w:rPr>
          <w:rFonts w:asciiTheme="minorEastAsia" w:hAnsiTheme="minorEastAsia"/>
          <w:szCs w:val="30"/>
        </w:rPr>
      </w:pPr>
      <w:r>
        <w:rPr>
          <w:rFonts w:hint="eastAsia" w:asciiTheme="minorEastAsia" w:hAnsiTheme="minorEastAsia"/>
          <w:szCs w:val="30"/>
        </w:rPr>
        <w:t>B</w:t>
      </w:r>
      <w:r>
        <w:rPr>
          <w:rFonts w:asciiTheme="minorEastAsia" w:hAnsiTheme="minorEastAsia"/>
          <w:szCs w:val="30"/>
        </w:rPr>
        <w:t>DS</w:t>
      </w:r>
      <w:r>
        <w:rPr>
          <w:rFonts w:hint="eastAsia" w:asciiTheme="minorEastAsia" w:hAnsiTheme="minorEastAsia"/>
          <w:szCs w:val="30"/>
        </w:rPr>
        <w:t>系统的改造点</w:t>
      </w:r>
    </w:p>
    <w:p>
      <w:pPr>
        <w:ind w:firstLine="0" w:firstLineChars="0"/>
      </w:pPr>
      <w:r>
        <w:rPr>
          <w:rFonts w:hint="eastAsia"/>
        </w:rPr>
        <w:t>转受让流程界面新增：</w:t>
      </w:r>
      <w:r>
        <w:rPr>
          <w:rFonts w:hint="eastAsia"/>
          <w:highlight w:val="yellow"/>
        </w:rPr>
        <w:t>转让份额(实缴）</w:t>
      </w:r>
      <w:r>
        <w:rPr>
          <w:rFonts w:hint="eastAsia"/>
        </w:rPr>
        <w:t>、</w:t>
      </w:r>
      <w:r>
        <w:rPr>
          <w:rFonts w:hint="eastAsia"/>
          <w:highlight w:val="yellow"/>
        </w:rPr>
        <w:t>罚息承担方</w:t>
      </w:r>
      <w:r>
        <w:rPr>
          <w:rFonts w:hint="eastAsia"/>
        </w:rPr>
        <w:t>、</w:t>
      </w:r>
      <w:r>
        <w:rPr>
          <w:rFonts w:hint="eastAsia"/>
          <w:highlight w:val="yellow"/>
        </w:rPr>
        <w:t>加入费承担方</w:t>
      </w:r>
      <w:r>
        <w:rPr>
          <w:rFonts w:hint="eastAsia"/>
        </w:rPr>
        <w:t>。罚息承担方、加入费承担方为下拉框，选项有：</w:t>
      </w:r>
      <w:r>
        <w:rPr>
          <w:rFonts w:hint="eastAsia"/>
          <w:highlight w:val="yellow"/>
        </w:rPr>
        <w:t>转让方、受让方，默认为转让方</w:t>
      </w:r>
      <w:r>
        <w:rPr>
          <w:rFonts w:hint="eastAsia"/>
        </w:rPr>
        <w:t>。将现状中的</w:t>
      </w:r>
      <w:r>
        <w:rPr>
          <w:rFonts w:hint="eastAsia"/>
          <w:highlight w:val="yellow"/>
        </w:rPr>
        <w:t>转让份额</w:t>
      </w:r>
      <w:r>
        <w:rPr>
          <w:rFonts w:hint="eastAsia"/>
        </w:rPr>
        <w:t>变更名字为</w:t>
      </w:r>
      <w:r>
        <w:rPr>
          <w:rFonts w:hint="eastAsia"/>
          <w:highlight w:val="yellow"/>
        </w:rPr>
        <w:t>转让份额（认缴）</w:t>
      </w:r>
      <w:r>
        <w:rPr>
          <w:rFonts w:hint="eastAsia"/>
        </w:rPr>
        <w:t>。</w:t>
      </w:r>
    </w:p>
    <w:p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冻结解冻台账</w:t>
      </w:r>
    </w:p>
    <w:p>
      <w:pPr>
        <w:pStyle w:val="4"/>
        <w:rPr>
          <w:rFonts w:ascii="宋体" w:hAnsi="宋体" w:eastAsia="宋体"/>
          <w:szCs w:val="30"/>
        </w:rPr>
      </w:pPr>
      <w:r>
        <w:rPr>
          <w:rFonts w:hint="eastAsia" w:ascii="宋体" w:hAnsi="宋体" w:eastAsia="宋体"/>
          <w:szCs w:val="30"/>
        </w:rPr>
        <w:t>U</w:t>
      </w:r>
      <w:r>
        <w:rPr>
          <w:rFonts w:ascii="宋体" w:hAnsi="宋体" w:eastAsia="宋体"/>
          <w:szCs w:val="30"/>
        </w:rPr>
        <w:t>I图</w:t>
      </w:r>
    </w:p>
    <w:p>
      <w:pPr>
        <w:pStyle w:val="51"/>
        <w:numPr>
          <w:ilvl w:val="0"/>
          <w:numId w:val="5"/>
        </w:numPr>
        <w:ind w:firstLineChars="0"/>
      </w:pPr>
      <w:r>
        <w:t>冻结解冻台账列表UI图：</w:t>
      </w:r>
    </w:p>
    <w:p>
      <w:pPr>
        <w:ind w:firstLine="420"/>
      </w:pPr>
      <w:r>
        <w:drawing>
          <wp:inline distT="0" distB="0" distL="0" distR="0">
            <wp:extent cx="5274310" cy="2143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1"/>
        <w:numPr>
          <w:ilvl w:val="0"/>
          <w:numId w:val="5"/>
        </w:numPr>
        <w:ind w:firstLineChars="0"/>
      </w:pPr>
      <w:r>
        <w:rPr>
          <w:rFonts w:hint="eastAsia"/>
        </w:rPr>
        <w:t>点击基金名称进入详情页面，详情页面U</w:t>
      </w:r>
      <w:r>
        <w:t>I图：</w:t>
      </w:r>
    </w:p>
    <w:p>
      <w:pPr>
        <w:ind w:firstLineChars="0"/>
      </w:pP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5274310" cy="30035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1"/>
        <w:numPr>
          <w:ilvl w:val="0"/>
          <w:numId w:val="5"/>
        </w:numPr>
        <w:ind w:firstLineChars="0"/>
      </w:pPr>
      <w:r>
        <w:rPr>
          <w:rFonts w:hint="eastAsia"/>
        </w:rPr>
        <w:t>点击相关附件，进入附件详情页，可查看下载相关附件：</w:t>
      </w:r>
    </w:p>
    <w:p>
      <w:pPr>
        <w:ind w:firstLineChars="0"/>
      </w:pPr>
      <w:r>
        <w:drawing>
          <wp:inline distT="0" distB="0" distL="0" distR="0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Theme="minorEastAsia" w:hAnsiTheme="minorEastAsia"/>
          <w:szCs w:val="30"/>
        </w:rPr>
      </w:pPr>
      <w:r>
        <w:rPr>
          <w:rFonts w:asciiTheme="minorEastAsia" w:hAnsiTheme="minorEastAsia"/>
          <w:szCs w:val="30"/>
        </w:rPr>
        <w:t>业务逻辑</w:t>
      </w:r>
    </w:p>
    <w:p>
      <w:pPr>
        <w:pStyle w:val="51"/>
        <w:numPr>
          <w:ilvl w:val="0"/>
          <w:numId w:val="3"/>
        </w:numPr>
        <w:ind w:firstLineChars="0"/>
      </w:pPr>
      <w:r>
        <w:rPr>
          <w:rFonts w:hint="eastAsia"/>
        </w:rPr>
        <w:t>基金冻结解冻类型分为融易通、司法冻结、其他，三种类型的冻结解冻运营人员都是在BDS-产品冻结解冻申请进行业务申请，GoWin将会对冻结解冻信息进行展示。</w:t>
      </w:r>
    </w:p>
    <w:p>
      <w:pPr>
        <w:pStyle w:val="51"/>
        <w:numPr>
          <w:ilvl w:val="0"/>
          <w:numId w:val="3"/>
        </w:numPr>
        <w:ind w:firstLineChars="0"/>
      </w:pPr>
      <w:r>
        <w:t>大部分冻结解冻信息是</w:t>
      </w:r>
      <w:r>
        <w:rPr>
          <w:rFonts w:hint="eastAsia"/>
        </w:rPr>
        <w:t>运营人员在B</w:t>
      </w:r>
      <w:r>
        <w:t>DS</w:t>
      </w:r>
      <w:r>
        <w:rPr>
          <w:rFonts w:hint="eastAsia"/>
        </w:rPr>
        <w:t>系统中发起产品冻结解冻申请，BDS提供接口，GoWin将冻结解冻信息进行展示。</w:t>
      </w:r>
    </w:p>
    <w:p>
      <w:pPr>
        <w:pStyle w:val="51"/>
        <w:numPr>
          <w:ilvl w:val="0"/>
          <w:numId w:val="3"/>
        </w:numPr>
        <w:ind w:firstLineChars="0"/>
      </w:pPr>
      <w:r>
        <w:t>导入：</w:t>
      </w:r>
      <w:r>
        <w:rPr>
          <w:rFonts w:hint="eastAsia"/>
        </w:rPr>
        <w:t>批量的数据导入，由于不是常用业务场景，不开发导入功能，后续可以指定excel导入格式，由系统管理员写成脚本，走后台数据更新的OA流程来更新底层的台账数据。</w:t>
      </w:r>
    </w:p>
    <w:p>
      <w:pPr>
        <w:pStyle w:val="51"/>
        <w:numPr>
          <w:ilvl w:val="0"/>
          <w:numId w:val="3"/>
        </w:numPr>
        <w:ind w:firstLineChars="0"/>
      </w:pPr>
      <w:r>
        <w:rPr>
          <w:rFonts w:hint="eastAsia"/>
        </w:rPr>
        <w:t>修改（指定有权限的超级管理员才可以修改）：Gowin设定固定角色，通过权限控制数据修改。</w:t>
      </w:r>
    </w:p>
    <w:p>
      <w:pPr>
        <w:pStyle w:val="51"/>
        <w:numPr>
          <w:ilvl w:val="0"/>
          <w:numId w:val="3"/>
        </w:numPr>
        <w:ind w:firstLineChars="0"/>
      </w:pPr>
      <w:r>
        <w:t>删除</w:t>
      </w:r>
      <w:r>
        <w:rPr>
          <w:rFonts w:hint="eastAsia"/>
        </w:rPr>
        <w:t>（指定有权限的超级管理员才可以删除）</w:t>
      </w:r>
      <w:r>
        <w:t>：运营人员也需要对</w:t>
      </w:r>
      <w:r>
        <w:rPr>
          <w:rFonts w:hint="eastAsia"/>
        </w:rPr>
        <w:t>冻结解冻</w:t>
      </w:r>
      <w:r>
        <w:t>台账进行删除操作，删除需要进行二次提示，以免进行误删。</w:t>
      </w:r>
    </w:p>
    <w:p>
      <w:pPr>
        <w:pStyle w:val="51"/>
        <w:numPr>
          <w:ilvl w:val="0"/>
          <w:numId w:val="3"/>
        </w:numPr>
        <w:ind w:firstLineChars="0"/>
      </w:pPr>
      <w:r>
        <w:rPr>
          <w:rFonts w:hint="eastAsia"/>
        </w:rPr>
        <w:t>运营人员可以通过基金名称、基金编号、冻结类型、客户名称、冻结状态、冻结日期、解冻日期、B</w:t>
      </w:r>
      <w:r>
        <w:t>DS</w:t>
      </w:r>
      <w:r>
        <w:rPr>
          <w:rFonts w:hint="eastAsia"/>
        </w:rPr>
        <w:t>状态、来源来进行查询，查询结果以分页形式进行展示，并可对查询结果进行导出，导出格式 为EXCEL。</w:t>
      </w:r>
    </w:p>
    <w:p>
      <w:pPr>
        <w:pStyle w:val="51"/>
        <w:ind w:left="840" w:firstLine="0" w:firstLineChars="0"/>
      </w:pPr>
      <w:r>
        <w:rPr>
          <w:rFonts w:hint="eastAsia"/>
        </w:rPr>
        <w:t>查询规则：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5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基金名称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基金编号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冻结类型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下拉框查询，下拉框值：全部/融易通/司法冻结/其他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客户名称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冻结状态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下拉框查询，下拉框值：全部/冻结/解冻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冻结日期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解冻日期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B</w:t>
            </w:r>
            <w:r>
              <w:t>DS</w:t>
            </w:r>
            <w:r>
              <w:rPr>
                <w:rFonts w:hint="eastAsia"/>
              </w:rPr>
              <w:t>状态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下拉框查询，全部/审批中/完成/退回/终止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来源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下拉框查询，全部/</w:t>
            </w:r>
            <w:r>
              <w:t>BDS</w:t>
            </w:r>
            <w:r>
              <w:rPr>
                <w:rFonts w:hint="eastAsia"/>
              </w:rPr>
              <w:t>/</w:t>
            </w:r>
            <w:r>
              <w:t>GOWin</w:t>
            </w:r>
          </w:p>
        </w:tc>
      </w:tr>
    </w:tbl>
    <w:p>
      <w:pPr>
        <w:pStyle w:val="51"/>
        <w:numPr>
          <w:ilvl w:val="0"/>
          <w:numId w:val="6"/>
        </w:numPr>
        <w:ind w:firstLineChars="0"/>
      </w:pPr>
      <w:r>
        <w:rPr>
          <w:rFonts w:hint="eastAsia"/>
        </w:rPr>
        <w:t>针对于冻结解冻，有的业务只是填写了业务需求单，但并不会真正发生冻结解冻业务，但冻结解冻流程状态为已完成，如下图所示。</w:t>
      </w:r>
    </w:p>
    <w:p>
      <w:pPr>
        <w:ind w:firstLine="420"/>
      </w:pPr>
      <w:r>
        <w:drawing>
          <wp:inline distT="0" distB="0" distL="0" distR="0">
            <wp:extent cx="5274310" cy="4616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为了冻结解冻台账能够清晰展示业务数据，GoWin中冻结解冻台账需要将冻结份额进行系统过滤，即只展示</w:t>
      </w:r>
      <w:r>
        <w:rPr>
          <w:rFonts w:hint="eastAsia"/>
          <w:highlight w:val="yellow"/>
        </w:rPr>
        <w:t>冻结份额大于0的业务数据</w:t>
      </w:r>
      <w:r>
        <w:rPr>
          <w:rFonts w:hint="eastAsia"/>
        </w:rPr>
        <w:t>。</w:t>
      </w:r>
    </w:p>
    <w:p>
      <w:pPr>
        <w:pStyle w:val="51"/>
        <w:numPr>
          <w:ilvl w:val="0"/>
          <w:numId w:val="6"/>
        </w:numPr>
        <w:ind w:firstLineChars="0"/>
        <w:rPr>
          <w:rFonts w:ascii="Times New Roman" w:hAnsi="Times New Roman" w:eastAsia="宋体" w:cs="Times New Roman"/>
          <w:szCs w:val="20"/>
        </w:rPr>
      </w:pPr>
      <w:r>
        <w:rPr>
          <w:rFonts w:hint="eastAsia" w:ascii="Times New Roman" w:hAnsi="Times New Roman" w:eastAsia="宋体" w:cs="Times New Roman"/>
          <w:szCs w:val="20"/>
        </w:rPr>
        <w:t>BDS产品冻结解冻申请流程中的附件，需要从BDS产品冻结解冻申请的节点中找到附件名称关键字获取，用户可在冻结解冻-相关附件功能页面下载查看，附件包含：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4395"/>
      </w:tblGrid>
      <w:tr>
        <w:tc>
          <w:tcPr>
            <w:tcW w:w="3397" w:type="dxa"/>
          </w:tcPr>
          <w:p>
            <w:pPr>
              <w:pStyle w:val="14"/>
              <w:ind w:firstLine="0"/>
            </w:pPr>
            <w:r>
              <w:t>附件名称关键字</w:t>
            </w:r>
          </w:p>
        </w:tc>
        <w:tc>
          <w:tcPr>
            <w:tcW w:w="4395" w:type="dxa"/>
          </w:tcPr>
          <w:p>
            <w:pPr>
              <w:pStyle w:val="14"/>
              <w:ind w:firstLine="0"/>
            </w:pPr>
            <w:r>
              <w:t>流程节点名称</w:t>
            </w:r>
          </w:p>
        </w:tc>
      </w:tr>
      <w:tr>
        <w:tc>
          <w:tcPr>
            <w:tcW w:w="3397" w:type="dxa"/>
          </w:tcPr>
          <w:p>
            <w:pPr>
              <w:pStyle w:val="14"/>
              <w:ind w:firstLine="0"/>
            </w:pPr>
            <w:r>
              <w:rPr>
                <w:rFonts w:hint="eastAsia"/>
                <w:highlight w:val="yellow"/>
              </w:rPr>
              <w:t>冻结授权书</w:t>
            </w:r>
          </w:p>
        </w:tc>
        <w:tc>
          <w:tcPr>
            <w:tcW w:w="4395" w:type="dxa"/>
          </w:tcPr>
          <w:p>
            <w:pPr>
              <w:pStyle w:val="14"/>
              <w:ind w:firstLine="0"/>
            </w:pPr>
            <w:r>
              <w:rPr>
                <w:rFonts w:hint="eastAsia"/>
              </w:rPr>
              <w:t>融易通启动冻结</w:t>
            </w:r>
          </w:p>
        </w:tc>
      </w:tr>
      <w:tr>
        <w:tc>
          <w:tcPr>
            <w:tcW w:w="3397" w:type="dxa"/>
          </w:tcPr>
          <w:p>
            <w:pPr>
              <w:pStyle w:val="14"/>
              <w:ind w:firstLine="0"/>
            </w:pPr>
            <w:r>
              <w:rPr>
                <w:rFonts w:hint="eastAsia"/>
                <w:highlight w:val="yellow"/>
              </w:rPr>
              <w:t>冻结申请书</w:t>
            </w:r>
          </w:p>
        </w:tc>
        <w:tc>
          <w:tcPr>
            <w:tcW w:w="4395" w:type="dxa"/>
          </w:tcPr>
          <w:p>
            <w:pPr>
              <w:pStyle w:val="14"/>
              <w:ind w:firstLine="0"/>
            </w:pPr>
            <w:r>
              <w:rPr>
                <w:rFonts w:hint="eastAsia"/>
              </w:rPr>
              <w:t>融易通启动冻结</w:t>
            </w:r>
          </w:p>
        </w:tc>
      </w:tr>
      <w:tr>
        <w:tc>
          <w:tcPr>
            <w:tcW w:w="3397" w:type="dxa"/>
          </w:tcPr>
          <w:p>
            <w:pPr>
              <w:pStyle w:val="14"/>
              <w:ind w:firstLine="0"/>
            </w:pPr>
            <w:r>
              <w:rPr>
                <w:rFonts w:hint="eastAsia"/>
                <w:highlight w:val="yellow"/>
              </w:rPr>
              <w:t>冻结指令</w:t>
            </w:r>
          </w:p>
        </w:tc>
        <w:tc>
          <w:tcPr>
            <w:tcW w:w="4395" w:type="dxa"/>
          </w:tcPr>
          <w:p>
            <w:pPr>
              <w:pStyle w:val="14"/>
              <w:ind w:firstLine="0"/>
            </w:pPr>
            <w:r>
              <w:t>运营综合岗发起冻结常规存续服务通知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0"/>
            </w:pPr>
            <w:r>
              <w:rPr>
                <w:rFonts w:hint="eastAsia"/>
                <w:highlight w:val="yellow"/>
              </w:rPr>
              <w:t>解冻指令</w:t>
            </w:r>
          </w:p>
        </w:tc>
        <w:tc>
          <w:tcPr>
            <w:tcW w:w="4395" w:type="dxa"/>
          </w:tcPr>
          <w:p>
            <w:pPr>
              <w:pStyle w:val="14"/>
              <w:ind w:firstLine="0"/>
            </w:pPr>
            <w:r>
              <w:t>运营综合岗发起解冻常规存续服务通知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0"/>
            </w:pPr>
            <w:r>
              <w:rPr>
                <w:rFonts w:hint="eastAsia"/>
                <w:highlight w:val="yellow"/>
              </w:rPr>
              <w:t>解冻申请书</w:t>
            </w:r>
          </w:p>
        </w:tc>
        <w:tc>
          <w:tcPr>
            <w:tcW w:w="4395" w:type="dxa"/>
          </w:tcPr>
          <w:p>
            <w:pPr>
              <w:pStyle w:val="14"/>
              <w:ind w:firstLine="0"/>
            </w:pPr>
            <w:r>
              <w:rPr>
                <w:rFonts w:hint="eastAsia"/>
              </w:rPr>
              <w:t>已冻结/待启动解冻（融易通）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0"/>
            </w:pPr>
            <w:r>
              <w:rPr>
                <w:rFonts w:hint="eastAsia"/>
                <w:highlight w:val="yellow"/>
              </w:rPr>
              <w:t>解冻通知书</w:t>
            </w:r>
          </w:p>
        </w:tc>
        <w:tc>
          <w:tcPr>
            <w:tcW w:w="4395" w:type="dxa"/>
          </w:tcPr>
          <w:p>
            <w:pPr>
              <w:pStyle w:val="14"/>
              <w:ind w:firstLine="0"/>
            </w:pPr>
            <w:r>
              <w:rPr>
                <w:rFonts w:hint="eastAsia"/>
              </w:rPr>
              <w:t>已冻结/待启动解冻（融易通）</w:t>
            </w:r>
          </w:p>
        </w:tc>
      </w:tr>
    </w:tbl>
    <w:p>
      <w:pPr>
        <w:ind w:firstLine="420"/>
      </w:pPr>
    </w:p>
    <w:p>
      <w:pPr>
        <w:pStyle w:val="4"/>
      </w:pPr>
      <w:r>
        <w:t>数据来源</w:t>
      </w:r>
    </w:p>
    <w:tbl>
      <w:tblPr>
        <w:tblStyle w:val="33"/>
        <w:tblW w:w="918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2620"/>
        <w:gridCol w:w="2080"/>
        <w:gridCol w:w="2320"/>
      </w:tblGrid>
      <w:tr>
        <w:trPr>
          <w:trHeight w:val="540" w:hRule="atLeast"/>
        </w:trPr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BACC6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字段名称</w:t>
            </w:r>
          </w:p>
        </w:tc>
        <w:tc>
          <w:tcPr>
            <w:tcW w:w="26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数据来源</w:t>
            </w:r>
          </w:p>
        </w:tc>
        <w:tc>
          <w:tcPr>
            <w:tcW w:w="2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是否可修改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（BDS发起）</w:t>
            </w:r>
          </w:p>
        </w:tc>
        <w:tc>
          <w:tcPr>
            <w:tcW w:w="23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流程编号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基金名称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基金编号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管理人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基金台账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托管人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基金台账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1035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客户名称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证件号码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冻结份额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期限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单位：天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冻结日期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解冻日期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54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冻结类型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0-融易通1-司法冻结2-其他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其他冻结类型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人工输入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54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未分配冻结款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从投资人台账分配计算表自动获取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1125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冻结状态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系统字段判断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超级管理员可修改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无解冻日期为冻结；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有解冻日期为解冻；</w:t>
            </w:r>
          </w:p>
        </w:tc>
      </w:tr>
      <w:tr>
        <w:trPr>
          <w:trHeight w:val="54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子流程编号（非投资付款)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BDS-冻结解冻流程中的子流程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人工输入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是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810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来源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commentRangeStart w:id="2"/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系统自动判断</w:t>
            </w:r>
            <w:commentRangeEnd w:id="2"/>
            <w:r>
              <w:rPr>
                <w:rStyle w:val="32"/>
              </w:rPr>
              <w:commentReference w:id="2"/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0：BDS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1：ODC</w:t>
            </w:r>
          </w:p>
        </w:tc>
      </w:tr>
      <w:tr>
        <w:trPr>
          <w:trHeight w:val="765" w:hRule="atLeast"/>
        </w:trPr>
        <w:tc>
          <w:tcPr>
            <w:tcW w:w="21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BDS状态</w:t>
            </w:r>
          </w:p>
        </w:tc>
        <w:tc>
          <w:tcPr>
            <w:tcW w:w="26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BDS-产品冻结解冻申请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否</w:t>
            </w:r>
          </w:p>
        </w:tc>
        <w:tc>
          <w:tcPr>
            <w:tcW w:w="2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FF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t>审批中（来源于BDS）</w:t>
            </w: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t>完成（来源于BDS）</w:t>
            </w: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  <w:t>退回（来源于BDS）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 </w:t>
            </w:r>
          </w:p>
        </w:tc>
      </w:tr>
    </w:tbl>
    <w:p>
      <w:pPr>
        <w:ind w:firstLine="0" w:firstLineChars="0"/>
      </w:pPr>
    </w:p>
    <w:p>
      <w:pPr>
        <w:pStyle w:val="3"/>
      </w:pPr>
      <w:r>
        <w:rPr>
          <w:rFonts w:hint="eastAsia"/>
        </w:rPr>
        <w:t>档期管理</w:t>
      </w:r>
    </w:p>
    <w:p>
      <w:pPr>
        <w:pStyle w:val="5"/>
        <w:bidi w:val="0"/>
        <w:ind w:left="864" w:leftChars="0" w:hanging="864" w:firstLineChars="0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图</w:t>
      </w:r>
      <w:bookmarkEnd w:id="0"/>
      <w:bookmarkEnd w:id="1"/>
      <w:bookmarkEnd w:id="2"/>
    </w:p>
    <w:p>
      <w:pPr>
        <w:pStyle w:val="51"/>
        <w:numPr>
          <w:ilvl w:val="0"/>
          <w:numId w:val="6"/>
        </w:numPr>
        <w:ind w:firstLineChars="0"/>
      </w:pPr>
      <w:r>
        <w:t>档期管理列表</w:t>
      </w:r>
      <w:r>
        <w:rPr>
          <w:rFonts w:hint="eastAsia"/>
        </w:rPr>
        <w:t>U</w:t>
      </w:r>
      <w:r>
        <w:t>I图：</w:t>
      </w:r>
    </w:p>
    <w:p>
      <w:pPr>
        <w:ind w:firstLine="420"/>
      </w:pPr>
      <w:r>
        <w:drawing>
          <wp:inline distT="0" distB="0" distL="0" distR="0">
            <wp:extent cx="5274310" cy="2143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1"/>
        <w:numPr>
          <w:ilvl w:val="0"/>
          <w:numId w:val="6"/>
        </w:numPr>
        <w:ind w:firstLineChars="0"/>
      </w:pPr>
      <w:r>
        <w:rPr>
          <w:rFonts w:hint="eastAsia"/>
        </w:rPr>
        <w:t>点击基金名称，可进入详情页面：</w:t>
      </w:r>
    </w:p>
    <w:p>
      <w:pPr>
        <w:pStyle w:val="51"/>
        <w:ind w:left="420" w:firstLine="0" w:firstLineChars="0"/>
      </w:pPr>
      <w:r>
        <w:drawing>
          <wp:inline distT="0" distB="0" distL="0" distR="0">
            <wp:extent cx="5274310" cy="23583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1"/>
        <w:numPr>
          <w:ilvl w:val="0"/>
          <w:numId w:val="6"/>
        </w:numPr>
        <w:ind w:firstLineChars="0"/>
      </w:pPr>
      <w:r>
        <w:rPr>
          <w:rFonts w:hint="eastAsia"/>
        </w:rPr>
        <w:t>点击相关附件，进入附件详情页，可查看下载相关附件：</w:t>
      </w:r>
    </w:p>
    <w:p>
      <w:pPr>
        <w:pStyle w:val="51"/>
        <w:ind w:left="420" w:firstLine="0" w:firstLineChars="0"/>
      </w:pPr>
      <w:r>
        <w:drawing>
          <wp:inline distT="0" distB="0" distL="0" distR="0">
            <wp:extent cx="5274310" cy="27552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业务逻辑</w:t>
      </w:r>
    </w:p>
    <w:p>
      <w:pPr>
        <w:pStyle w:val="51"/>
        <w:numPr>
          <w:ilvl w:val="0"/>
          <w:numId w:val="6"/>
        </w:numPr>
        <w:ind w:firstLineChars="0"/>
      </w:pPr>
      <w:r>
        <w:rPr>
          <w:rFonts w:hint="eastAsia"/>
        </w:rPr>
        <w:t>此功能模块支持运营人员在档期管理页面通过管理人、基金名称、开放类型、开放日期、发行/存续、注册登记机构进行档期查询，查询结果以分页形式进行展示，并可对查询结果进行导出，导出格式 为EXCEL。</w:t>
      </w:r>
    </w:p>
    <w:p>
      <w:pPr>
        <w:ind w:firstLine="420"/>
      </w:pPr>
      <w:r>
        <w:rPr>
          <w:rFonts w:hint="eastAsia"/>
        </w:rPr>
        <w:t>查询规则：</w:t>
      </w:r>
    </w:p>
    <w:tbl>
      <w:tblPr>
        <w:tblStyle w:val="34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管理人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基金名称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开放类型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下拉框查询，下拉框值：</w:t>
            </w:r>
            <w:commentRangeStart w:id="3"/>
            <w:r>
              <w:rPr>
                <w:rFonts w:hint="eastAsia"/>
              </w:rPr>
              <w:t>全部/认购/申购</w:t>
            </w:r>
            <w:r>
              <w:t>/</w:t>
            </w:r>
            <w:r>
              <w:rPr>
                <w:rFonts w:hint="eastAsia"/>
              </w:rPr>
              <w:t>赎回/申购赎回</w:t>
            </w:r>
            <w:commentRangeEnd w:id="3"/>
            <w:r>
              <w:rPr>
                <w:rStyle w:val="32"/>
              </w:rPr>
              <w:commentReference w:id="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开放日期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发行/存续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下拉框查询，下拉框值：</w:t>
            </w:r>
            <w:r>
              <w:rPr>
                <w:rFonts w:hint="eastAsia"/>
                <w:szCs w:val="21"/>
              </w:rPr>
              <w:t>全部/发行/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存续固定档期</w:t>
            </w:r>
            <w:r>
              <w:rPr>
                <w:rFonts w:ascii="宋体" w:hAnsi="宋体" w:eastAsia="宋体" w:cs="宋体"/>
                <w:color w:val="000000"/>
                <w:kern w:val="0"/>
                <w:szCs w:val="21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存续临时档期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注册登记机构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下拉框模糊查询，下拉框值：全部</w:t>
            </w:r>
            <w:r>
              <w:t>/</w:t>
            </w:r>
            <w:r>
              <w:rPr>
                <w:rFonts w:hint="eastAsia"/>
              </w:rPr>
              <w:t>国泰君安证券股份有限公司/平安银行股份有限公司/招商证券股份有限公司/国信证券股份有限公司/华泰证券股份有限公司/</w:t>
            </w:r>
            <w:r>
              <w:t>(</w:t>
            </w:r>
            <w:r>
              <w:rPr>
                <w:rFonts w:hint="eastAsia"/>
              </w:rPr>
              <w:t>空</w:t>
            </w:r>
            <w:r>
              <w:t>)</w:t>
            </w:r>
          </w:p>
        </w:tc>
      </w:tr>
    </w:tbl>
    <w:p>
      <w:pPr>
        <w:pStyle w:val="51"/>
        <w:numPr>
          <w:ilvl w:val="0"/>
          <w:numId w:val="6"/>
        </w:numPr>
        <w:ind w:firstLineChars="0"/>
      </w:pPr>
      <w:r>
        <w:t>运营人员在档期管理列表点击基金名称可查看具体详情，点击相关附件，可进入附件页面查看相关附件。</w:t>
      </w:r>
    </w:p>
    <w:p>
      <w:pPr>
        <w:pStyle w:val="51"/>
        <w:numPr>
          <w:ilvl w:val="0"/>
          <w:numId w:val="6"/>
        </w:numPr>
        <w:ind w:firstLineChars="0"/>
        <w:rPr>
          <w:rFonts w:ascii="Times New Roman" w:hAnsi="Times New Roman" w:eastAsia="宋体" w:cs="Times New Roman"/>
          <w:szCs w:val="20"/>
        </w:rPr>
      </w:pPr>
      <w:r>
        <w:rPr>
          <w:rFonts w:hint="eastAsia" w:ascii="Times New Roman" w:hAnsi="Times New Roman" w:eastAsia="宋体" w:cs="Times New Roman"/>
          <w:szCs w:val="20"/>
        </w:rPr>
        <w:t>BDS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</w:rPr>
        <w:t>开放产品档期流程</w:t>
      </w:r>
      <w:r>
        <w:rPr>
          <w:rFonts w:hint="eastAsia" w:ascii="Times New Roman" w:hAnsi="Times New Roman" w:eastAsia="宋体" w:cs="Times New Roman"/>
          <w:szCs w:val="20"/>
        </w:rPr>
        <w:t>中的附件，需要从BDS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</w:rPr>
        <w:t>开放产品档期流程</w:t>
      </w:r>
      <w:r>
        <w:rPr>
          <w:rFonts w:hint="eastAsia" w:ascii="Times New Roman" w:hAnsi="Times New Roman" w:eastAsia="宋体" w:cs="Times New Roman"/>
          <w:szCs w:val="20"/>
        </w:rPr>
        <w:t>的节点中找到附件名称关键字获取，用户可在档期管理-相关附件功能页面下载查看，附件包含：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43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</w:pPr>
            <w:r>
              <w:t>附件名称关键字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t>流程节点名称</w:t>
            </w:r>
          </w:p>
        </w:tc>
      </w:tr>
      <w:tr>
        <w:tc>
          <w:tcPr>
            <w:tcW w:w="3397" w:type="dxa"/>
          </w:tcPr>
          <w:p>
            <w:pPr>
              <w:pStyle w:val="14"/>
            </w:pPr>
            <w:r>
              <w:rPr>
                <w:rFonts w:hint="eastAsia"/>
              </w:rPr>
              <w:t>只要是上传节点为运营经理/产品经理的附件，我们都抓取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rPr>
                <w:rFonts w:hint="eastAsia"/>
              </w:rPr>
              <w:t>运营经理/产品经理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210" w:firstLineChars="100"/>
              <w:rPr>
                <w:highlight w:val="yellow"/>
              </w:rPr>
            </w:pPr>
          </w:p>
        </w:tc>
        <w:tc>
          <w:tcPr>
            <w:tcW w:w="4395" w:type="dxa"/>
          </w:tcPr>
          <w:p>
            <w:pPr>
              <w:pStyle w:val="14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210" w:firstLineChars="100"/>
              <w:rPr>
                <w:highlight w:val="yellow"/>
              </w:rPr>
            </w:pPr>
          </w:p>
        </w:tc>
        <w:tc>
          <w:tcPr>
            <w:tcW w:w="4395" w:type="dxa"/>
          </w:tcPr>
          <w:p>
            <w:pPr>
              <w:pStyle w:val="14"/>
            </w:pPr>
          </w:p>
        </w:tc>
      </w:tr>
    </w:tbl>
    <w:p>
      <w:pPr>
        <w:ind w:firstLine="0" w:firstLineChars="0"/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数据来源</w:t>
      </w:r>
    </w:p>
    <w:p>
      <w:pPr>
        <w:ind w:firstLine="420"/>
      </w:pPr>
      <w:r>
        <w:rPr>
          <w:rFonts w:hint="eastAsia"/>
        </w:rPr>
        <w:t>数据来源于BDS-开放产品档期流程。详细字段如下：</w:t>
      </w:r>
    </w:p>
    <w:tbl>
      <w:tblPr>
        <w:tblStyle w:val="33"/>
        <w:tblW w:w="8900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2420"/>
      </w:tblGrid>
      <w:tr>
        <w:trPr>
          <w:trHeight w:val="330" w:hRule="atLeast"/>
        </w:trPr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要素名称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要素内容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输入角色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是否可修改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字符类型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要素来源</w:t>
            </w:r>
          </w:p>
        </w:tc>
        <w:tc>
          <w:tcPr>
            <w:tcW w:w="24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流程编号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BDS-开放产品档期流程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BDS-开放产品档期流程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基金编号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BDS-开放产品档期流程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管理人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基金台账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销售代码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BDS-开放产品档期流程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开放期次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BDS-开放产品档期流程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96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开放类型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0-认购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1-申购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2-赎回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3-申购赎回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枚举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BDS-开放产品档期流程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注册登记机构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基金台账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基金台账的外包机构=注册登记机构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发行/存续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发行1-存续固定档期2-存续临时档期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BDS-开放产品档期流程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销售渠道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BDS-开放产品档期流程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96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开放日期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时间段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时间段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BDS-开放产品档期流程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可能有多期，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例如：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2020/5/20—2020/5/30，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2020/6/5-2020/6/15</w:t>
            </w:r>
          </w:p>
        </w:tc>
      </w:tr>
      <w:tr>
        <w:trPr>
          <w:trHeight w:val="96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运营人员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多行文本框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Gowin手工输入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ind w:firstLine="420"/>
      </w:pPr>
    </w:p>
    <w:p>
      <w:pPr>
        <w:pStyle w:val="4"/>
      </w:pPr>
      <w:r>
        <w:rPr>
          <w:rFonts w:hint="eastAsia"/>
        </w:rPr>
        <w:t>档期流程</w:t>
      </w:r>
    </w:p>
    <w:p>
      <w:pPr>
        <w:pStyle w:val="5"/>
      </w:pPr>
      <w:r>
        <w:t>UI</w:t>
      </w:r>
      <w:r>
        <w:rPr>
          <w:rFonts w:hint="eastAsia"/>
        </w:rPr>
        <w:t>图</w:t>
      </w:r>
    </w:p>
    <w:p>
      <w:pPr>
        <w:ind w:firstLine="420"/>
      </w:pPr>
      <w:r>
        <w:rPr>
          <w:rFonts w:hint="eastAsia"/>
        </w:rPr>
        <w:t>档期流程的U</w:t>
      </w:r>
      <w:r>
        <w:t>I</w:t>
      </w:r>
      <w:r>
        <w:rPr>
          <w:rFonts w:hint="eastAsia"/>
        </w:rPr>
        <w:t>列表图</w:t>
      </w:r>
    </w:p>
    <w:p>
      <w:pPr>
        <w:ind w:firstLine="420"/>
      </w:pPr>
      <w:r>
        <w:drawing>
          <wp:inline distT="0" distB="0" distL="0" distR="0">
            <wp:extent cx="5274310" cy="26854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业务逻辑</w:t>
      </w:r>
    </w:p>
    <w:p>
      <w:pPr>
        <w:pStyle w:val="51"/>
        <w:numPr>
          <w:ilvl w:val="0"/>
          <w:numId w:val="7"/>
        </w:numPr>
        <w:ind w:firstLineChars="0"/>
      </w:pPr>
      <w:r>
        <w:rPr>
          <w:rFonts w:hint="eastAsia"/>
        </w:rPr>
        <w:t>GoWin通过接口自动抓取BDS中所有产品开放档期列表进行展示，点击查看按钮，可自动跳转到B</w:t>
      </w:r>
      <w:r>
        <w:t>DS</w:t>
      </w:r>
      <w:r>
        <w:rPr>
          <w:rFonts w:hint="eastAsia"/>
        </w:rPr>
        <w:t>相对应的产品开放档期详情页面；其中开放期次一列，B</w:t>
      </w:r>
      <w:r>
        <w:t>DS系统没有，需要gowin自动反显档期详情页面的开放期次，供运营人员查看；</w:t>
      </w:r>
    </w:p>
    <w:p>
      <w:pPr>
        <w:pStyle w:val="51"/>
        <w:numPr>
          <w:ilvl w:val="0"/>
          <w:numId w:val="7"/>
        </w:numPr>
        <w:ind w:firstLineChars="0"/>
      </w:pPr>
      <w:r>
        <w:rPr>
          <w:rFonts w:hint="eastAsia"/>
        </w:rPr>
        <w:t>运营人员可以通过基金名称、流程编号、开放期次</w:t>
      </w:r>
      <w:r>
        <w:t>、</w:t>
      </w:r>
      <w:r>
        <w:rPr>
          <w:rFonts w:hint="eastAsia"/>
        </w:rPr>
        <w:t>到达日期来进行查询，查询结果以分页形式进行展示。</w:t>
      </w:r>
    </w:p>
    <w:p>
      <w:pPr>
        <w:pStyle w:val="51"/>
        <w:ind w:left="840" w:firstLine="0" w:firstLineChars="0"/>
      </w:pPr>
      <w:r>
        <w:rPr>
          <w:rFonts w:hint="eastAsia"/>
        </w:rPr>
        <w:t>查询规则：</w:t>
      </w:r>
    </w:p>
    <w:tbl>
      <w:tblPr>
        <w:tblStyle w:val="34"/>
        <w:tblW w:w="780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87"/>
        <w:gridCol w:w="4115"/>
      </w:tblGrid>
      <w:tr>
        <w:tc>
          <w:tcPr>
            <w:tcW w:w="3687" w:type="dxa"/>
          </w:tcPr>
          <w:p>
            <w:pPr>
              <w:pStyle w:val="51"/>
              <w:ind w:firstLine="0" w:firstLineChars="0"/>
            </w:pPr>
            <w:r>
              <w:rPr>
                <w:rFonts w:hint="eastAsia"/>
              </w:rPr>
              <w:t>基金名称</w:t>
            </w:r>
          </w:p>
        </w:tc>
        <w:tc>
          <w:tcPr>
            <w:tcW w:w="4115" w:type="dxa"/>
          </w:tcPr>
          <w:p>
            <w:pPr>
              <w:pStyle w:val="51"/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3687" w:type="dxa"/>
          </w:tcPr>
          <w:p>
            <w:pPr>
              <w:pStyle w:val="51"/>
              <w:ind w:firstLine="0" w:firstLineChars="0"/>
            </w:pPr>
            <w:r>
              <w:rPr>
                <w:rFonts w:hint="eastAsia"/>
              </w:rPr>
              <w:t>流程编号</w:t>
            </w:r>
          </w:p>
        </w:tc>
        <w:tc>
          <w:tcPr>
            <w:tcW w:w="4115" w:type="dxa"/>
          </w:tcPr>
          <w:p>
            <w:pPr>
              <w:pStyle w:val="51"/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3687" w:type="dxa"/>
          </w:tcPr>
          <w:p>
            <w:pPr>
              <w:pStyle w:val="51"/>
              <w:ind w:firstLine="0" w:firstLineChars="0"/>
            </w:pPr>
            <w:r>
              <w:rPr>
                <w:rFonts w:hint="eastAsia"/>
              </w:rPr>
              <w:t>开放期次</w:t>
            </w:r>
          </w:p>
        </w:tc>
        <w:tc>
          <w:tcPr>
            <w:tcW w:w="4115" w:type="dxa"/>
          </w:tcPr>
          <w:p>
            <w:pPr>
              <w:pStyle w:val="51"/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3687" w:type="dxa"/>
          </w:tcPr>
          <w:p>
            <w:pPr>
              <w:pStyle w:val="51"/>
              <w:ind w:firstLine="0" w:firstLineChars="0"/>
            </w:pPr>
            <w:r>
              <w:rPr>
                <w:rFonts w:hint="eastAsia"/>
              </w:rPr>
              <w:t>到达日期</w:t>
            </w:r>
          </w:p>
        </w:tc>
        <w:tc>
          <w:tcPr>
            <w:tcW w:w="4115" w:type="dxa"/>
          </w:tcPr>
          <w:p>
            <w:pPr>
              <w:pStyle w:val="51"/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</w:tbl>
    <w:p>
      <w:pPr>
        <w:ind w:firstLine="0" w:firstLineChars="0"/>
      </w:pPr>
    </w:p>
    <w:p>
      <w:pPr>
        <w:pStyle w:val="5"/>
      </w:pPr>
      <w:r>
        <w:t>数据来源</w:t>
      </w:r>
    </w:p>
    <w:p>
      <w:pPr>
        <w:ind w:firstLine="420"/>
      </w:pPr>
      <w:r>
        <w:rPr>
          <w:rFonts w:hint="eastAsia"/>
        </w:rPr>
        <w:t>B</w:t>
      </w:r>
      <w:r>
        <w:t>DS-产品开放档期</w:t>
      </w:r>
    </w:p>
    <w:p>
      <w:pPr>
        <w:pStyle w:val="3"/>
      </w:pPr>
      <w:r>
        <w:rPr>
          <w:rFonts w:hint="eastAsia"/>
        </w:rPr>
        <w:t>分配管理</w:t>
      </w:r>
    </w:p>
    <w:p>
      <w:pPr>
        <w:ind w:firstLine="0" w:firstLineChars="0"/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图</w:t>
      </w:r>
    </w:p>
    <w:p>
      <w:pPr>
        <w:ind w:firstLine="420"/>
      </w:pPr>
      <w:r>
        <w:rPr>
          <w:rFonts w:hint="eastAsia"/>
        </w:rPr>
        <w:t>分配管理列表U</w:t>
      </w:r>
      <w:r>
        <w:t>I</w:t>
      </w:r>
      <w:r>
        <w:rPr>
          <w:rFonts w:hint="eastAsia"/>
        </w:rPr>
        <w:t>图：</w:t>
      </w:r>
    </w:p>
    <w:p>
      <w:pPr>
        <w:ind w:firstLine="420"/>
      </w:pPr>
      <w:r>
        <w:drawing>
          <wp:inline distT="0" distB="0" distL="0" distR="0">
            <wp:extent cx="5274310" cy="25012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commentRangeStart w:id="4"/>
      <w:r>
        <w:rPr>
          <w:rFonts w:hint="eastAsia"/>
        </w:rPr>
        <w:t>点击基金名称进入详情页</w:t>
      </w:r>
      <w:r>
        <w:t>UI</w:t>
      </w:r>
      <w:r>
        <w:rPr>
          <w:rFonts w:hint="eastAsia"/>
        </w:rPr>
        <w:t>图：</w:t>
      </w:r>
      <w:commentRangeEnd w:id="4"/>
      <w:r>
        <w:rPr>
          <w:rStyle w:val="32"/>
        </w:rPr>
        <w:commentReference w:id="4"/>
      </w:r>
    </w:p>
    <w:p>
      <w:pPr>
        <w:ind w:firstLine="420"/>
      </w:pPr>
      <w:r>
        <w:drawing>
          <wp:inline distT="0" distB="0" distL="0" distR="0">
            <wp:extent cx="5274310" cy="40093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点击相关附件进入附件页面，</w:t>
      </w:r>
      <w:r>
        <w:t>UI</w:t>
      </w:r>
      <w:r>
        <w:rPr>
          <w:rFonts w:hint="eastAsia"/>
        </w:rPr>
        <w:t>图：</w:t>
      </w:r>
    </w:p>
    <w:p>
      <w:pPr>
        <w:ind w:firstLine="420"/>
      </w:pPr>
      <w:r>
        <w:drawing>
          <wp:inline distT="0" distB="0" distL="0" distR="0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业务逻辑</w:t>
      </w:r>
    </w:p>
    <w:p>
      <w:pPr>
        <w:pStyle w:val="51"/>
        <w:numPr>
          <w:ilvl w:val="0"/>
          <w:numId w:val="8"/>
        </w:numPr>
        <w:ind w:firstLineChars="0"/>
      </w:pPr>
      <w:r>
        <w:t>大部分</w:t>
      </w:r>
      <w:r>
        <w:rPr>
          <w:rFonts w:hint="eastAsia"/>
        </w:rPr>
        <w:t>分配</w:t>
      </w:r>
      <w:r>
        <w:t>信息是</w:t>
      </w:r>
      <w:r>
        <w:rPr>
          <w:rFonts w:hint="eastAsia"/>
        </w:rPr>
        <w:t>运营人员在B</w:t>
      </w:r>
      <w:r>
        <w:t>DS</w:t>
      </w:r>
      <w:r>
        <w:rPr>
          <w:rFonts w:hint="eastAsia"/>
        </w:rPr>
        <w:t>系统中发起基金分配流程，BDS提供接口，GoWin将分配信息进行展示。GoWin中分配信息只显示BDS流程中已完成的数据，对于中止流程数据不显示。</w:t>
      </w:r>
    </w:p>
    <w:p>
      <w:pPr>
        <w:pStyle w:val="51"/>
        <w:numPr>
          <w:ilvl w:val="0"/>
          <w:numId w:val="8"/>
        </w:numPr>
        <w:ind w:firstLineChars="0"/>
      </w:pPr>
      <w:r>
        <w:rPr>
          <w:rFonts w:hint="eastAsia"/>
        </w:rPr>
        <w:t>运营人员在BDS分配流程中选择分配批次时，调用GoWin获取最新分配批次，从而在BDS上对分配批次做校验。比如歌斐1号产品已经完成4次分配，那么运营人员下次新增分配流程时，分配批次只能选择5。</w:t>
      </w:r>
    </w:p>
    <w:p>
      <w:pPr>
        <w:pStyle w:val="51"/>
        <w:numPr>
          <w:ilvl w:val="0"/>
          <w:numId w:val="8"/>
        </w:numPr>
        <w:ind w:firstLineChars="0"/>
      </w:pPr>
      <w:r>
        <w:t>导入：</w:t>
      </w:r>
      <w:r>
        <w:rPr>
          <w:rFonts w:hint="eastAsia"/>
        </w:rPr>
        <w:t>批量的数据导入，由于不是常用业务场景，不开发导入功能，后续可以指定excel导入格式，由系统管理员写成脚本，走后台数据更新的OA流程来更新底层的台账数据。</w:t>
      </w:r>
    </w:p>
    <w:p>
      <w:pPr>
        <w:pStyle w:val="51"/>
        <w:numPr>
          <w:ilvl w:val="0"/>
          <w:numId w:val="8"/>
        </w:numPr>
        <w:ind w:firstLineChars="0"/>
      </w:pPr>
      <w:r>
        <w:rPr>
          <w:rFonts w:hint="eastAsia"/>
        </w:rPr>
        <w:t>修改（指定有权限的超级管理员才可以修改）：Gowin设定固定角色，通过权限控制数据修改。</w:t>
      </w:r>
    </w:p>
    <w:p>
      <w:pPr>
        <w:pStyle w:val="51"/>
        <w:numPr>
          <w:ilvl w:val="0"/>
          <w:numId w:val="8"/>
        </w:numPr>
        <w:ind w:firstLineChars="0"/>
      </w:pPr>
      <w:r>
        <w:t>删除</w:t>
      </w:r>
      <w:r>
        <w:rPr>
          <w:rFonts w:hint="eastAsia"/>
        </w:rPr>
        <w:t>（指定有权限的超级管理员才可以删除）</w:t>
      </w:r>
      <w:r>
        <w:t>：运营人员也需要对转受让台账进行删除操作，删除需要进行二次提示，以免进行误删。</w:t>
      </w:r>
    </w:p>
    <w:p>
      <w:pPr>
        <w:pStyle w:val="51"/>
        <w:numPr>
          <w:ilvl w:val="0"/>
          <w:numId w:val="8"/>
        </w:numPr>
        <w:ind w:firstLineChars="0"/>
      </w:pPr>
      <w:r>
        <w:rPr>
          <w:rFonts w:hint="eastAsia"/>
        </w:rPr>
        <w:t>此功能模块支持运营人员能够在分配管理页面通过基金名称、基金代码、分配基准日来进行查询，查询结果以分页形式体现。</w:t>
      </w:r>
    </w:p>
    <w:p>
      <w:pPr>
        <w:pStyle w:val="51"/>
        <w:ind w:left="840" w:firstLine="0" w:firstLineChars="0"/>
      </w:pPr>
      <w:r>
        <w:rPr>
          <w:rFonts w:hint="eastAsia"/>
        </w:rPr>
        <w:t>查询规则：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5812"/>
      </w:tblGrid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基金名称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基金代码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分配基准日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</w:tbl>
    <w:p>
      <w:pPr>
        <w:pStyle w:val="51"/>
        <w:numPr>
          <w:ilvl w:val="0"/>
          <w:numId w:val="8"/>
        </w:numPr>
        <w:ind w:firstLineChars="0"/>
      </w:pPr>
      <w:r>
        <w:rPr>
          <w:rFonts w:hint="eastAsia"/>
        </w:rPr>
        <w:t>运营人员可对查询结果进行导出，导出格式 为EXCEL，并且可下载对应的文件信息（文件来源B</w:t>
      </w:r>
      <w:r>
        <w:t>DS</w:t>
      </w:r>
      <w:r>
        <w:rPr>
          <w:rFonts w:hint="eastAsia"/>
        </w:rPr>
        <w:t>的基金分配流程）。</w:t>
      </w:r>
    </w:p>
    <w:p>
      <w:pPr>
        <w:pStyle w:val="51"/>
        <w:numPr>
          <w:ilvl w:val="0"/>
          <w:numId w:val="8"/>
        </w:numPr>
        <w:ind w:firstLineChars="0"/>
      </w:pPr>
      <w:r>
        <w:rPr>
          <w:rFonts w:hint="eastAsia"/>
        </w:rPr>
        <w:t>运营人员在附件页面双击分配明细表，可下载到本地查看，</w:t>
      </w:r>
      <w:r>
        <w:rPr>
          <w:rFonts w:hint="eastAsia" w:ascii="Times New Roman" w:hAnsi="Times New Roman" w:eastAsia="宋体" w:cs="Times New Roman"/>
          <w:szCs w:val="20"/>
        </w:rPr>
        <w:t>附件包含：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43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</w:pPr>
            <w:r>
              <w:t>附件名称关键字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t>流程节点名称</w:t>
            </w:r>
          </w:p>
        </w:tc>
      </w:tr>
      <w:tr>
        <w:tc>
          <w:tcPr>
            <w:tcW w:w="3397" w:type="dxa"/>
          </w:tcPr>
          <w:p>
            <w:pPr>
              <w:pStyle w:val="14"/>
            </w:pPr>
            <w:r>
              <w:rPr>
                <w:rFonts w:hint="eastAsia"/>
              </w:rPr>
              <w:t>分配计算表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rPr>
                <w:rFonts w:hint="eastAsia"/>
              </w:rPr>
              <w:t>项目经理计算投资人分配明细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210" w:firstLineChars="100"/>
            </w:pPr>
            <w:r>
              <w:rPr>
                <w:rFonts w:hint="eastAsia"/>
              </w:rPr>
              <w:t>税金上传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rPr>
                <w:rFonts w:hint="eastAsia"/>
              </w:rPr>
              <w:t>税务人员准备分配</w:t>
            </w:r>
          </w:p>
        </w:tc>
      </w:tr>
      <w:tr>
        <w:tc>
          <w:tcPr>
            <w:tcW w:w="3397" w:type="dxa"/>
          </w:tcPr>
          <w:p>
            <w:pPr>
              <w:pStyle w:val="14"/>
              <w:ind w:firstLine="210" w:firstLineChars="100"/>
              <w:rPr>
                <w:highlight w:val="yellow"/>
              </w:rPr>
            </w:pPr>
            <w:r>
              <w:rPr>
                <w:rFonts w:hint="eastAsia"/>
              </w:rPr>
              <w:t>财务报表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rPr>
                <w:rFonts w:hint="eastAsia"/>
              </w:rPr>
              <w:t>项目经理提供税务计算所需材料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210" w:firstLineChars="100"/>
              <w:rPr>
                <w:highlight w:val="yellow"/>
              </w:rPr>
            </w:pPr>
            <w:r>
              <w:rPr>
                <w:rFonts w:hint="eastAsia"/>
              </w:rPr>
              <w:t>三栏式明细账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rPr>
                <w:rFonts w:hint="eastAsia"/>
              </w:rPr>
              <w:t>项目经理提供税务计算所需材料</w:t>
            </w:r>
          </w:p>
        </w:tc>
      </w:tr>
      <w:tr>
        <w:tc>
          <w:tcPr>
            <w:tcW w:w="3397" w:type="dxa"/>
          </w:tcPr>
          <w:p>
            <w:pPr>
              <w:pStyle w:val="14"/>
              <w:ind w:firstLine="210" w:firstLineChars="100"/>
              <w:rPr>
                <w:highlight w:val="yellow"/>
              </w:rPr>
            </w:pPr>
            <w:r>
              <w:rPr>
                <w:rFonts w:hint="eastAsia"/>
              </w:rPr>
              <w:t>费用数据信息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rPr>
                <w:rFonts w:hint="eastAsia"/>
              </w:rPr>
              <w:t>项目经理准备分配（原FA节点）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210" w:firstLineChars="100"/>
            </w:pPr>
            <w:r>
              <w:rPr>
                <w:rFonts w:hint="eastAsia"/>
              </w:rPr>
              <w:t>投资者明细台账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rPr>
                <w:rFonts w:hint="eastAsia"/>
              </w:rPr>
              <w:t>存续支持反馈台账罚息</w:t>
            </w:r>
          </w:p>
        </w:tc>
      </w:tr>
      <w:tr>
        <w:tc>
          <w:tcPr>
            <w:tcW w:w="3397" w:type="dxa"/>
          </w:tcPr>
          <w:p>
            <w:pPr>
              <w:pStyle w:val="14"/>
              <w:ind w:firstLine="210" w:firstLineChars="100"/>
            </w:pPr>
            <w:r>
              <w:rPr>
                <w:rFonts w:hint="eastAsia"/>
              </w:rPr>
              <w:t>基金账户明细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rPr>
                <w:rFonts w:hint="eastAsia"/>
              </w:rPr>
              <w:t>资金人员查询上传流水</w:t>
            </w:r>
          </w:p>
        </w:tc>
      </w:tr>
    </w:tbl>
    <w:p>
      <w:pPr>
        <w:pStyle w:val="51"/>
        <w:ind w:left="840" w:firstLine="0" w:firstLineChars="0"/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数据来源</w:t>
      </w:r>
    </w:p>
    <w:p>
      <w:pPr>
        <w:ind w:firstLine="420"/>
      </w:pPr>
      <w:r>
        <w:rPr>
          <w:rFonts w:hint="eastAsia"/>
        </w:rPr>
        <w:t>数据来源于BDS-基金分配流程。详细字段如下：</w:t>
      </w:r>
    </w:p>
    <w:tbl>
      <w:tblPr>
        <w:tblStyle w:val="33"/>
        <w:tblW w:w="8360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0"/>
        <w:gridCol w:w="1080"/>
        <w:gridCol w:w="1080"/>
        <w:gridCol w:w="1760"/>
        <w:gridCol w:w="1420"/>
        <w:gridCol w:w="1080"/>
      </w:tblGrid>
      <w:tr>
        <w:trPr>
          <w:trHeight w:val="330" w:hRule="atLeast"/>
        </w:trPr>
        <w:tc>
          <w:tcPr>
            <w:tcW w:w="19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要素名称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要素内容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输入角色</w:t>
            </w:r>
          </w:p>
        </w:tc>
        <w:tc>
          <w:tcPr>
            <w:tcW w:w="17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是否可修改</w:t>
            </w:r>
          </w:p>
        </w:tc>
        <w:tc>
          <w:tcPr>
            <w:tcW w:w="14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字符类型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>
        <w:trPr>
          <w:trHeight w:val="330" w:hRule="atLeast"/>
        </w:trPr>
        <w:tc>
          <w:tcPr>
            <w:tcW w:w="8360" w:type="dxa"/>
            <w:gridSpan w:val="6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000000" w:fill="F2F2F2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0"/>
              </w:rPr>
              <w:t>1-基金信息</w:t>
            </w:r>
          </w:p>
        </w:tc>
      </w:tr>
      <w:tr>
        <w:trPr>
          <w:trHeight w:val="27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流程编号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基金编号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330" w:hRule="atLeast"/>
        </w:trPr>
        <w:tc>
          <w:tcPr>
            <w:tcW w:w="8360" w:type="dxa"/>
            <w:gridSpan w:val="6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000000" w:fill="F2F2F2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0"/>
              </w:rPr>
              <w:t>2-分配信息</w:t>
            </w:r>
          </w:p>
        </w:tc>
      </w:tr>
      <w:tr>
        <w:trPr>
          <w:trHeight w:val="27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币种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00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分配批次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是否紧急分配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0-是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1-否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枚举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分配后投资标的是否退出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0-是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1-否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枚举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分配基准日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费用预留日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预留费用（元）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分配金额（元）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本次分配有无后续加入费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1-无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枚举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本次分配有无罚息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1-无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枚举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是否清算分配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0-是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1-否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枚举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330" w:hRule="atLeast"/>
        </w:trPr>
        <w:tc>
          <w:tcPr>
            <w:tcW w:w="8360" w:type="dxa"/>
            <w:gridSpan w:val="6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000000" w:fill="F2F2F2"/>
            <w:noWrap/>
            <w:vAlign w:val="center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0"/>
              </w:rPr>
              <w:t>3-预留税金</w:t>
            </w:r>
          </w:p>
        </w:tc>
      </w:tr>
      <w:tr>
        <w:trPr>
          <w:trHeight w:val="27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应预留税金-增值税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应预留税金-增值税附加税费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应预留税金-个人所得税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应预留税金-印花税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应预留税金-费用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应预留税金-其他税费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应预留税金-合计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实际预留税金-增值税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实际预留税金-增值税附加税费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实际预留税金-个人所得税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实际预留税金-印花税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实际预留税金-费用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实际预留税金-其他税费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实际预留税金-合计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单位：元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超级管理员可修改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72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commentRangeStart w:id="5"/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数据来源</w:t>
            </w:r>
            <w:commentRangeEnd w:id="5"/>
            <w:r>
              <w:rPr>
                <w:rStyle w:val="32"/>
              </w:rPr>
              <w:commentReference w:id="5"/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0：BDS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1：ODC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枚举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72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BDS状态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0-审批中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1-完成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2-退回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枚举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人工输入</w:t>
            </w:r>
          </w:p>
        </w:tc>
        <w:tc>
          <w:tcPr>
            <w:tcW w:w="17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14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多行文本框</w:t>
            </w:r>
          </w:p>
        </w:tc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</w:tbl>
    <w:p>
      <w:pPr>
        <w:ind w:firstLine="0" w:firstLineChars="0"/>
      </w:pPr>
    </w:p>
    <w:p>
      <w:pPr>
        <w:ind w:firstLine="420"/>
      </w:pPr>
    </w:p>
    <w:p>
      <w:pPr>
        <w:pStyle w:val="3"/>
      </w:pPr>
      <w:r>
        <w:rPr>
          <w:rFonts w:hint="eastAsia"/>
        </w:rPr>
        <w:t>产品清算</w:t>
      </w:r>
    </w:p>
    <w:p>
      <w:pPr>
        <w:pStyle w:val="4"/>
      </w:pPr>
      <w:r>
        <w:t>UI</w:t>
      </w:r>
      <w:r>
        <w:rPr>
          <w:rFonts w:hint="eastAsia"/>
        </w:rPr>
        <w:t>图</w:t>
      </w:r>
      <w:bookmarkStart w:id="3" w:name="_GoBack"/>
      <w:bookmarkEnd w:id="3"/>
    </w:p>
    <w:p>
      <w:pPr>
        <w:ind w:firstLine="420"/>
      </w:pPr>
      <w:r>
        <w:rPr>
          <w:rFonts w:hint="eastAsia"/>
        </w:rPr>
        <w:t>清算信息页列表</w:t>
      </w:r>
      <w:r>
        <w:t>UI</w:t>
      </w:r>
      <w:r>
        <w:rPr>
          <w:rFonts w:hint="eastAsia"/>
        </w:rPr>
        <w:t>图：</w:t>
      </w:r>
    </w:p>
    <w:p>
      <w:pPr>
        <w:ind w:left="420" w:leftChars="0" w:firstLine="420"/>
      </w:pPr>
      <w:r>
        <w:drawing>
          <wp:inline distT="0" distB="0" distL="0" distR="0">
            <wp:extent cx="5274310" cy="2501265"/>
            <wp:effectExtent l="0" t="0" r="8890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点击基金名称进入详情页面：</w:t>
      </w:r>
    </w:p>
    <w:p>
      <w:pPr>
        <w:ind w:firstLine="420"/>
      </w:pPr>
      <w:r>
        <w:drawing>
          <wp:inline distT="0" distB="0" distL="0" distR="0">
            <wp:extent cx="5274310" cy="23583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相关附件页U</w:t>
      </w:r>
      <w:r>
        <w:t>I</w:t>
      </w:r>
      <w:r>
        <w:rPr>
          <w:rFonts w:hint="eastAsia"/>
        </w:rPr>
        <w:t>图：</w:t>
      </w:r>
    </w:p>
    <w:p>
      <w:pPr>
        <w:ind w:firstLine="420"/>
      </w:pPr>
      <w:r>
        <w:drawing>
          <wp:inline distT="0" distB="0" distL="0" distR="0">
            <wp:extent cx="5274310" cy="1914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业务逻辑</w:t>
      </w:r>
    </w:p>
    <w:p>
      <w:pPr>
        <w:pStyle w:val="51"/>
        <w:numPr>
          <w:ilvl w:val="0"/>
          <w:numId w:val="8"/>
        </w:numPr>
        <w:ind w:firstLineChars="0"/>
      </w:pPr>
      <w:r>
        <w:rPr>
          <w:rFonts w:hint="eastAsia"/>
        </w:rPr>
        <w:t>此功能模块支持运营人员能够在清算信息页面通过基金名称、基金代码来进行查询，查询结果以分页形式体现。</w:t>
      </w:r>
    </w:p>
    <w:p>
      <w:pPr>
        <w:pStyle w:val="51"/>
        <w:ind w:left="840" w:firstLine="0" w:firstLineChars="0"/>
      </w:pPr>
      <w:r>
        <w:rPr>
          <w:rFonts w:hint="eastAsia"/>
        </w:rPr>
        <w:t>查询规则：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5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基金名称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基金代码</w:t>
            </w:r>
          </w:p>
        </w:tc>
        <w:tc>
          <w:tcPr>
            <w:tcW w:w="581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</w:tbl>
    <w:p>
      <w:pPr>
        <w:pStyle w:val="51"/>
        <w:numPr>
          <w:ilvl w:val="0"/>
          <w:numId w:val="8"/>
        </w:numPr>
        <w:ind w:firstLineChars="0"/>
      </w:pPr>
      <w:r>
        <w:rPr>
          <w:rFonts w:hint="eastAsia"/>
        </w:rPr>
        <w:t>运营人员可对查询结果进行导出，导出格式 为EXCEL，并且可下载对应的文件信息（文件来源B</w:t>
      </w:r>
      <w:r>
        <w:t>DS</w:t>
      </w:r>
      <w:r>
        <w:rPr>
          <w:rFonts w:hint="eastAsia"/>
        </w:rPr>
        <w:t>的基金清算流程）。</w:t>
      </w:r>
    </w:p>
    <w:p>
      <w:pPr>
        <w:pStyle w:val="51"/>
        <w:numPr>
          <w:ilvl w:val="0"/>
          <w:numId w:val="8"/>
        </w:numPr>
        <w:ind w:firstLineChars="0"/>
      </w:pPr>
      <w:r>
        <w:rPr>
          <w:rFonts w:hint="eastAsia"/>
        </w:rPr>
        <w:t>运营人员在附件页面双击清算报告，可下载到本地查看</w:t>
      </w:r>
      <w:r>
        <w:rPr>
          <w:rFonts w:hint="eastAsia" w:ascii="Times New Roman" w:hAnsi="Times New Roman" w:eastAsia="宋体" w:cs="Times New Roman"/>
          <w:szCs w:val="20"/>
        </w:rPr>
        <w:t>，附件包含：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43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</w:pPr>
            <w:r>
              <w:t>附件名称关键字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t>流程节点名称</w:t>
            </w:r>
          </w:p>
        </w:tc>
      </w:tr>
      <w:tr>
        <w:tc>
          <w:tcPr>
            <w:tcW w:w="3397" w:type="dxa"/>
          </w:tcPr>
          <w:p>
            <w:pPr>
              <w:pStyle w:val="14"/>
            </w:pPr>
            <w:r>
              <w:rPr>
                <w:rFonts w:hint="eastAsia"/>
                <w:highlight w:val="yellow"/>
              </w:rPr>
              <w:t>清算报告</w:t>
            </w:r>
          </w:p>
        </w:tc>
        <w:tc>
          <w:tcPr>
            <w:tcW w:w="4395" w:type="dxa"/>
          </w:tcPr>
          <w:p>
            <w:pPr>
              <w:pStyle w:val="14"/>
            </w:pPr>
            <w:r>
              <w:rPr>
                <w:rFonts w:hint="eastAsia"/>
              </w:rPr>
              <w:t>运营经理提供清算报告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210" w:firstLineChars="100"/>
            </w:pPr>
          </w:p>
        </w:tc>
        <w:tc>
          <w:tcPr>
            <w:tcW w:w="4395" w:type="dxa"/>
          </w:tcPr>
          <w:p>
            <w:pPr>
              <w:pStyle w:val="14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97" w:type="dxa"/>
          </w:tcPr>
          <w:p>
            <w:pPr>
              <w:pStyle w:val="14"/>
              <w:ind w:firstLine="210" w:firstLineChars="100"/>
              <w:rPr>
                <w:highlight w:val="yellow"/>
              </w:rPr>
            </w:pPr>
          </w:p>
        </w:tc>
        <w:tc>
          <w:tcPr>
            <w:tcW w:w="4395" w:type="dxa"/>
          </w:tcPr>
          <w:p>
            <w:pPr>
              <w:pStyle w:val="14"/>
            </w:pPr>
          </w:p>
        </w:tc>
      </w:tr>
    </w:tbl>
    <w:p>
      <w:pPr>
        <w:ind w:firstLine="0" w:firstLineChars="0"/>
      </w:pPr>
    </w:p>
    <w:p>
      <w:pPr>
        <w:pStyle w:val="4"/>
      </w:pPr>
      <w:r>
        <w:rPr>
          <w:rFonts w:hint="eastAsia"/>
        </w:rPr>
        <w:t>数据来源</w:t>
      </w:r>
    </w:p>
    <w:p>
      <w:pPr>
        <w:ind w:firstLine="420"/>
      </w:pPr>
      <w:r>
        <w:rPr>
          <w:rFonts w:hint="eastAsia"/>
        </w:rPr>
        <w:t>数据来源于BDS-基金清算流程。详细字段如下：</w:t>
      </w:r>
    </w:p>
    <w:tbl>
      <w:tblPr>
        <w:tblStyle w:val="33"/>
        <w:tblW w:w="756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30" w:hRule="atLeast"/>
        </w:trPr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要素名称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要素内容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输入角色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是否可修改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字符类型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要素来源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流程编号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BDS-基金清算流程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BDS-基金清算流程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基金编号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BDS-基金清算流程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00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是否最终清算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0-是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1-否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枚举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BDS-基金清算流程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BDS新增字段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00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本次清算为第N次清算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BDS-基金清算流程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BDS新增字段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运营人员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多行文本框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Gowin手工输入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ind w:firstLine="420"/>
      </w:pPr>
    </w:p>
    <w:p>
      <w:pPr>
        <w:pStyle w:val="2"/>
        <w:rPr>
          <w:sz w:val="36"/>
        </w:rPr>
      </w:pPr>
      <w:r>
        <w:rPr>
          <w:rFonts w:hint="eastAsia"/>
          <w:sz w:val="36"/>
        </w:rPr>
        <w:t>净值查询</w:t>
      </w:r>
    </w:p>
    <w:p>
      <w:pPr>
        <w:pStyle w:val="3"/>
      </w:pPr>
      <w:r>
        <w:t>UI图</w:t>
      </w:r>
    </w:p>
    <w:p>
      <w:pPr>
        <w:ind w:firstLine="420"/>
      </w:pPr>
      <w:r>
        <w:rPr>
          <w:rFonts w:hint="eastAsia"/>
        </w:rPr>
        <w:t>净值查询列表图：</w:t>
      </w:r>
    </w:p>
    <w:p>
      <w:pPr>
        <w:ind w:firstLine="420"/>
      </w:pPr>
      <w:r>
        <w:drawing>
          <wp:inline distT="0" distB="0" distL="0" distR="0">
            <wp:extent cx="5274310" cy="27031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点击查看，可进入净值走势图页面：</w:t>
      </w:r>
    </w:p>
    <w:p>
      <w:pPr>
        <w:ind w:firstLine="420"/>
      </w:pPr>
      <w:r>
        <w:drawing>
          <wp:inline distT="0" distB="0" distL="0" distR="0">
            <wp:extent cx="5274310" cy="33889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点击单位净值+累计净值时显示双曲线图：</w:t>
      </w:r>
    </w:p>
    <w:p>
      <w:pPr>
        <w:ind w:firstLine="420"/>
      </w:pPr>
      <w:r>
        <w:drawing>
          <wp:inline distT="0" distB="0" distL="0" distR="0">
            <wp:extent cx="5274310" cy="33845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3"/>
      </w:pPr>
      <w:r>
        <w:t>业务逻辑</w:t>
      </w:r>
    </w:p>
    <w:p>
      <w:pPr>
        <w:pStyle w:val="51"/>
        <w:numPr>
          <w:ilvl w:val="0"/>
          <w:numId w:val="9"/>
        </w:numPr>
        <w:ind w:firstLineChars="0"/>
      </w:pPr>
      <w:r>
        <w:t>系统读取</w:t>
      </w:r>
      <w:r>
        <w:rPr>
          <w:rFonts w:hint="eastAsia"/>
        </w:rPr>
        <w:t>O</w:t>
      </w:r>
      <w:r>
        <w:t>DC中</w:t>
      </w:r>
      <w:r>
        <w:rPr>
          <w:rFonts w:hint="eastAsia"/>
        </w:rPr>
        <w:t>F</w:t>
      </w:r>
      <w:r>
        <w:t>A的资产估值信息表，自动生成净值查询列表供用户查询和导出；</w:t>
      </w:r>
    </w:p>
    <w:p>
      <w:pPr>
        <w:pStyle w:val="51"/>
        <w:numPr>
          <w:ilvl w:val="0"/>
          <w:numId w:val="9"/>
        </w:numPr>
        <w:ind w:firstLineChars="0"/>
      </w:pPr>
      <w:r>
        <w:t>列表字段包含：基金代码、基金名称、净值日期、单位净值、累计单位净值、基金资产净值、资产份额、净值曲线字段；</w:t>
      </w:r>
    </w:p>
    <w:p>
      <w:pPr>
        <w:pStyle w:val="51"/>
        <w:numPr>
          <w:ilvl w:val="0"/>
          <w:numId w:val="9"/>
        </w:numPr>
        <w:ind w:firstLineChars="0"/>
      </w:pPr>
      <w:r>
        <w:rPr>
          <w:rFonts w:hint="eastAsia"/>
        </w:rPr>
        <w:t>此功能模块支持运营人员在净值查询页面通过基金代码、基金名称、净值日期进行净值查询，查询结果以分页形式进行展示，并可对查询结果进行导出，导出格式 为EXCEL。</w:t>
      </w:r>
    </w:p>
    <w:p>
      <w:pPr>
        <w:ind w:firstLine="420"/>
      </w:pPr>
      <w:r>
        <w:rPr>
          <w:rFonts w:hint="eastAsia"/>
        </w:rPr>
        <w:t>查询规则：</w:t>
      </w:r>
    </w:p>
    <w:tbl>
      <w:tblPr>
        <w:tblStyle w:val="34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6096"/>
      </w:tblGrid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基金代码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基金名称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净值日期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</w:tbl>
    <w:p>
      <w:pPr>
        <w:pStyle w:val="51"/>
        <w:numPr>
          <w:ilvl w:val="0"/>
          <w:numId w:val="10"/>
        </w:numPr>
        <w:ind w:firstLineChars="0"/>
      </w:pPr>
      <w:r>
        <w:rPr>
          <w:rFonts w:hint="eastAsia"/>
        </w:rPr>
        <w:t>运营人员点击净值曲线列表的查看按钮，即可看到净值走势图，进入页面后默认为近1月的单位净值走势，用户可随意切换到单位净值+累计单位净值走势双曲线图页面，用户也可按照</w:t>
      </w:r>
      <w:r>
        <w:t>近</w:t>
      </w:r>
      <w:r>
        <w:rPr>
          <w:rFonts w:hint="eastAsia"/>
        </w:rPr>
        <w:t>1月、近3个月、近1年、成立以来（成立日）和自由选择时间段查询不同时间的净值走势，系统用户输入时间段即按照查询条件展示。</w:t>
      </w:r>
    </w:p>
    <w:p>
      <w:pPr>
        <w:pStyle w:val="51"/>
        <w:numPr>
          <w:ilvl w:val="0"/>
          <w:numId w:val="10"/>
        </w:numPr>
        <w:ind w:firstLineChars="0"/>
      </w:pPr>
      <w:r>
        <w:t>页面字段以及来源：</w:t>
      </w:r>
    </w:p>
    <w:tbl>
      <w:tblPr>
        <w:tblStyle w:val="33"/>
        <w:tblW w:w="87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3"/>
        <w:gridCol w:w="2490"/>
        <w:gridCol w:w="2910"/>
        <w:gridCol w:w="2117"/>
      </w:tblGrid>
      <w:tr>
        <w:trPr>
          <w:trHeight w:val="270" w:hRule="atLeast"/>
        </w:trPr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BACC6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字段名称</w:t>
            </w:r>
          </w:p>
        </w:tc>
        <w:tc>
          <w:tcPr>
            <w:tcW w:w="29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数据来源</w:t>
            </w:r>
          </w:p>
        </w:tc>
        <w:tc>
          <w:tcPr>
            <w:tcW w:w="18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对应字段</w:t>
            </w:r>
          </w:p>
        </w:tc>
        <w:tc>
          <w:tcPr>
            <w:tcW w:w="24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基金代码</w:t>
            </w:r>
          </w:p>
        </w:tc>
        <w:tc>
          <w:tcPr>
            <w:tcW w:w="2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NDC_FA_GZB资产估值信息</w:t>
            </w:r>
          </w:p>
        </w:tc>
        <w:tc>
          <w:tcPr>
            <w:tcW w:w="1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FCODE-基金代码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基金名称</w:t>
            </w:r>
          </w:p>
        </w:tc>
        <w:tc>
          <w:tcPr>
            <w:tcW w:w="2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基金台账</w:t>
            </w:r>
          </w:p>
        </w:tc>
        <w:tc>
          <w:tcPr>
            <w:tcW w:w="1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基金名称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净值日期</w:t>
            </w:r>
          </w:p>
        </w:tc>
        <w:tc>
          <w:tcPr>
            <w:tcW w:w="2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NDC_FA_GZB资产估值信息</w:t>
            </w:r>
          </w:p>
        </w:tc>
        <w:tc>
          <w:tcPr>
            <w:tcW w:w="1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F_TDATE-日期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rPr>
          <w:trHeight w:val="540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单位净值</w:t>
            </w:r>
          </w:p>
        </w:tc>
        <w:tc>
          <w:tcPr>
            <w:tcW w:w="2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NDC_FA_GZB资产估值信息</w:t>
            </w:r>
          </w:p>
        </w:tc>
        <w:tc>
          <w:tcPr>
            <w:tcW w:w="1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EN_SZ-市值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vc_bzw=0110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今日单位净值</w:t>
            </w:r>
          </w:p>
        </w:tc>
      </w:tr>
      <w:tr>
        <w:trPr>
          <w:trHeight w:val="540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累计单位净值</w:t>
            </w:r>
          </w:p>
        </w:tc>
        <w:tc>
          <w:tcPr>
            <w:tcW w:w="2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NDC_FA_GZB资产估值信息</w:t>
            </w:r>
          </w:p>
        </w:tc>
        <w:tc>
          <w:tcPr>
            <w:tcW w:w="1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EN_SZ-市值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vc_bzw=0114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累计单位净值</w:t>
            </w:r>
          </w:p>
        </w:tc>
      </w:tr>
      <w:tr>
        <w:trPr>
          <w:trHeight w:val="540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基金资产净值</w:t>
            </w:r>
          </w:p>
        </w:tc>
        <w:tc>
          <w:tcPr>
            <w:tcW w:w="2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NDC_FA_GZB资产估值信息</w:t>
            </w:r>
          </w:p>
        </w:tc>
        <w:tc>
          <w:tcPr>
            <w:tcW w:w="1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EN_SZ-市值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vc_bzw=0001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基金资产净值</w:t>
            </w:r>
          </w:p>
        </w:tc>
      </w:tr>
      <w:tr>
        <w:trPr>
          <w:trHeight w:val="540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资产份额</w:t>
            </w:r>
          </w:p>
        </w:tc>
        <w:tc>
          <w:tcPr>
            <w:tcW w:w="2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ODC-TA份额变化流水表</w:t>
            </w:r>
          </w:p>
        </w:tc>
        <w:tc>
          <w:tcPr>
            <w:tcW w:w="1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NDC_TA_SHARECURRENTS</w:t>
            </w:r>
          </w:p>
        </w:tc>
        <w:tc>
          <w:tcPr>
            <w:tcW w:w="2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本次发生后余额</w:t>
            </w:r>
          </w:p>
        </w:tc>
      </w:tr>
    </w:tbl>
    <w:p>
      <w:pPr>
        <w:ind w:firstLine="0" w:firstLineChars="0"/>
      </w:pPr>
    </w:p>
    <w:p>
      <w:pPr>
        <w:pStyle w:val="3"/>
      </w:pPr>
      <w:r>
        <w:t>数据来源</w:t>
      </w:r>
    </w:p>
    <w:p>
      <w:pPr>
        <w:pStyle w:val="14"/>
      </w:pPr>
      <w:r>
        <w:rPr>
          <w:rFonts w:hint="eastAsia"/>
        </w:rPr>
        <w:t>ODC中 的</w:t>
      </w:r>
      <w:r>
        <w:rPr>
          <w:rFonts w:hint="eastAsia"/>
          <w:highlight w:val="yellow"/>
        </w:rPr>
        <w:t>1.3.5</w:t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>NDC_FA_GZB 资产估值信息表</w:t>
      </w:r>
      <w:r>
        <w:rPr>
          <w:rFonts w:hint="eastAsia"/>
        </w:rPr>
        <w:t>，该表来源于外包数据。</w:t>
      </w:r>
    </w:p>
    <w:p>
      <w:pPr>
        <w:ind w:firstLine="420"/>
      </w:pPr>
    </w:p>
    <w:p>
      <w:pPr>
        <w:pStyle w:val="2"/>
        <w:rPr>
          <w:sz w:val="36"/>
        </w:rPr>
      </w:pPr>
      <w:r>
        <w:rPr>
          <w:rFonts w:hint="eastAsia"/>
          <w:sz w:val="36"/>
        </w:rPr>
        <w:t>估值表查询</w:t>
      </w:r>
    </w:p>
    <w:p>
      <w:pPr>
        <w:pStyle w:val="3"/>
      </w:pPr>
      <w:r>
        <w:rPr>
          <w:rFonts w:hint="eastAsia"/>
        </w:rPr>
        <w:t>U</w:t>
      </w:r>
      <w:r>
        <w:t>I图</w:t>
      </w:r>
    </w:p>
    <w:p>
      <w:pPr>
        <w:ind w:firstLine="420"/>
      </w:pPr>
      <w:r>
        <w:t>估值表查询</w:t>
      </w:r>
      <w:r>
        <w:rPr>
          <w:rFonts w:hint="eastAsia"/>
        </w:rPr>
        <w:t>U</w:t>
      </w:r>
      <w:r>
        <w:t>I列表图：</w:t>
      </w:r>
    </w:p>
    <w:p>
      <w:pPr>
        <w:ind w:firstLine="420"/>
      </w:pPr>
      <w:r>
        <w:drawing>
          <wp:inline distT="0" distB="0" distL="0" distR="0">
            <wp:extent cx="5274310" cy="27031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业务逻辑</w:t>
      </w:r>
    </w:p>
    <w:p>
      <w:pPr>
        <w:pStyle w:val="51"/>
        <w:numPr>
          <w:ilvl w:val="0"/>
          <w:numId w:val="11"/>
        </w:numPr>
        <w:ind w:firstLineChars="0"/>
      </w:pPr>
      <w:r>
        <w:rPr>
          <w:rFonts w:hint="eastAsia"/>
        </w:rPr>
        <w:t>列表字段包含：基金代码、基金名称、报表日期；</w:t>
      </w:r>
    </w:p>
    <w:p>
      <w:pPr>
        <w:pStyle w:val="51"/>
        <w:numPr>
          <w:ilvl w:val="0"/>
          <w:numId w:val="11"/>
        </w:numPr>
        <w:ind w:firstLineChars="0"/>
      </w:pPr>
      <w:r>
        <w:rPr>
          <w:rFonts w:hint="eastAsia"/>
        </w:rPr>
        <w:t>此功能模块支持运营人员在估值表查询页面通过基金代码、基金名称、报表日期进行估值表查询，查询结果以分页形式进行展示。</w:t>
      </w:r>
    </w:p>
    <w:p>
      <w:pPr>
        <w:ind w:firstLine="420"/>
      </w:pPr>
      <w:r>
        <w:rPr>
          <w:rFonts w:hint="eastAsia"/>
        </w:rPr>
        <w:t>查询规则：</w:t>
      </w:r>
    </w:p>
    <w:tbl>
      <w:tblPr>
        <w:tblStyle w:val="34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6096"/>
      </w:tblGrid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基金代码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基金名称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模糊查询</w:t>
            </w:r>
          </w:p>
        </w:tc>
      </w:tr>
      <w:tr>
        <w:tc>
          <w:tcPr>
            <w:tcW w:w="226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报表日期</w:t>
            </w:r>
          </w:p>
        </w:tc>
        <w:tc>
          <w:tcPr>
            <w:tcW w:w="609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时间段模糊查询，比如2020</w:t>
            </w:r>
            <w:r>
              <w:t>/5/2-2020/6/2</w:t>
            </w:r>
          </w:p>
        </w:tc>
      </w:tr>
    </w:tbl>
    <w:p>
      <w:pPr>
        <w:pStyle w:val="3"/>
      </w:pPr>
      <w:r>
        <w:t>数据来源</w:t>
      </w:r>
    </w:p>
    <w:p>
      <w:pPr>
        <w:ind w:firstLine="420"/>
        <w:rPr>
          <w:rFonts w:hint="eastAsia"/>
        </w:rPr>
      </w:pPr>
      <w:r>
        <w:t>G</w:t>
      </w:r>
      <w:r>
        <w:rPr>
          <w:rFonts w:hint="eastAsia"/>
        </w:rPr>
        <w:t>owin读取O</w:t>
      </w:r>
      <w:r>
        <w:t>DC</w:t>
      </w:r>
      <w:r>
        <w:rPr>
          <w:rFonts w:hint="eastAsia"/>
        </w:rPr>
        <w:t>的资产估值信息表，客户统一模板，把数据统一插入excel中，供客户下载查看，有数据的就显示数据，没有数据的就为空。</w:t>
      </w:r>
    </w:p>
    <w:p>
      <w:pPr>
        <w:pStyle w:val="2"/>
        <w:rPr>
          <w:sz w:val="32"/>
        </w:rPr>
      </w:pPr>
      <w:commentRangeStart w:id="6"/>
      <w:r>
        <w:rPr>
          <w:sz w:val="32"/>
        </w:rPr>
        <w:t>资金路径管理</w:t>
      </w:r>
      <w:commentRangeEnd w:id="6"/>
      <w:r>
        <w:rPr>
          <w:rStyle w:val="32"/>
          <w:b w:val="0"/>
          <w:bCs w:val="0"/>
          <w:kern w:val="2"/>
        </w:rPr>
        <w:commentReference w:id="6"/>
      </w:r>
    </w:p>
    <w:p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图</w:t>
      </w:r>
    </w:p>
    <w:p>
      <w:pPr>
        <w:ind w:firstLine="420"/>
      </w:pPr>
      <w:r>
        <w:rPr>
          <w:rFonts w:hint="eastAsia"/>
        </w:rPr>
        <w:t>资金路径管理列表U</w:t>
      </w:r>
      <w:r>
        <w:t>I</w:t>
      </w:r>
      <w:r>
        <w:rPr>
          <w:rFonts w:hint="eastAsia"/>
        </w:rPr>
        <w:t>图：</w:t>
      </w:r>
    </w:p>
    <w:p>
      <w:pPr>
        <w:ind w:firstLine="420"/>
      </w:pPr>
      <w:r>
        <w:drawing>
          <wp:inline distT="0" distB="0" distL="0" distR="0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点击设置按钮，进入设置页面：</w:t>
      </w:r>
    </w:p>
    <w:p>
      <w:pPr>
        <w:ind w:firstLine="420"/>
      </w:pPr>
      <w:r>
        <w:drawing>
          <wp:inline distT="0" distB="0" distL="0" distR="0">
            <wp:extent cx="5274310" cy="2470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8"/>
        </w:rPr>
      </w:pPr>
      <w:r>
        <w:rPr>
          <w:rFonts w:hint="eastAsia"/>
          <w:sz w:val="28"/>
        </w:rPr>
        <w:t>业务逻辑</w:t>
      </w:r>
    </w:p>
    <w:p>
      <w:pPr>
        <w:pStyle w:val="51"/>
        <w:numPr>
          <w:ilvl w:val="0"/>
          <w:numId w:val="11"/>
        </w:numPr>
        <w:ind w:firstLineChars="0"/>
      </w:pPr>
      <w:r>
        <w:rPr>
          <w:rFonts w:hint="eastAsia"/>
        </w:rPr>
        <w:t>系统自动同步更新基金台账的基金列表到资金路径管理页面，运营人员点击设置按钮可对每只基金设置资金路径。</w:t>
      </w:r>
    </w:p>
    <w:p>
      <w:pPr>
        <w:pStyle w:val="51"/>
        <w:numPr>
          <w:ilvl w:val="0"/>
          <w:numId w:val="11"/>
        </w:numPr>
        <w:ind w:firstLineChars="0"/>
      </w:pPr>
      <w:r>
        <w:rPr>
          <w:highlight w:val="yellow"/>
        </w:rPr>
        <w:t>触发节点：</w:t>
      </w:r>
      <w:r>
        <w:t>系统检测到托管户账户录入后，则触发待办事项给该条产品的运营经理，运营经理登录系统后，可在首页-</w:t>
      </w:r>
      <w:r>
        <w:rPr>
          <w:rFonts w:hint="eastAsia"/>
        </w:rPr>
        <w:t>G</w:t>
      </w:r>
      <w:r>
        <w:t>oWin待办事项中看到待办信息，点击待办信息系统自动跳转到资金路径管理页面，由运营经理设置资金路径。</w:t>
      </w:r>
    </w:p>
    <w:p>
      <w:pPr>
        <w:pStyle w:val="51"/>
        <w:numPr>
          <w:ilvl w:val="0"/>
          <w:numId w:val="11"/>
        </w:numPr>
        <w:ind w:firstLineChars="0"/>
      </w:pPr>
      <w:r>
        <w:rPr>
          <w:rFonts w:hint="eastAsia"/>
        </w:rPr>
        <w:t>资金路径设置页面：用户下拉框可选择该基金产品下的所有开户行（产品中心-账户信息），并支持模糊输入查询。</w:t>
      </w:r>
    </w:p>
    <w:p>
      <w:pPr>
        <w:pStyle w:val="51"/>
        <w:numPr>
          <w:ilvl w:val="0"/>
          <w:numId w:val="11"/>
        </w:numPr>
        <w:ind w:firstLineChars="0"/>
        <w:rPr>
          <w:highlight w:val="yellow"/>
        </w:rPr>
      </w:pPr>
      <w:r>
        <w:t>新增按钮：用户点击新增按钮，则新增一条资金路径。</w:t>
      </w:r>
      <w:r>
        <w:rPr>
          <w:highlight w:val="yellow"/>
        </w:rPr>
        <w:t>资金路径页面只显示最新设置的路径信息。</w:t>
      </w:r>
    </w:p>
    <w:p>
      <w:pPr>
        <w:pStyle w:val="51"/>
        <w:numPr>
          <w:ilvl w:val="0"/>
          <w:numId w:val="8"/>
        </w:numPr>
        <w:ind w:firstLineChars="0"/>
      </w:pPr>
      <w:r>
        <w:t>删除按钮：用户点击删除按钮则删除一条记录，删除需要进行二次提示，以免进行误删。</w:t>
      </w:r>
    </w:p>
    <w:p>
      <w:pPr>
        <w:pStyle w:val="51"/>
        <w:numPr>
          <w:ilvl w:val="0"/>
          <w:numId w:val="11"/>
        </w:numPr>
        <w:ind w:firstLineChars="0"/>
      </w:pPr>
      <w:r>
        <w:rPr>
          <w:rFonts w:hint="eastAsia"/>
        </w:rPr>
        <w:t>重置按钮：用户点击重置按钮，则页面选项全部清空（备注不清空）。</w:t>
      </w:r>
    </w:p>
    <w:p>
      <w:pPr>
        <w:pStyle w:val="51"/>
        <w:numPr>
          <w:ilvl w:val="0"/>
          <w:numId w:val="11"/>
        </w:numPr>
        <w:ind w:firstLineChars="0"/>
      </w:pPr>
      <w:r>
        <w:rPr>
          <w:rFonts w:hint="eastAsia"/>
        </w:rPr>
        <w:t>保存按钮：点击保存按钮则保存所有信息，页面字段值反显到资金路径管理列表页。</w:t>
      </w:r>
    </w:p>
    <w:p>
      <w:pPr>
        <w:pStyle w:val="51"/>
        <w:numPr>
          <w:ilvl w:val="0"/>
          <w:numId w:val="11"/>
        </w:numPr>
        <w:ind w:firstLineChars="0"/>
      </w:pPr>
      <w:r>
        <w:rPr>
          <w:rFonts w:hint="eastAsia"/>
        </w:rPr>
        <w:t>点击关闭X，则不保存信息，页面回到资金路径管理列表页。</w:t>
      </w:r>
    </w:p>
    <w:p>
      <w:pPr>
        <w:pStyle w:val="51"/>
        <w:numPr>
          <w:ilvl w:val="0"/>
          <w:numId w:val="11"/>
        </w:numPr>
        <w:ind w:firstLineChars="0"/>
      </w:pPr>
      <w:r>
        <w:rPr>
          <w:rFonts w:hint="eastAsia"/>
        </w:rPr>
        <w:t>页面字段：</w:t>
      </w:r>
    </w:p>
    <w:tbl>
      <w:tblPr>
        <w:tblStyle w:val="33"/>
        <w:tblW w:w="699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237"/>
        <w:gridCol w:w="2127"/>
        <w:gridCol w:w="1471"/>
      </w:tblGrid>
      <w:tr>
        <w:trPr>
          <w:trHeight w:val="330" w:hRule="atLeast"/>
        </w:trPr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要素名称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是否必输</w:t>
            </w:r>
          </w:p>
        </w:tc>
        <w:tc>
          <w:tcPr>
            <w:tcW w:w="12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字符类型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要素来源</w:t>
            </w:r>
          </w:p>
        </w:tc>
        <w:tc>
          <w:tcPr>
            <w:tcW w:w="14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31869B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基金代码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12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基金台账</w:t>
            </w:r>
          </w:p>
        </w:tc>
        <w:tc>
          <w:tcPr>
            <w:tcW w:w="14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12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字符串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基金台账</w:t>
            </w:r>
          </w:p>
        </w:tc>
        <w:tc>
          <w:tcPr>
            <w:tcW w:w="14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销售户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2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下拉框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该基金产品下的所有开户行</w:t>
            </w:r>
          </w:p>
        </w:tc>
        <w:tc>
          <w:tcPr>
            <w:tcW w:w="14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户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2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下拉框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该基金产品下的所有开户行</w:t>
            </w:r>
          </w:p>
        </w:tc>
        <w:tc>
          <w:tcPr>
            <w:tcW w:w="14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托管户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2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下拉框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该基金产品下的所有开户行</w:t>
            </w:r>
          </w:p>
        </w:tc>
        <w:tc>
          <w:tcPr>
            <w:tcW w:w="14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启用时间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</w:t>
            </w:r>
          </w:p>
        </w:tc>
        <w:tc>
          <w:tcPr>
            <w:tcW w:w="12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日期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系统自动默认当前时间，可修改。如果录入下一条，则上一条的启用时间就取当前日期的T-1日和录入时间当天，取时间段</w:t>
            </w:r>
          </w:p>
        </w:tc>
        <w:tc>
          <w:tcPr>
            <w:tcW w:w="14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rPr>
          <w:trHeight w:val="48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12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多行文本框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Gowin手工输入</w:t>
            </w:r>
          </w:p>
        </w:tc>
        <w:tc>
          <w:tcPr>
            <w:tcW w:w="14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spacing w:line="240" w:lineRule="auto"/>
              <w:ind w:firstLine="0"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51"/>
        <w:ind w:left="840" w:firstLine="0" w:firstLineChars="0"/>
      </w:pPr>
    </w:p>
    <w:p>
      <w:pPr>
        <w:pStyle w:val="3"/>
      </w:pPr>
      <w:r>
        <w:rPr>
          <w:rFonts w:hint="eastAsia"/>
        </w:rPr>
        <w:t>数据来源</w:t>
      </w:r>
    </w:p>
    <w:p>
      <w:pPr>
        <w:ind w:firstLine="420"/>
      </w:pPr>
      <w:r>
        <w:rPr>
          <w:rFonts w:hint="eastAsia"/>
        </w:rPr>
        <w:t>产品中心-账户信息下的所有开户行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7" w:charSpace="60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王梦秋" w:date="2020-07-02T16:11:00Z" w:initials="王梦秋">
    <w:p w14:paraId="FA7BD35A">
      <w:pPr>
        <w:pStyle w:val="12"/>
        <w:ind w:firstLine="420"/>
      </w:pPr>
      <w:r>
        <w:t>历史数据协议转让总价=实际转让总价，所以数据初始化要取实际转让总价的字段</w:t>
      </w:r>
    </w:p>
  </w:comment>
  <w:comment w:id="1" w:author="王梦秋" w:date="2020-07-02T17:54:00Z" w:initials="王梦秋">
    <w:p w14:paraId="1FFBBDDD">
      <w:pPr>
        <w:pStyle w:val="12"/>
        <w:ind w:firstLine="420"/>
      </w:pPr>
      <w:r>
        <w:t>判断规则：</w:t>
      </w:r>
    </w:p>
    <w:p w14:paraId="3BFF99DC">
      <w:pPr>
        <w:pStyle w:val="12"/>
        <w:ind w:firstLine="199" w:firstLineChars="95"/>
      </w:pPr>
      <w:r>
        <w:rPr>
          <w:rFonts w:hint="eastAsia"/>
        </w:rPr>
        <w:t>B</w:t>
      </w:r>
      <w:r>
        <w:t>DS系统流程中同步过来的则为</w:t>
      </w:r>
      <w:r>
        <w:rPr>
          <w:rFonts w:hint="eastAsia"/>
        </w:rPr>
        <w:t>B</w:t>
      </w:r>
      <w:r>
        <w:t>DS</w:t>
      </w:r>
    </w:p>
    <w:p w14:paraId="6BFE09C9">
      <w:pPr>
        <w:pStyle w:val="12"/>
        <w:ind w:firstLine="420"/>
      </w:pPr>
      <w:r>
        <w:t>后台脚本刷入的则为ODC</w:t>
      </w:r>
    </w:p>
  </w:comment>
  <w:comment w:id="2" w:author="王梦秋" w:date="2020-06-29T18:50:00Z" w:initials="王梦秋">
    <w:p w14:paraId="BFD50341">
      <w:pPr>
        <w:pStyle w:val="12"/>
        <w:ind w:firstLine="420"/>
      </w:pPr>
      <w:r>
        <w:t>判断规则：</w:t>
      </w:r>
    </w:p>
    <w:p w14:paraId="FF1FAD49">
      <w:pPr>
        <w:pStyle w:val="12"/>
        <w:ind w:left="361" w:leftChars="172" w:firstLine="420"/>
      </w:pPr>
      <w:r>
        <w:rPr>
          <w:rFonts w:hint="eastAsia"/>
        </w:rPr>
        <w:t>B</w:t>
      </w:r>
      <w:r>
        <w:t>DS系统流程中同步过来的则为</w:t>
      </w:r>
      <w:r>
        <w:rPr>
          <w:rFonts w:hint="eastAsia"/>
        </w:rPr>
        <w:t>B</w:t>
      </w:r>
      <w:r>
        <w:t>DS</w:t>
      </w:r>
    </w:p>
    <w:p w14:paraId="FFBD896B">
      <w:pPr>
        <w:pStyle w:val="12"/>
        <w:ind w:left="181" w:leftChars="86" w:firstLine="420"/>
      </w:pPr>
      <w:r>
        <w:t>后台脚本刷入的则为ODC</w:t>
      </w:r>
    </w:p>
  </w:comment>
  <w:comment w:id="3" w:author="王梦秋" w:date="2020-06-13T11:46:00Z" w:initials="王梦秋">
    <w:p w14:paraId="5BF758A2">
      <w:pPr>
        <w:pStyle w:val="12"/>
        <w:ind w:firstLine="420"/>
      </w:pPr>
      <w:r>
        <w:t>李老师，这个是下拉框查询的值，认购已经包含在里面了</w:t>
      </w:r>
    </w:p>
  </w:comment>
  <w:comment w:id="4" w:author="王梦秋" w:date="2020-06-15T16:15:00Z" w:initials="王梦秋">
    <w:p w14:paraId="7AD80FEF">
      <w:pPr>
        <w:pStyle w:val="12"/>
        <w:ind w:firstLine="420"/>
      </w:pPr>
      <w:r>
        <w:rPr>
          <w:rFonts w:hint="eastAsia"/>
          <w:highlight w:val="yellow"/>
        </w:rPr>
        <w:t>陈总提出分配的自动计算，3期实现</w:t>
      </w:r>
      <w:r>
        <w:rPr>
          <w:rFonts w:hint="eastAsia"/>
        </w:rPr>
        <w:t>，分配参数页是分配管理的基础数据，分配参数的排期在3期，所以分配的计算一起放在3期实现。我们现在先把2期的需求梳理好定稿，不影响开发排期进度，请知悉！</w:t>
      </w:r>
    </w:p>
  </w:comment>
  <w:comment w:id="5" w:author="王梦秋" w:date="2020-06-29T19:11:00Z" w:initials="王梦秋">
    <w:p w14:paraId="7D1F5E4A">
      <w:pPr>
        <w:pStyle w:val="12"/>
        <w:ind w:firstLine="420"/>
      </w:pPr>
      <w:r>
        <w:t>判断规则：</w:t>
      </w:r>
    </w:p>
    <w:p w14:paraId="97BCE9C1">
      <w:pPr>
        <w:pStyle w:val="12"/>
        <w:ind w:left="361" w:leftChars="172" w:firstLine="420"/>
      </w:pPr>
      <w:r>
        <w:rPr>
          <w:rFonts w:hint="eastAsia"/>
        </w:rPr>
        <w:t>B</w:t>
      </w:r>
      <w:r>
        <w:t>DS系统流程中同步过来的则为</w:t>
      </w:r>
      <w:r>
        <w:rPr>
          <w:rFonts w:hint="eastAsia"/>
        </w:rPr>
        <w:t>B</w:t>
      </w:r>
      <w:r>
        <w:t>DS</w:t>
      </w:r>
    </w:p>
    <w:p w14:paraId="341D7DD4">
      <w:pPr>
        <w:pStyle w:val="12"/>
        <w:ind w:firstLine="420"/>
      </w:pPr>
      <w:r>
        <w:t>后台脚本刷入的则为ODC</w:t>
      </w:r>
    </w:p>
  </w:comment>
  <w:comment w:id="6" w:author="王梦秋" w:date="2020-06-22T15:15:00Z" w:initials="王梦秋">
    <w:p w14:paraId="F9DFDEEA">
      <w:pPr>
        <w:pStyle w:val="12"/>
        <w:ind w:firstLine="420"/>
      </w:pPr>
      <w:r>
        <w:t>触发节点</w:t>
      </w:r>
    </w:p>
    <w:p w14:paraId="7CFDD2CB">
      <w:pPr>
        <w:pStyle w:val="12"/>
        <w:ind w:left="181" w:leftChars="86" w:firstLine="420"/>
      </w:pPr>
      <w:r>
        <w:t>托管户开好后录入，发送待办，点待办跳转</w:t>
      </w:r>
    </w:p>
    <w:p w14:paraId="37F93365">
      <w:pPr>
        <w:pStyle w:val="12"/>
        <w:ind w:left="181" w:leftChars="86" w:firstLine="420"/>
      </w:pPr>
      <w:r>
        <w:rPr>
          <w:rFonts w:hint="eastAsia"/>
        </w:rPr>
        <w:t>C</w:t>
      </w:r>
      <w:r>
        <w:t>MS同步时效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FA7BD35A" w15:done="0"/>
  <w15:commentEx w15:paraId="6BFE09C9" w15:done="0"/>
  <w15:commentEx w15:paraId="FFBD896B" w15:done="0"/>
  <w15:commentEx w15:paraId="5BF758A2" w15:done="0"/>
  <w15:commentEx w15:paraId="7AD80FEF" w15:done="0"/>
  <w15:commentEx w15:paraId="341D7DD4" w15:done="0"/>
  <w15:commentEx w15:paraId="37F93365" w15:done="0"/>
</w15:commentsEx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文鼎新艺体">
    <w:altName w:val="苹方-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pBdr>
        <w:bottom w:val="none" w:color="auto" w:sz="0" w:space="0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pBdr>
        <w:bottom w:val="none" w:color="auto" w:sz="0" w:space="0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D184D"/>
    <w:multiLevelType w:val="multilevel"/>
    <w:tmpl w:val="09DD184D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0A8E0B40"/>
    <w:multiLevelType w:val="multilevel"/>
    <w:tmpl w:val="0A8E0B4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21BF4A31"/>
    <w:multiLevelType w:val="multilevel"/>
    <w:tmpl w:val="21BF4A31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23B92493"/>
    <w:multiLevelType w:val="multilevel"/>
    <w:tmpl w:val="23B92493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26D44419"/>
    <w:multiLevelType w:val="multilevel"/>
    <w:tmpl w:val="26D44419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2DA66D2D"/>
    <w:multiLevelType w:val="multilevel"/>
    <w:tmpl w:val="2DA66D2D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2DE57136"/>
    <w:multiLevelType w:val="multilevel"/>
    <w:tmpl w:val="2DE57136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39D97745"/>
    <w:multiLevelType w:val="multilevel"/>
    <w:tmpl w:val="39D9774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46FD28D2"/>
    <w:multiLevelType w:val="multilevel"/>
    <w:tmpl w:val="46FD28D2"/>
    <w:lvl w:ilvl="0" w:tentative="0">
      <w:start w:val="1"/>
      <w:numFmt w:val="bullet"/>
      <w:lvlText w:val=""/>
      <w:lvlJc w:val="left"/>
      <w:pPr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10" w:hanging="420"/>
      </w:pPr>
      <w:rPr>
        <w:rFonts w:hint="default" w:ascii="Wingdings" w:hAnsi="Wingdings"/>
      </w:rPr>
    </w:lvl>
  </w:abstractNum>
  <w:abstractNum w:abstractNumId="9">
    <w:nsid w:val="4C6742E9"/>
    <w:multiLevelType w:val="multilevel"/>
    <w:tmpl w:val="4C6742E9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61C87402"/>
    <w:multiLevelType w:val="multilevel"/>
    <w:tmpl w:val="61C8740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8"/>
  </w:num>
  <w:num w:numId="6">
    <w:abstractNumId w:val="7"/>
  </w:num>
  <w:num w:numId="7">
    <w:abstractNumId w:val="9"/>
  </w:num>
  <w:num w:numId="8">
    <w:abstractNumId w:val="6"/>
  </w:num>
  <w:num w:numId="9">
    <w:abstractNumId w:val="0"/>
  </w:num>
  <w:num w:numId="10">
    <w:abstractNumId w:val="10"/>
  </w:num>
  <w:num w:numId="11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王梦秋">
    <w15:presenceInfo w15:providerId="None" w15:userId="王梦秋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HorizontalSpacing w:val="213"/>
  <w:drawingGridVerticalSpacing w:val="31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66B"/>
    <w:rsid w:val="0000055C"/>
    <w:rsid w:val="0000238C"/>
    <w:rsid w:val="000023EC"/>
    <w:rsid w:val="000024B0"/>
    <w:rsid w:val="000025C7"/>
    <w:rsid w:val="000032EB"/>
    <w:rsid w:val="00004948"/>
    <w:rsid w:val="00004E39"/>
    <w:rsid w:val="00005DD8"/>
    <w:rsid w:val="00006122"/>
    <w:rsid w:val="000074A2"/>
    <w:rsid w:val="00007A5B"/>
    <w:rsid w:val="00011A78"/>
    <w:rsid w:val="000124D9"/>
    <w:rsid w:val="00012F56"/>
    <w:rsid w:val="00013405"/>
    <w:rsid w:val="00014B96"/>
    <w:rsid w:val="00015D70"/>
    <w:rsid w:val="000169A8"/>
    <w:rsid w:val="000201EB"/>
    <w:rsid w:val="000205CB"/>
    <w:rsid w:val="000211AC"/>
    <w:rsid w:val="00022697"/>
    <w:rsid w:val="00023B16"/>
    <w:rsid w:val="00023BE9"/>
    <w:rsid w:val="00023F03"/>
    <w:rsid w:val="00024088"/>
    <w:rsid w:val="00024809"/>
    <w:rsid w:val="00025883"/>
    <w:rsid w:val="000278E8"/>
    <w:rsid w:val="00027F2E"/>
    <w:rsid w:val="00030268"/>
    <w:rsid w:val="00030579"/>
    <w:rsid w:val="0003230A"/>
    <w:rsid w:val="00033D39"/>
    <w:rsid w:val="00033E07"/>
    <w:rsid w:val="0003559F"/>
    <w:rsid w:val="0004162F"/>
    <w:rsid w:val="000422D2"/>
    <w:rsid w:val="000423E3"/>
    <w:rsid w:val="00042749"/>
    <w:rsid w:val="00042B90"/>
    <w:rsid w:val="0004390E"/>
    <w:rsid w:val="00043917"/>
    <w:rsid w:val="0004473D"/>
    <w:rsid w:val="00044F80"/>
    <w:rsid w:val="00045B93"/>
    <w:rsid w:val="00047815"/>
    <w:rsid w:val="000540AC"/>
    <w:rsid w:val="0005485B"/>
    <w:rsid w:val="00054D20"/>
    <w:rsid w:val="000567DF"/>
    <w:rsid w:val="000601B7"/>
    <w:rsid w:val="000601BD"/>
    <w:rsid w:val="00061DCA"/>
    <w:rsid w:val="00064586"/>
    <w:rsid w:val="0006489F"/>
    <w:rsid w:val="00064E34"/>
    <w:rsid w:val="00064F6B"/>
    <w:rsid w:val="00065F11"/>
    <w:rsid w:val="0006638C"/>
    <w:rsid w:val="00066673"/>
    <w:rsid w:val="0006739C"/>
    <w:rsid w:val="0006765C"/>
    <w:rsid w:val="00070B26"/>
    <w:rsid w:val="00071C8A"/>
    <w:rsid w:val="00074160"/>
    <w:rsid w:val="00074B72"/>
    <w:rsid w:val="00075BA4"/>
    <w:rsid w:val="00077892"/>
    <w:rsid w:val="00077BE2"/>
    <w:rsid w:val="00081A7E"/>
    <w:rsid w:val="00082D7B"/>
    <w:rsid w:val="0008324A"/>
    <w:rsid w:val="00083416"/>
    <w:rsid w:val="00083890"/>
    <w:rsid w:val="000853BD"/>
    <w:rsid w:val="0008652F"/>
    <w:rsid w:val="00086AF2"/>
    <w:rsid w:val="00092E04"/>
    <w:rsid w:val="0009328E"/>
    <w:rsid w:val="00093AE3"/>
    <w:rsid w:val="00093BD0"/>
    <w:rsid w:val="000949E5"/>
    <w:rsid w:val="00095270"/>
    <w:rsid w:val="000953C8"/>
    <w:rsid w:val="000A295F"/>
    <w:rsid w:val="000A4805"/>
    <w:rsid w:val="000A5A06"/>
    <w:rsid w:val="000A5DAD"/>
    <w:rsid w:val="000A605A"/>
    <w:rsid w:val="000B1C8A"/>
    <w:rsid w:val="000B20CB"/>
    <w:rsid w:val="000B2D1F"/>
    <w:rsid w:val="000B4968"/>
    <w:rsid w:val="000B72B1"/>
    <w:rsid w:val="000B74F9"/>
    <w:rsid w:val="000C175F"/>
    <w:rsid w:val="000C21F9"/>
    <w:rsid w:val="000C3B88"/>
    <w:rsid w:val="000C44C8"/>
    <w:rsid w:val="000C7EA1"/>
    <w:rsid w:val="000C7EDB"/>
    <w:rsid w:val="000D0199"/>
    <w:rsid w:val="000D04B2"/>
    <w:rsid w:val="000D0F09"/>
    <w:rsid w:val="000D1BDC"/>
    <w:rsid w:val="000D4378"/>
    <w:rsid w:val="000D481E"/>
    <w:rsid w:val="000D795E"/>
    <w:rsid w:val="000D7B08"/>
    <w:rsid w:val="000E2CC5"/>
    <w:rsid w:val="000E346E"/>
    <w:rsid w:val="000E47F4"/>
    <w:rsid w:val="000E62F8"/>
    <w:rsid w:val="000E7DA9"/>
    <w:rsid w:val="000F02C0"/>
    <w:rsid w:val="000F0764"/>
    <w:rsid w:val="000F1A04"/>
    <w:rsid w:val="000F4C3E"/>
    <w:rsid w:val="000F7D29"/>
    <w:rsid w:val="001018B1"/>
    <w:rsid w:val="00101DEC"/>
    <w:rsid w:val="0010203C"/>
    <w:rsid w:val="00110214"/>
    <w:rsid w:val="001110E6"/>
    <w:rsid w:val="00112B19"/>
    <w:rsid w:val="00112BF6"/>
    <w:rsid w:val="001137EC"/>
    <w:rsid w:val="0011586C"/>
    <w:rsid w:val="001165F6"/>
    <w:rsid w:val="00121AE3"/>
    <w:rsid w:val="00124D41"/>
    <w:rsid w:val="00124DD8"/>
    <w:rsid w:val="001253F4"/>
    <w:rsid w:val="00125CC4"/>
    <w:rsid w:val="00125D37"/>
    <w:rsid w:val="00126450"/>
    <w:rsid w:val="0013304C"/>
    <w:rsid w:val="00134BEF"/>
    <w:rsid w:val="00136971"/>
    <w:rsid w:val="00137593"/>
    <w:rsid w:val="00137CE3"/>
    <w:rsid w:val="001404DD"/>
    <w:rsid w:val="00142317"/>
    <w:rsid w:val="00146C9A"/>
    <w:rsid w:val="001476E8"/>
    <w:rsid w:val="00147E2A"/>
    <w:rsid w:val="00153AA7"/>
    <w:rsid w:val="0016046B"/>
    <w:rsid w:val="00160D93"/>
    <w:rsid w:val="001614E2"/>
    <w:rsid w:val="001626F1"/>
    <w:rsid w:val="00162986"/>
    <w:rsid w:val="0016586C"/>
    <w:rsid w:val="00165ED2"/>
    <w:rsid w:val="00166D12"/>
    <w:rsid w:val="00167145"/>
    <w:rsid w:val="00167656"/>
    <w:rsid w:val="0016767B"/>
    <w:rsid w:val="001703DB"/>
    <w:rsid w:val="001714AB"/>
    <w:rsid w:val="00172E63"/>
    <w:rsid w:val="001738AF"/>
    <w:rsid w:val="001739CD"/>
    <w:rsid w:val="001742C4"/>
    <w:rsid w:val="00176ADA"/>
    <w:rsid w:val="00177BA4"/>
    <w:rsid w:val="00180872"/>
    <w:rsid w:val="001813C2"/>
    <w:rsid w:val="00183E4D"/>
    <w:rsid w:val="00185489"/>
    <w:rsid w:val="0018575E"/>
    <w:rsid w:val="001861B2"/>
    <w:rsid w:val="0018763A"/>
    <w:rsid w:val="001905F4"/>
    <w:rsid w:val="00191A19"/>
    <w:rsid w:val="00193A17"/>
    <w:rsid w:val="001950B6"/>
    <w:rsid w:val="00196762"/>
    <w:rsid w:val="001A04CA"/>
    <w:rsid w:val="001A1594"/>
    <w:rsid w:val="001A18CD"/>
    <w:rsid w:val="001A31B7"/>
    <w:rsid w:val="001A3C29"/>
    <w:rsid w:val="001A48C2"/>
    <w:rsid w:val="001A4B0F"/>
    <w:rsid w:val="001A5411"/>
    <w:rsid w:val="001A58C5"/>
    <w:rsid w:val="001A5988"/>
    <w:rsid w:val="001A6C9A"/>
    <w:rsid w:val="001A6EDB"/>
    <w:rsid w:val="001B1EE3"/>
    <w:rsid w:val="001B20A5"/>
    <w:rsid w:val="001B40E5"/>
    <w:rsid w:val="001B5CA5"/>
    <w:rsid w:val="001B5D43"/>
    <w:rsid w:val="001B6748"/>
    <w:rsid w:val="001C2C76"/>
    <w:rsid w:val="001C3269"/>
    <w:rsid w:val="001C4BDC"/>
    <w:rsid w:val="001C5829"/>
    <w:rsid w:val="001C6040"/>
    <w:rsid w:val="001D12DF"/>
    <w:rsid w:val="001D1E49"/>
    <w:rsid w:val="001D1F59"/>
    <w:rsid w:val="001D1F84"/>
    <w:rsid w:val="001D2D72"/>
    <w:rsid w:val="001D5110"/>
    <w:rsid w:val="001D5996"/>
    <w:rsid w:val="001E3CBD"/>
    <w:rsid w:val="001E45FD"/>
    <w:rsid w:val="001E60CA"/>
    <w:rsid w:val="001E6C6F"/>
    <w:rsid w:val="001E78CF"/>
    <w:rsid w:val="001F091E"/>
    <w:rsid w:val="001F219D"/>
    <w:rsid w:val="001F36B2"/>
    <w:rsid w:val="001F52AD"/>
    <w:rsid w:val="001F57A7"/>
    <w:rsid w:val="002016C2"/>
    <w:rsid w:val="00201D89"/>
    <w:rsid w:val="00202DDE"/>
    <w:rsid w:val="00203658"/>
    <w:rsid w:val="0020459B"/>
    <w:rsid w:val="00206108"/>
    <w:rsid w:val="00206500"/>
    <w:rsid w:val="00206B69"/>
    <w:rsid w:val="00215BA8"/>
    <w:rsid w:val="00215F6F"/>
    <w:rsid w:val="00216C49"/>
    <w:rsid w:val="0022126A"/>
    <w:rsid w:val="00222A41"/>
    <w:rsid w:val="00222DDB"/>
    <w:rsid w:val="00230714"/>
    <w:rsid w:val="002328F6"/>
    <w:rsid w:val="00232DD7"/>
    <w:rsid w:val="00234C48"/>
    <w:rsid w:val="0023535B"/>
    <w:rsid w:val="00236BC8"/>
    <w:rsid w:val="00237AEB"/>
    <w:rsid w:val="002425B6"/>
    <w:rsid w:val="0024432F"/>
    <w:rsid w:val="0024705C"/>
    <w:rsid w:val="002505AF"/>
    <w:rsid w:val="00250625"/>
    <w:rsid w:val="00250729"/>
    <w:rsid w:val="00253602"/>
    <w:rsid w:val="00253B67"/>
    <w:rsid w:val="002541FA"/>
    <w:rsid w:val="00254FF1"/>
    <w:rsid w:val="00255CF6"/>
    <w:rsid w:val="00256146"/>
    <w:rsid w:val="00260DFB"/>
    <w:rsid w:val="0026106D"/>
    <w:rsid w:val="002626A6"/>
    <w:rsid w:val="002639FC"/>
    <w:rsid w:val="00266651"/>
    <w:rsid w:val="002677C4"/>
    <w:rsid w:val="00267B50"/>
    <w:rsid w:val="00270769"/>
    <w:rsid w:val="00271939"/>
    <w:rsid w:val="002748E0"/>
    <w:rsid w:val="0027578E"/>
    <w:rsid w:val="002759D7"/>
    <w:rsid w:val="00275D2E"/>
    <w:rsid w:val="00277869"/>
    <w:rsid w:val="00277BF2"/>
    <w:rsid w:val="00283803"/>
    <w:rsid w:val="002842BB"/>
    <w:rsid w:val="00285590"/>
    <w:rsid w:val="00286E65"/>
    <w:rsid w:val="00290FF9"/>
    <w:rsid w:val="002922CF"/>
    <w:rsid w:val="00294B9D"/>
    <w:rsid w:val="002A1B58"/>
    <w:rsid w:val="002A29B8"/>
    <w:rsid w:val="002A3A33"/>
    <w:rsid w:val="002A3C08"/>
    <w:rsid w:val="002A4902"/>
    <w:rsid w:val="002A583E"/>
    <w:rsid w:val="002A715A"/>
    <w:rsid w:val="002B27D6"/>
    <w:rsid w:val="002B2C56"/>
    <w:rsid w:val="002B2DFB"/>
    <w:rsid w:val="002B3933"/>
    <w:rsid w:val="002B40F3"/>
    <w:rsid w:val="002B6E49"/>
    <w:rsid w:val="002C048C"/>
    <w:rsid w:val="002C0E66"/>
    <w:rsid w:val="002C15CE"/>
    <w:rsid w:val="002C1939"/>
    <w:rsid w:val="002C3340"/>
    <w:rsid w:val="002C54D6"/>
    <w:rsid w:val="002D089A"/>
    <w:rsid w:val="002D288E"/>
    <w:rsid w:val="002D2F0B"/>
    <w:rsid w:val="002D4E9E"/>
    <w:rsid w:val="002D6518"/>
    <w:rsid w:val="002D69C3"/>
    <w:rsid w:val="002D7D03"/>
    <w:rsid w:val="002E08DC"/>
    <w:rsid w:val="002E1A6B"/>
    <w:rsid w:val="002E1C3F"/>
    <w:rsid w:val="002E20B6"/>
    <w:rsid w:val="002E2982"/>
    <w:rsid w:val="002E2ED8"/>
    <w:rsid w:val="002E32FB"/>
    <w:rsid w:val="002E32FF"/>
    <w:rsid w:val="002E5835"/>
    <w:rsid w:val="002E69B4"/>
    <w:rsid w:val="002E71A0"/>
    <w:rsid w:val="002E79ED"/>
    <w:rsid w:val="002F1166"/>
    <w:rsid w:val="002F233E"/>
    <w:rsid w:val="002F41CC"/>
    <w:rsid w:val="002F4CD8"/>
    <w:rsid w:val="002F5EA9"/>
    <w:rsid w:val="002F6759"/>
    <w:rsid w:val="00301BBF"/>
    <w:rsid w:val="00301FE7"/>
    <w:rsid w:val="00302196"/>
    <w:rsid w:val="003050C8"/>
    <w:rsid w:val="00305DE3"/>
    <w:rsid w:val="00307220"/>
    <w:rsid w:val="00307E33"/>
    <w:rsid w:val="003117DF"/>
    <w:rsid w:val="00312BA6"/>
    <w:rsid w:val="00312E9C"/>
    <w:rsid w:val="00315CB7"/>
    <w:rsid w:val="0031628E"/>
    <w:rsid w:val="00320307"/>
    <w:rsid w:val="00320E1D"/>
    <w:rsid w:val="0032238F"/>
    <w:rsid w:val="0032239F"/>
    <w:rsid w:val="003240D6"/>
    <w:rsid w:val="003245C4"/>
    <w:rsid w:val="0032577A"/>
    <w:rsid w:val="003266F3"/>
    <w:rsid w:val="0032672D"/>
    <w:rsid w:val="00327619"/>
    <w:rsid w:val="003308B3"/>
    <w:rsid w:val="00333A79"/>
    <w:rsid w:val="003342C7"/>
    <w:rsid w:val="00335F4A"/>
    <w:rsid w:val="00337B4D"/>
    <w:rsid w:val="003409FF"/>
    <w:rsid w:val="00340DC4"/>
    <w:rsid w:val="00340F07"/>
    <w:rsid w:val="003431FA"/>
    <w:rsid w:val="0034358D"/>
    <w:rsid w:val="00344B58"/>
    <w:rsid w:val="00346545"/>
    <w:rsid w:val="003476D5"/>
    <w:rsid w:val="00353CE9"/>
    <w:rsid w:val="00354779"/>
    <w:rsid w:val="00356607"/>
    <w:rsid w:val="00356802"/>
    <w:rsid w:val="00357A06"/>
    <w:rsid w:val="0036096D"/>
    <w:rsid w:val="003623F7"/>
    <w:rsid w:val="00363061"/>
    <w:rsid w:val="003631A5"/>
    <w:rsid w:val="003647CB"/>
    <w:rsid w:val="00364EA6"/>
    <w:rsid w:val="00365098"/>
    <w:rsid w:val="0036515F"/>
    <w:rsid w:val="00366243"/>
    <w:rsid w:val="0036676E"/>
    <w:rsid w:val="00370A35"/>
    <w:rsid w:val="003714C4"/>
    <w:rsid w:val="00371B3E"/>
    <w:rsid w:val="00373178"/>
    <w:rsid w:val="00374BCA"/>
    <w:rsid w:val="0037509A"/>
    <w:rsid w:val="00375496"/>
    <w:rsid w:val="00375B75"/>
    <w:rsid w:val="0037621C"/>
    <w:rsid w:val="00376F91"/>
    <w:rsid w:val="00381162"/>
    <w:rsid w:val="00381470"/>
    <w:rsid w:val="00381C01"/>
    <w:rsid w:val="00381FF3"/>
    <w:rsid w:val="00383850"/>
    <w:rsid w:val="00385F1D"/>
    <w:rsid w:val="00386F3A"/>
    <w:rsid w:val="00387526"/>
    <w:rsid w:val="00387605"/>
    <w:rsid w:val="00387CD1"/>
    <w:rsid w:val="00387F32"/>
    <w:rsid w:val="00390B96"/>
    <w:rsid w:val="00391372"/>
    <w:rsid w:val="0039143E"/>
    <w:rsid w:val="003935DC"/>
    <w:rsid w:val="00393CBB"/>
    <w:rsid w:val="00395C67"/>
    <w:rsid w:val="00396005"/>
    <w:rsid w:val="00396E74"/>
    <w:rsid w:val="003A1E17"/>
    <w:rsid w:val="003A2813"/>
    <w:rsid w:val="003A4BE1"/>
    <w:rsid w:val="003A50BD"/>
    <w:rsid w:val="003B0794"/>
    <w:rsid w:val="003B11F3"/>
    <w:rsid w:val="003B26EA"/>
    <w:rsid w:val="003B4B8B"/>
    <w:rsid w:val="003B5F94"/>
    <w:rsid w:val="003C0A45"/>
    <w:rsid w:val="003C0D38"/>
    <w:rsid w:val="003C477D"/>
    <w:rsid w:val="003C5C12"/>
    <w:rsid w:val="003C629A"/>
    <w:rsid w:val="003D28C2"/>
    <w:rsid w:val="003D3623"/>
    <w:rsid w:val="003D4A77"/>
    <w:rsid w:val="003D730A"/>
    <w:rsid w:val="003E0502"/>
    <w:rsid w:val="003E53E9"/>
    <w:rsid w:val="003E5DF6"/>
    <w:rsid w:val="003E69F8"/>
    <w:rsid w:val="003E79EC"/>
    <w:rsid w:val="003E7FA7"/>
    <w:rsid w:val="003F06D0"/>
    <w:rsid w:val="003F1D07"/>
    <w:rsid w:val="003F3F91"/>
    <w:rsid w:val="003F66ED"/>
    <w:rsid w:val="003F685C"/>
    <w:rsid w:val="003F6DE2"/>
    <w:rsid w:val="003F7DB1"/>
    <w:rsid w:val="003F7DCC"/>
    <w:rsid w:val="004032CB"/>
    <w:rsid w:val="00403689"/>
    <w:rsid w:val="00403E72"/>
    <w:rsid w:val="00404198"/>
    <w:rsid w:val="00404AF2"/>
    <w:rsid w:val="0040570E"/>
    <w:rsid w:val="00405D6C"/>
    <w:rsid w:val="00406609"/>
    <w:rsid w:val="004067CC"/>
    <w:rsid w:val="00407908"/>
    <w:rsid w:val="00411656"/>
    <w:rsid w:val="00412F91"/>
    <w:rsid w:val="00413577"/>
    <w:rsid w:val="00414C38"/>
    <w:rsid w:val="0041613C"/>
    <w:rsid w:val="00416886"/>
    <w:rsid w:val="004169A2"/>
    <w:rsid w:val="00417DB4"/>
    <w:rsid w:val="004212B8"/>
    <w:rsid w:val="00421BE2"/>
    <w:rsid w:val="00426B27"/>
    <w:rsid w:val="00427818"/>
    <w:rsid w:val="0043074E"/>
    <w:rsid w:val="00430E60"/>
    <w:rsid w:val="00432397"/>
    <w:rsid w:val="0043271C"/>
    <w:rsid w:val="00435713"/>
    <w:rsid w:val="00435B00"/>
    <w:rsid w:val="00437EAF"/>
    <w:rsid w:val="00441116"/>
    <w:rsid w:val="00441DF4"/>
    <w:rsid w:val="00443E75"/>
    <w:rsid w:val="00445126"/>
    <w:rsid w:val="00445E30"/>
    <w:rsid w:val="00445E65"/>
    <w:rsid w:val="00445F69"/>
    <w:rsid w:val="004476CC"/>
    <w:rsid w:val="004503F3"/>
    <w:rsid w:val="00450A01"/>
    <w:rsid w:val="00450E0D"/>
    <w:rsid w:val="004510AC"/>
    <w:rsid w:val="00451F6E"/>
    <w:rsid w:val="004529AD"/>
    <w:rsid w:val="004536F5"/>
    <w:rsid w:val="00453D7E"/>
    <w:rsid w:val="0045441E"/>
    <w:rsid w:val="00454E4C"/>
    <w:rsid w:val="00457326"/>
    <w:rsid w:val="00460BDE"/>
    <w:rsid w:val="00461D89"/>
    <w:rsid w:val="004624A1"/>
    <w:rsid w:val="00462686"/>
    <w:rsid w:val="00462A18"/>
    <w:rsid w:val="00465680"/>
    <w:rsid w:val="00465AF7"/>
    <w:rsid w:val="00467A59"/>
    <w:rsid w:val="00472504"/>
    <w:rsid w:val="004727F5"/>
    <w:rsid w:val="00474458"/>
    <w:rsid w:val="00475000"/>
    <w:rsid w:val="0047552B"/>
    <w:rsid w:val="00475EA5"/>
    <w:rsid w:val="00477360"/>
    <w:rsid w:val="00477E70"/>
    <w:rsid w:val="00477F65"/>
    <w:rsid w:val="00485AC2"/>
    <w:rsid w:val="00486109"/>
    <w:rsid w:val="00486458"/>
    <w:rsid w:val="004867D7"/>
    <w:rsid w:val="004869DD"/>
    <w:rsid w:val="00487893"/>
    <w:rsid w:val="0049100F"/>
    <w:rsid w:val="004935ED"/>
    <w:rsid w:val="004939E9"/>
    <w:rsid w:val="004941BC"/>
    <w:rsid w:val="00494280"/>
    <w:rsid w:val="0049466D"/>
    <w:rsid w:val="00495BBF"/>
    <w:rsid w:val="00495C22"/>
    <w:rsid w:val="00495EB6"/>
    <w:rsid w:val="00497820"/>
    <w:rsid w:val="004A12B0"/>
    <w:rsid w:val="004A3473"/>
    <w:rsid w:val="004A34D2"/>
    <w:rsid w:val="004A50C6"/>
    <w:rsid w:val="004A7ED2"/>
    <w:rsid w:val="004B0F36"/>
    <w:rsid w:val="004B1ECA"/>
    <w:rsid w:val="004B34F8"/>
    <w:rsid w:val="004B4ED9"/>
    <w:rsid w:val="004B5B8F"/>
    <w:rsid w:val="004C1282"/>
    <w:rsid w:val="004C1455"/>
    <w:rsid w:val="004C25D6"/>
    <w:rsid w:val="004C331A"/>
    <w:rsid w:val="004C5348"/>
    <w:rsid w:val="004C587D"/>
    <w:rsid w:val="004C5930"/>
    <w:rsid w:val="004C599A"/>
    <w:rsid w:val="004C5ACD"/>
    <w:rsid w:val="004C5BE7"/>
    <w:rsid w:val="004C5C7A"/>
    <w:rsid w:val="004C6C9E"/>
    <w:rsid w:val="004D1A13"/>
    <w:rsid w:val="004D2983"/>
    <w:rsid w:val="004D40BF"/>
    <w:rsid w:val="004D5B1B"/>
    <w:rsid w:val="004D6E5E"/>
    <w:rsid w:val="004D70F1"/>
    <w:rsid w:val="004D7B1D"/>
    <w:rsid w:val="004E35FD"/>
    <w:rsid w:val="004E4E07"/>
    <w:rsid w:val="004E61B8"/>
    <w:rsid w:val="004E7C57"/>
    <w:rsid w:val="004F00F2"/>
    <w:rsid w:val="004F446F"/>
    <w:rsid w:val="004F50F3"/>
    <w:rsid w:val="004F607B"/>
    <w:rsid w:val="004F71CD"/>
    <w:rsid w:val="004F7223"/>
    <w:rsid w:val="004F7443"/>
    <w:rsid w:val="004F7833"/>
    <w:rsid w:val="00500158"/>
    <w:rsid w:val="00500880"/>
    <w:rsid w:val="005015C0"/>
    <w:rsid w:val="0050219D"/>
    <w:rsid w:val="005028BC"/>
    <w:rsid w:val="00505D44"/>
    <w:rsid w:val="00507178"/>
    <w:rsid w:val="00507619"/>
    <w:rsid w:val="005101B8"/>
    <w:rsid w:val="00510548"/>
    <w:rsid w:val="00510579"/>
    <w:rsid w:val="00510FAF"/>
    <w:rsid w:val="00511282"/>
    <w:rsid w:val="005119B0"/>
    <w:rsid w:val="005133DD"/>
    <w:rsid w:val="005139B9"/>
    <w:rsid w:val="00514018"/>
    <w:rsid w:val="005149C8"/>
    <w:rsid w:val="00520EBA"/>
    <w:rsid w:val="0052152F"/>
    <w:rsid w:val="005220B9"/>
    <w:rsid w:val="00522D9E"/>
    <w:rsid w:val="00522F43"/>
    <w:rsid w:val="00523D2A"/>
    <w:rsid w:val="0052480B"/>
    <w:rsid w:val="00525786"/>
    <w:rsid w:val="00526021"/>
    <w:rsid w:val="00526403"/>
    <w:rsid w:val="00526C8F"/>
    <w:rsid w:val="00526E48"/>
    <w:rsid w:val="005308D8"/>
    <w:rsid w:val="00530980"/>
    <w:rsid w:val="00530CCC"/>
    <w:rsid w:val="00531014"/>
    <w:rsid w:val="0053266F"/>
    <w:rsid w:val="0053325D"/>
    <w:rsid w:val="00533BE5"/>
    <w:rsid w:val="00534318"/>
    <w:rsid w:val="00535ADE"/>
    <w:rsid w:val="00535B1D"/>
    <w:rsid w:val="00535DE4"/>
    <w:rsid w:val="00536CBF"/>
    <w:rsid w:val="005376B7"/>
    <w:rsid w:val="005376D7"/>
    <w:rsid w:val="00540ACD"/>
    <w:rsid w:val="0054281E"/>
    <w:rsid w:val="00544A08"/>
    <w:rsid w:val="00545348"/>
    <w:rsid w:val="00546328"/>
    <w:rsid w:val="00547687"/>
    <w:rsid w:val="00547F13"/>
    <w:rsid w:val="00552684"/>
    <w:rsid w:val="00553982"/>
    <w:rsid w:val="00553C52"/>
    <w:rsid w:val="00554958"/>
    <w:rsid w:val="0055627D"/>
    <w:rsid w:val="0055760C"/>
    <w:rsid w:val="005611F3"/>
    <w:rsid w:val="00562898"/>
    <w:rsid w:val="00562BDF"/>
    <w:rsid w:val="00566980"/>
    <w:rsid w:val="00570E2E"/>
    <w:rsid w:val="005719E5"/>
    <w:rsid w:val="00572040"/>
    <w:rsid w:val="00573F71"/>
    <w:rsid w:val="0057510E"/>
    <w:rsid w:val="00575D4A"/>
    <w:rsid w:val="00576F5D"/>
    <w:rsid w:val="00577057"/>
    <w:rsid w:val="0058185E"/>
    <w:rsid w:val="0058190E"/>
    <w:rsid w:val="00582420"/>
    <w:rsid w:val="00582AA1"/>
    <w:rsid w:val="00582F78"/>
    <w:rsid w:val="00586270"/>
    <w:rsid w:val="00587382"/>
    <w:rsid w:val="00587C1C"/>
    <w:rsid w:val="00590054"/>
    <w:rsid w:val="005906BB"/>
    <w:rsid w:val="00591E06"/>
    <w:rsid w:val="00591F48"/>
    <w:rsid w:val="005945E5"/>
    <w:rsid w:val="005948A4"/>
    <w:rsid w:val="005948BB"/>
    <w:rsid w:val="00594CBC"/>
    <w:rsid w:val="00594E03"/>
    <w:rsid w:val="00594EB7"/>
    <w:rsid w:val="005959ED"/>
    <w:rsid w:val="00595BDE"/>
    <w:rsid w:val="0059797A"/>
    <w:rsid w:val="00597AA2"/>
    <w:rsid w:val="00597B0F"/>
    <w:rsid w:val="005A03E9"/>
    <w:rsid w:val="005A076D"/>
    <w:rsid w:val="005A0839"/>
    <w:rsid w:val="005A1264"/>
    <w:rsid w:val="005A4503"/>
    <w:rsid w:val="005A46D3"/>
    <w:rsid w:val="005B03AF"/>
    <w:rsid w:val="005B208D"/>
    <w:rsid w:val="005B2A85"/>
    <w:rsid w:val="005B3787"/>
    <w:rsid w:val="005B570D"/>
    <w:rsid w:val="005B5C31"/>
    <w:rsid w:val="005B62EF"/>
    <w:rsid w:val="005B6C9D"/>
    <w:rsid w:val="005C0C19"/>
    <w:rsid w:val="005C0F17"/>
    <w:rsid w:val="005C370D"/>
    <w:rsid w:val="005C5C57"/>
    <w:rsid w:val="005C5D6B"/>
    <w:rsid w:val="005C662B"/>
    <w:rsid w:val="005C7FE2"/>
    <w:rsid w:val="005D0336"/>
    <w:rsid w:val="005D0DF6"/>
    <w:rsid w:val="005D3E08"/>
    <w:rsid w:val="005D4074"/>
    <w:rsid w:val="005D7963"/>
    <w:rsid w:val="005E0EDD"/>
    <w:rsid w:val="005E1001"/>
    <w:rsid w:val="005E4007"/>
    <w:rsid w:val="005E44E8"/>
    <w:rsid w:val="005E4B23"/>
    <w:rsid w:val="005E5895"/>
    <w:rsid w:val="005E65AF"/>
    <w:rsid w:val="005F0A6A"/>
    <w:rsid w:val="005F3355"/>
    <w:rsid w:val="005F44F0"/>
    <w:rsid w:val="005F4F71"/>
    <w:rsid w:val="005F602E"/>
    <w:rsid w:val="005F63FC"/>
    <w:rsid w:val="005F64EE"/>
    <w:rsid w:val="005F689D"/>
    <w:rsid w:val="006009CF"/>
    <w:rsid w:val="006016AB"/>
    <w:rsid w:val="006045FE"/>
    <w:rsid w:val="00604F08"/>
    <w:rsid w:val="00604FB5"/>
    <w:rsid w:val="00605643"/>
    <w:rsid w:val="00605D09"/>
    <w:rsid w:val="0061270E"/>
    <w:rsid w:val="00613493"/>
    <w:rsid w:val="006135FC"/>
    <w:rsid w:val="00613B69"/>
    <w:rsid w:val="0061456F"/>
    <w:rsid w:val="00614C60"/>
    <w:rsid w:val="00614DBC"/>
    <w:rsid w:val="006150B5"/>
    <w:rsid w:val="006168A0"/>
    <w:rsid w:val="00617CFB"/>
    <w:rsid w:val="006214A9"/>
    <w:rsid w:val="006216A3"/>
    <w:rsid w:val="006216DB"/>
    <w:rsid w:val="00622C9C"/>
    <w:rsid w:val="00625DD2"/>
    <w:rsid w:val="00625DFC"/>
    <w:rsid w:val="006267E4"/>
    <w:rsid w:val="00626890"/>
    <w:rsid w:val="00627934"/>
    <w:rsid w:val="00630F51"/>
    <w:rsid w:val="00631C58"/>
    <w:rsid w:val="00631C71"/>
    <w:rsid w:val="00632873"/>
    <w:rsid w:val="00632C25"/>
    <w:rsid w:val="00633175"/>
    <w:rsid w:val="006335F3"/>
    <w:rsid w:val="00633BDC"/>
    <w:rsid w:val="006349A2"/>
    <w:rsid w:val="006350C4"/>
    <w:rsid w:val="006353D1"/>
    <w:rsid w:val="00636A4E"/>
    <w:rsid w:val="00636B1F"/>
    <w:rsid w:val="0063721B"/>
    <w:rsid w:val="00637D41"/>
    <w:rsid w:val="00640E70"/>
    <w:rsid w:val="006413CF"/>
    <w:rsid w:val="00642BF5"/>
    <w:rsid w:val="006430EE"/>
    <w:rsid w:val="0064321E"/>
    <w:rsid w:val="006435C4"/>
    <w:rsid w:val="00647803"/>
    <w:rsid w:val="00647E1B"/>
    <w:rsid w:val="006507D5"/>
    <w:rsid w:val="00650D76"/>
    <w:rsid w:val="00651B6B"/>
    <w:rsid w:val="00652B98"/>
    <w:rsid w:val="00653AB6"/>
    <w:rsid w:val="00654357"/>
    <w:rsid w:val="00657250"/>
    <w:rsid w:val="00663783"/>
    <w:rsid w:val="0066484B"/>
    <w:rsid w:val="00664E04"/>
    <w:rsid w:val="00670459"/>
    <w:rsid w:val="00670796"/>
    <w:rsid w:val="00670ACF"/>
    <w:rsid w:val="0067127E"/>
    <w:rsid w:val="00671F25"/>
    <w:rsid w:val="00672705"/>
    <w:rsid w:val="006735C5"/>
    <w:rsid w:val="0067408D"/>
    <w:rsid w:val="00674243"/>
    <w:rsid w:val="00674BBD"/>
    <w:rsid w:val="00676BAD"/>
    <w:rsid w:val="00677994"/>
    <w:rsid w:val="0068013F"/>
    <w:rsid w:val="0068057D"/>
    <w:rsid w:val="006805D8"/>
    <w:rsid w:val="00680924"/>
    <w:rsid w:val="00683941"/>
    <w:rsid w:val="00683C60"/>
    <w:rsid w:val="00684A40"/>
    <w:rsid w:val="00684D83"/>
    <w:rsid w:val="00685250"/>
    <w:rsid w:val="00685ADF"/>
    <w:rsid w:val="0068615D"/>
    <w:rsid w:val="006875E9"/>
    <w:rsid w:val="00690017"/>
    <w:rsid w:val="006902A5"/>
    <w:rsid w:val="006936DC"/>
    <w:rsid w:val="00694D3D"/>
    <w:rsid w:val="00695469"/>
    <w:rsid w:val="00695D4D"/>
    <w:rsid w:val="00695FAB"/>
    <w:rsid w:val="006A3293"/>
    <w:rsid w:val="006A597E"/>
    <w:rsid w:val="006A6291"/>
    <w:rsid w:val="006A634E"/>
    <w:rsid w:val="006A6D59"/>
    <w:rsid w:val="006A7362"/>
    <w:rsid w:val="006A7A31"/>
    <w:rsid w:val="006B1BE1"/>
    <w:rsid w:val="006B212B"/>
    <w:rsid w:val="006B2A94"/>
    <w:rsid w:val="006B3F88"/>
    <w:rsid w:val="006B4641"/>
    <w:rsid w:val="006B4FBB"/>
    <w:rsid w:val="006B5A8A"/>
    <w:rsid w:val="006B617A"/>
    <w:rsid w:val="006C06BC"/>
    <w:rsid w:val="006C083B"/>
    <w:rsid w:val="006C1B43"/>
    <w:rsid w:val="006C397C"/>
    <w:rsid w:val="006C3EFB"/>
    <w:rsid w:val="006C5895"/>
    <w:rsid w:val="006C5D90"/>
    <w:rsid w:val="006C6F98"/>
    <w:rsid w:val="006C704D"/>
    <w:rsid w:val="006C7783"/>
    <w:rsid w:val="006C7E71"/>
    <w:rsid w:val="006D1536"/>
    <w:rsid w:val="006D15F8"/>
    <w:rsid w:val="006D3D21"/>
    <w:rsid w:val="006D4C1F"/>
    <w:rsid w:val="006D6944"/>
    <w:rsid w:val="006D6F98"/>
    <w:rsid w:val="006D7605"/>
    <w:rsid w:val="006D7919"/>
    <w:rsid w:val="006D7AAC"/>
    <w:rsid w:val="006D7D60"/>
    <w:rsid w:val="006E05F6"/>
    <w:rsid w:val="006E1458"/>
    <w:rsid w:val="006E1FF1"/>
    <w:rsid w:val="006E2A52"/>
    <w:rsid w:val="006E5D35"/>
    <w:rsid w:val="006E69DE"/>
    <w:rsid w:val="006F066C"/>
    <w:rsid w:val="006F0A27"/>
    <w:rsid w:val="006F2113"/>
    <w:rsid w:val="006F3D89"/>
    <w:rsid w:val="006F44F7"/>
    <w:rsid w:val="006F4F3E"/>
    <w:rsid w:val="006F6DF5"/>
    <w:rsid w:val="006F6E28"/>
    <w:rsid w:val="006F7508"/>
    <w:rsid w:val="006F7CC9"/>
    <w:rsid w:val="007002CE"/>
    <w:rsid w:val="00701374"/>
    <w:rsid w:val="0070145A"/>
    <w:rsid w:val="0070161F"/>
    <w:rsid w:val="00701F11"/>
    <w:rsid w:val="007027F6"/>
    <w:rsid w:val="0070371E"/>
    <w:rsid w:val="00705984"/>
    <w:rsid w:val="00705D1F"/>
    <w:rsid w:val="0070713F"/>
    <w:rsid w:val="0071138F"/>
    <w:rsid w:val="0071214B"/>
    <w:rsid w:val="007149DF"/>
    <w:rsid w:val="00715D41"/>
    <w:rsid w:val="007209C3"/>
    <w:rsid w:val="00721338"/>
    <w:rsid w:val="0072156F"/>
    <w:rsid w:val="00723B15"/>
    <w:rsid w:val="007250D2"/>
    <w:rsid w:val="0072740D"/>
    <w:rsid w:val="007320FB"/>
    <w:rsid w:val="007336E7"/>
    <w:rsid w:val="007337CA"/>
    <w:rsid w:val="0073575F"/>
    <w:rsid w:val="007362DA"/>
    <w:rsid w:val="00737178"/>
    <w:rsid w:val="00737334"/>
    <w:rsid w:val="00737EB0"/>
    <w:rsid w:val="0074000D"/>
    <w:rsid w:val="00740D4B"/>
    <w:rsid w:val="00742BB9"/>
    <w:rsid w:val="007442AA"/>
    <w:rsid w:val="007443AA"/>
    <w:rsid w:val="00750235"/>
    <w:rsid w:val="00750543"/>
    <w:rsid w:val="00751A36"/>
    <w:rsid w:val="00752E2F"/>
    <w:rsid w:val="00754920"/>
    <w:rsid w:val="00755A3F"/>
    <w:rsid w:val="00756AEB"/>
    <w:rsid w:val="0075728C"/>
    <w:rsid w:val="00757619"/>
    <w:rsid w:val="0076009F"/>
    <w:rsid w:val="0076124F"/>
    <w:rsid w:val="007616E6"/>
    <w:rsid w:val="00763478"/>
    <w:rsid w:val="007640CF"/>
    <w:rsid w:val="00764D5B"/>
    <w:rsid w:val="00767021"/>
    <w:rsid w:val="00767377"/>
    <w:rsid w:val="0077059E"/>
    <w:rsid w:val="00770879"/>
    <w:rsid w:val="0077115A"/>
    <w:rsid w:val="00774748"/>
    <w:rsid w:val="00774C9E"/>
    <w:rsid w:val="00775AA5"/>
    <w:rsid w:val="00776413"/>
    <w:rsid w:val="0078011C"/>
    <w:rsid w:val="007811AE"/>
    <w:rsid w:val="007821F9"/>
    <w:rsid w:val="00782465"/>
    <w:rsid w:val="00784C72"/>
    <w:rsid w:val="00785A4A"/>
    <w:rsid w:val="00790116"/>
    <w:rsid w:val="007912DB"/>
    <w:rsid w:val="007920C6"/>
    <w:rsid w:val="00793B7B"/>
    <w:rsid w:val="00796D9E"/>
    <w:rsid w:val="00797852"/>
    <w:rsid w:val="007A0A5C"/>
    <w:rsid w:val="007A23CF"/>
    <w:rsid w:val="007A3B7E"/>
    <w:rsid w:val="007A41E1"/>
    <w:rsid w:val="007A7102"/>
    <w:rsid w:val="007B18A8"/>
    <w:rsid w:val="007B3F9E"/>
    <w:rsid w:val="007B4D01"/>
    <w:rsid w:val="007B4D79"/>
    <w:rsid w:val="007B58C0"/>
    <w:rsid w:val="007B5B46"/>
    <w:rsid w:val="007B6EB1"/>
    <w:rsid w:val="007B74DD"/>
    <w:rsid w:val="007B7C56"/>
    <w:rsid w:val="007B7D5E"/>
    <w:rsid w:val="007C0AF3"/>
    <w:rsid w:val="007C48BF"/>
    <w:rsid w:val="007C4D57"/>
    <w:rsid w:val="007C72D6"/>
    <w:rsid w:val="007D0924"/>
    <w:rsid w:val="007D50C5"/>
    <w:rsid w:val="007D5629"/>
    <w:rsid w:val="007D5B02"/>
    <w:rsid w:val="007D6099"/>
    <w:rsid w:val="007E1813"/>
    <w:rsid w:val="007E29FA"/>
    <w:rsid w:val="007E48CC"/>
    <w:rsid w:val="007E58F3"/>
    <w:rsid w:val="007E5F99"/>
    <w:rsid w:val="007E641F"/>
    <w:rsid w:val="007E679C"/>
    <w:rsid w:val="007E7AFA"/>
    <w:rsid w:val="007F1C7D"/>
    <w:rsid w:val="007F202E"/>
    <w:rsid w:val="007F26CB"/>
    <w:rsid w:val="007F3705"/>
    <w:rsid w:val="007F7351"/>
    <w:rsid w:val="007F7377"/>
    <w:rsid w:val="007F7DFC"/>
    <w:rsid w:val="00801F31"/>
    <w:rsid w:val="00803639"/>
    <w:rsid w:val="00804498"/>
    <w:rsid w:val="00804F8C"/>
    <w:rsid w:val="0080570E"/>
    <w:rsid w:val="00807794"/>
    <w:rsid w:val="0081096F"/>
    <w:rsid w:val="008137E7"/>
    <w:rsid w:val="0081409E"/>
    <w:rsid w:val="0081464F"/>
    <w:rsid w:val="00814BF4"/>
    <w:rsid w:val="00814EBC"/>
    <w:rsid w:val="00815F60"/>
    <w:rsid w:val="008230A0"/>
    <w:rsid w:val="00824262"/>
    <w:rsid w:val="008244E6"/>
    <w:rsid w:val="00825760"/>
    <w:rsid w:val="00827A94"/>
    <w:rsid w:val="00827ED1"/>
    <w:rsid w:val="00830B7D"/>
    <w:rsid w:val="00830FFA"/>
    <w:rsid w:val="00831481"/>
    <w:rsid w:val="0083151B"/>
    <w:rsid w:val="008323ED"/>
    <w:rsid w:val="0083269F"/>
    <w:rsid w:val="00833012"/>
    <w:rsid w:val="00834756"/>
    <w:rsid w:val="008349EF"/>
    <w:rsid w:val="008354AE"/>
    <w:rsid w:val="008356E6"/>
    <w:rsid w:val="00836B3A"/>
    <w:rsid w:val="00837AE4"/>
    <w:rsid w:val="0084065F"/>
    <w:rsid w:val="00840997"/>
    <w:rsid w:val="0084397C"/>
    <w:rsid w:val="008509E3"/>
    <w:rsid w:val="00850DA2"/>
    <w:rsid w:val="00851948"/>
    <w:rsid w:val="0085498D"/>
    <w:rsid w:val="00854A4D"/>
    <w:rsid w:val="00854E64"/>
    <w:rsid w:val="00854FEF"/>
    <w:rsid w:val="008550C3"/>
    <w:rsid w:val="00856473"/>
    <w:rsid w:val="008608EB"/>
    <w:rsid w:val="008623BB"/>
    <w:rsid w:val="00863D64"/>
    <w:rsid w:val="00864E8B"/>
    <w:rsid w:val="008657C0"/>
    <w:rsid w:val="008657F9"/>
    <w:rsid w:val="00865B02"/>
    <w:rsid w:val="0086721D"/>
    <w:rsid w:val="0086734A"/>
    <w:rsid w:val="0087190E"/>
    <w:rsid w:val="00872CA8"/>
    <w:rsid w:val="00874211"/>
    <w:rsid w:val="008742B5"/>
    <w:rsid w:val="0087431D"/>
    <w:rsid w:val="00874350"/>
    <w:rsid w:val="00875590"/>
    <w:rsid w:val="00876909"/>
    <w:rsid w:val="0087709B"/>
    <w:rsid w:val="00877D6B"/>
    <w:rsid w:val="00881776"/>
    <w:rsid w:val="008835D4"/>
    <w:rsid w:val="00883AE1"/>
    <w:rsid w:val="0088490E"/>
    <w:rsid w:val="00884921"/>
    <w:rsid w:val="00884B54"/>
    <w:rsid w:val="00885DBF"/>
    <w:rsid w:val="0088717B"/>
    <w:rsid w:val="008910C3"/>
    <w:rsid w:val="00891EA4"/>
    <w:rsid w:val="00894AE7"/>
    <w:rsid w:val="00894D77"/>
    <w:rsid w:val="00895382"/>
    <w:rsid w:val="00896999"/>
    <w:rsid w:val="008A0099"/>
    <w:rsid w:val="008A2436"/>
    <w:rsid w:val="008A5501"/>
    <w:rsid w:val="008B0E98"/>
    <w:rsid w:val="008B244E"/>
    <w:rsid w:val="008B2EC0"/>
    <w:rsid w:val="008B3B80"/>
    <w:rsid w:val="008B4900"/>
    <w:rsid w:val="008B4B36"/>
    <w:rsid w:val="008B6C4D"/>
    <w:rsid w:val="008B7D9B"/>
    <w:rsid w:val="008C07BB"/>
    <w:rsid w:val="008C0D50"/>
    <w:rsid w:val="008C0E7A"/>
    <w:rsid w:val="008C2632"/>
    <w:rsid w:val="008C31C0"/>
    <w:rsid w:val="008C3926"/>
    <w:rsid w:val="008C3FE3"/>
    <w:rsid w:val="008C48FD"/>
    <w:rsid w:val="008C4E3C"/>
    <w:rsid w:val="008C5417"/>
    <w:rsid w:val="008D1573"/>
    <w:rsid w:val="008D19BF"/>
    <w:rsid w:val="008D20CC"/>
    <w:rsid w:val="008D462B"/>
    <w:rsid w:val="008D79F7"/>
    <w:rsid w:val="008E00E8"/>
    <w:rsid w:val="008E14C3"/>
    <w:rsid w:val="008E33B3"/>
    <w:rsid w:val="008E40EE"/>
    <w:rsid w:val="008E62F7"/>
    <w:rsid w:val="008E6CEA"/>
    <w:rsid w:val="008E779D"/>
    <w:rsid w:val="008E79B8"/>
    <w:rsid w:val="008F37D3"/>
    <w:rsid w:val="008F431D"/>
    <w:rsid w:val="008F5A7E"/>
    <w:rsid w:val="008F702C"/>
    <w:rsid w:val="008F7272"/>
    <w:rsid w:val="008F7D7A"/>
    <w:rsid w:val="009000C5"/>
    <w:rsid w:val="00900A02"/>
    <w:rsid w:val="009018E3"/>
    <w:rsid w:val="00902AA5"/>
    <w:rsid w:val="00902D01"/>
    <w:rsid w:val="00904406"/>
    <w:rsid w:val="00904C38"/>
    <w:rsid w:val="00905F52"/>
    <w:rsid w:val="00907120"/>
    <w:rsid w:val="00907C1A"/>
    <w:rsid w:val="00907EFF"/>
    <w:rsid w:val="009102D6"/>
    <w:rsid w:val="0091187F"/>
    <w:rsid w:val="00911CD7"/>
    <w:rsid w:val="00913348"/>
    <w:rsid w:val="00913E4E"/>
    <w:rsid w:val="009142C7"/>
    <w:rsid w:val="00916120"/>
    <w:rsid w:val="00917874"/>
    <w:rsid w:val="00917E87"/>
    <w:rsid w:val="009213EC"/>
    <w:rsid w:val="00921DA9"/>
    <w:rsid w:val="009227F4"/>
    <w:rsid w:val="009232E3"/>
    <w:rsid w:val="009240F8"/>
    <w:rsid w:val="009252B2"/>
    <w:rsid w:val="009253D5"/>
    <w:rsid w:val="00925705"/>
    <w:rsid w:val="00926801"/>
    <w:rsid w:val="00926A2E"/>
    <w:rsid w:val="0093020B"/>
    <w:rsid w:val="009306DD"/>
    <w:rsid w:val="009319E0"/>
    <w:rsid w:val="00932E84"/>
    <w:rsid w:val="00933067"/>
    <w:rsid w:val="009345A4"/>
    <w:rsid w:val="0093463E"/>
    <w:rsid w:val="00935764"/>
    <w:rsid w:val="00937095"/>
    <w:rsid w:val="00937623"/>
    <w:rsid w:val="00941CD0"/>
    <w:rsid w:val="009425D8"/>
    <w:rsid w:val="009425D9"/>
    <w:rsid w:val="0094339A"/>
    <w:rsid w:val="00944874"/>
    <w:rsid w:val="00946716"/>
    <w:rsid w:val="00947E74"/>
    <w:rsid w:val="0095110A"/>
    <w:rsid w:val="00952580"/>
    <w:rsid w:val="00952809"/>
    <w:rsid w:val="0095692D"/>
    <w:rsid w:val="009578B4"/>
    <w:rsid w:val="0096010C"/>
    <w:rsid w:val="00962EF9"/>
    <w:rsid w:val="009641FA"/>
    <w:rsid w:val="0096540C"/>
    <w:rsid w:val="00965AFB"/>
    <w:rsid w:val="009662E0"/>
    <w:rsid w:val="0096637C"/>
    <w:rsid w:val="0096652F"/>
    <w:rsid w:val="009671A7"/>
    <w:rsid w:val="00967A8F"/>
    <w:rsid w:val="009707CB"/>
    <w:rsid w:val="009711DD"/>
    <w:rsid w:val="00971A49"/>
    <w:rsid w:val="009721DB"/>
    <w:rsid w:val="009728D0"/>
    <w:rsid w:val="0097342D"/>
    <w:rsid w:val="00973656"/>
    <w:rsid w:val="009741FD"/>
    <w:rsid w:val="00974413"/>
    <w:rsid w:val="00974DA3"/>
    <w:rsid w:val="00975744"/>
    <w:rsid w:val="0098233C"/>
    <w:rsid w:val="009839F3"/>
    <w:rsid w:val="009845A7"/>
    <w:rsid w:val="00984DA4"/>
    <w:rsid w:val="00986FB8"/>
    <w:rsid w:val="00987CDE"/>
    <w:rsid w:val="00990CA6"/>
    <w:rsid w:val="00991A78"/>
    <w:rsid w:val="009965CF"/>
    <w:rsid w:val="00996E35"/>
    <w:rsid w:val="00996EBC"/>
    <w:rsid w:val="00997929"/>
    <w:rsid w:val="009A2691"/>
    <w:rsid w:val="009A2BEF"/>
    <w:rsid w:val="009A354F"/>
    <w:rsid w:val="009A3745"/>
    <w:rsid w:val="009A5461"/>
    <w:rsid w:val="009A67A1"/>
    <w:rsid w:val="009A7ECA"/>
    <w:rsid w:val="009B1FBD"/>
    <w:rsid w:val="009B37AC"/>
    <w:rsid w:val="009B3C08"/>
    <w:rsid w:val="009B6B1E"/>
    <w:rsid w:val="009C1732"/>
    <w:rsid w:val="009C1E6A"/>
    <w:rsid w:val="009C5FCA"/>
    <w:rsid w:val="009C61D1"/>
    <w:rsid w:val="009C6DD1"/>
    <w:rsid w:val="009C70C4"/>
    <w:rsid w:val="009D022B"/>
    <w:rsid w:val="009D2E73"/>
    <w:rsid w:val="009D3515"/>
    <w:rsid w:val="009D386D"/>
    <w:rsid w:val="009D38B8"/>
    <w:rsid w:val="009D42C3"/>
    <w:rsid w:val="009D4754"/>
    <w:rsid w:val="009D6A28"/>
    <w:rsid w:val="009D7687"/>
    <w:rsid w:val="009E0B53"/>
    <w:rsid w:val="009E1822"/>
    <w:rsid w:val="009E1CE7"/>
    <w:rsid w:val="009E1E9C"/>
    <w:rsid w:val="009E2EF6"/>
    <w:rsid w:val="009E2F11"/>
    <w:rsid w:val="009E455E"/>
    <w:rsid w:val="009E48A0"/>
    <w:rsid w:val="009E5510"/>
    <w:rsid w:val="009E6428"/>
    <w:rsid w:val="009F3CB5"/>
    <w:rsid w:val="009F43A4"/>
    <w:rsid w:val="009F4657"/>
    <w:rsid w:val="009F4793"/>
    <w:rsid w:val="009F48CD"/>
    <w:rsid w:val="009F5F9F"/>
    <w:rsid w:val="009F5FD1"/>
    <w:rsid w:val="009F702B"/>
    <w:rsid w:val="009F7114"/>
    <w:rsid w:val="00A00945"/>
    <w:rsid w:val="00A01F47"/>
    <w:rsid w:val="00A06453"/>
    <w:rsid w:val="00A075EB"/>
    <w:rsid w:val="00A12D67"/>
    <w:rsid w:val="00A136D4"/>
    <w:rsid w:val="00A13E8D"/>
    <w:rsid w:val="00A14FCA"/>
    <w:rsid w:val="00A20380"/>
    <w:rsid w:val="00A20490"/>
    <w:rsid w:val="00A20850"/>
    <w:rsid w:val="00A2103B"/>
    <w:rsid w:val="00A21CFA"/>
    <w:rsid w:val="00A24351"/>
    <w:rsid w:val="00A246BE"/>
    <w:rsid w:val="00A26CE6"/>
    <w:rsid w:val="00A27EA5"/>
    <w:rsid w:val="00A3046A"/>
    <w:rsid w:val="00A319D2"/>
    <w:rsid w:val="00A326DF"/>
    <w:rsid w:val="00A335C0"/>
    <w:rsid w:val="00A34608"/>
    <w:rsid w:val="00A3638C"/>
    <w:rsid w:val="00A36CA7"/>
    <w:rsid w:val="00A40DE2"/>
    <w:rsid w:val="00A42875"/>
    <w:rsid w:val="00A4327D"/>
    <w:rsid w:val="00A433A4"/>
    <w:rsid w:val="00A43D18"/>
    <w:rsid w:val="00A44B42"/>
    <w:rsid w:val="00A44FE3"/>
    <w:rsid w:val="00A47192"/>
    <w:rsid w:val="00A4738C"/>
    <w:rsid w:val="00A47947"/>
    <w:rsid w:val="00A500C7"/>
    <w:rsid w:val="00A52511"/>
    <w:rsid w:val="00A5309F"/>
    <w:rsid w:val="00A53793"/>
    <w:rsid w:val="00A53ACD"/>
    <w:rsid w:val="00A55496"/>
    <w:rsid w:val="00A55BB1"/>
    <w:rsid w:val="00A55CCC"/>
    <w:rsid w:val="00A56F4D"/>
    <w:rsid w:val="00A574C4"/>
    <w:rsid w:val="00A57DC0"/>
    <w:rsid w:val="00A60BDD"/>
    <w:rsid w:val="00A66020"/>
    <w:rsid w:val="00A66739"/>
    <w:rsid w:val="00A70E93"/>
    <w:rsid w:val="00A71A8D"/>
    <w:rsid w:val="00A74826"/>
    <w:rsid w:val="00A74ECC"/>
    <w:rsid w:val="00A750CC"/>
    <w:rsid w:val="00A75A69"/>
    <w:rsid w:val="00A764B1"/>
    <w:rsid w:val="00A7766A"/>
    <w:rsid w:val="00A7771C"/>
    <w:rsid w:val="00A77AE9"/>
    <w:rsid w:val="00A8222A"/>
    <w:rsid w:val="00A83B2A"/>
    <w:rsid w:val="00A8427E"/>
    <w:rsid w:val="00A84B2F"/>
    <w:rsid w:val="00A86767"/>
    <w:rsid w:val="00A867AB"/>
    <w:rsid w:val="00A86BB7"/>
    <w:rsid w:val="00A904EC"/>
    <w:rsid w:val="00A90EAE"/>
    <w:rsid w:val="00A92CA1"/>
    <w:rsid w:val="00A92CCC"/>
    <w:rsid w:val="00A93906"/>
    <w:rsid w:val="00A94102"/>
    <w:rsid w:val="00A941E7"/>
    <w:rsid w:val="00A94A83"/>
    <w:rsid w:val="00A964C9"/>
    <w:rsid w:val="00A96CDD"/>
    <w:rsid w:val="00A97358"/>
    <w:rsid w:val="00AA1298"/>
    <w:rsid w:val="00AA241E"/>
    <w:rsid w:val="00AA2B78"/>
    <w:rsid w:val="00AA3BA1"/>
    <w:rsid w:val="00AA4568"/>
    <w:rsid w:val="00AA472F"/>
    <w:rsid w:val="00AA6E8B"/>
    <w:rsid w:val="00AB0CAE"/>
    <w:rsid w:val="00AB1630"/>
    <w:rsid w:val="00AB362D"/>
    <w:rsid w:val="00AB4185"/>
    <w:rsid w:val="00AB576C"/>
    <w:rsid w:val="00AB6F9B"/>
    <w:rsid w:val="00AC0400"/>
    <w:rsid w:val="00AC0FE1"/>
    <w:rsid w:val="00AC14F5"/>
    <w:rsid w:val="00AC36A8"/>
    <w:rsid w:val="00AC4018"/>
    <w:rsid w:val="00AC5362"/>
    <w:rsid w:val="00AC60AF"/>
    <w:rsid w:val="00AC6383"/>
    <w:rsid w:val="00AC7031"/>
    <w:rsid w:val="00AC7EF0"/>
    <w:rsid w:val="00AD000A"/>
    <w:rsid w:val="00AD151D"/>
    <w:rsid w:val="00AD206A"/>
    <w:rsid w:val="00AD330B"/>
    <w:rsid w:val="00AD478C"/>
    <w:rsid w:val="00AD4A66"/>
    <w:rsid w:val="00AD5354"/>
    <w:rsid w:val="00AD5E04"/>
    <w:rsid w:val="00AD6D64"/>
    <w:rsid w:val="00AD7476"/>
    <w:rsid w:val="00AD79C0"/>
    <w:rsid w:val="00AE019C"/>
    <w:rsid w:val="00AE05FB"/>
    <w:rsid w:val="00AE0915"/>
    <w:rsid w:val="00AE0A0E"/>
    <w:rsid w:val="00AE0CA1"/>
    <w:rsid w:val="00AE25CC"/>
    <w:rsid w:val="00AE31EB"/>
    <w:rsid w:val="00AE5740"/>
    <w:rsid w:val="00AE60E0"/>
    <w:rsid w:val="00AE755A"/>
    <w:rsid w:val="00AF03B3"/>
    <w:rsid w:val="00AF0F81"/>
    <w:rsid w:val="00AF1C71"/>
    <w:rsid w:val="00AF2AC1"/>
    <w:rsid w:val="00AF40BF"/>
    <w:rsid w:val="00AF57A8"/>
    <w:rsid w:val="00AF6D84"/>
    <w:rsid w:val="00AF7EDF"/>
    <w:rsid w:val="00B000E5"/>
    <w:rsid w:val="00B005ED"/>
    <w:rsid w:val="00B00986"/>
    <w:rsid w:val="00B01424"/>
    <w:rsid w:val="00B01463"/>
    <w:rsid w:val="00B03481"/>
    <w:rsid w:val="00B043E8"/>
    <w:rsid w:val="00B045C8"/>
    <w:rsid w:val="00B04D46"/>
    <w:rsid w:val="00B0538F"/>
    <w:rsid w:val="00B068DB"/>
    <w:rsid w:val="00B06EB5"/>
    <w:rsid w:val="00B10299"/>
    <w:rsid w:val="00B104EF"/>
    <w:rsid w:val="00B1181C"/>
    <w:rsid w:val="00B142A9"/>
    <w:rsid w:val="00B1458A"/>
    <w:rsid w:val="00B14715"/>
    <w:rsid w:val="00B164E9"/>
    <w:rsid w:val="00B1687B"/>
    <w:rsid w:val="00B16D27"/>
    <w:rsid w:val="00B16ED3"/>
    <w:rsid w:val="00B205A5"/>
    <w:rsid w:val="00B2184E"/>
    <w:rsid w:val="00B24309"/>
    <w:rsid w:val="00B24A0D"/>
    <w:rsid w:val="00B24C70"/>
    <w:rsid w:val="00B2550E"/>
    <w:rsid w:val="00B26143"/>
    <w:rsid w:val="00B368E3"/>
    <w:rsid w:val="00B36948"/>
    <w:rsid w:val="00B36C98"/>
    <w:rsid w:val="00B403D2"/>
    <w:rsid w:val="00B41B6B"/>
    <w:rsid w:val="00B437AB"/>
    <w:rsid w:val="00B439C7"/>
    <w:rsid w:val="00B4477D"/>
    <w:rsid w:val="00B44B72"/>
    <w:rsid w:val="00B47E64"/>
    <w:rsid w:val="00B53046"/>
    <w:rsid w:val="00B5426C"/>
    <w:rsid w:val="00B54D2D"/>
    <w:rsid w:val="00B56577"/>
    <w:rsid w:val="00B6080F"/>
    <w:rsid w:val="00B60B71"/>
    <w:rsid w:val="00B62122"/>
    <w:rsid w:val="00B64448"/>
    <w:rsid w:val="00B67D83"/>
    <w:rsid w:val="00B7187F"/>
    <w:rsid w:val="00B722ED"/>
    <w:rsid w:val="00B76291"/>
    <w:rsid w:val="00B76DA3"/>
    <w:rsid w:val="00B77491"/>
    <w:rsid w:val="00B80A0D"/>
    <w:rsid w:val="00B81577"/>
    <w:rsid w:val="00B81951"/>
    <w:rsid w:val="00B81DB0"/>
    <w:rsid w:val="00B82B6B"/>
    <w:rsid w:val="00B85D19"/>
    <w:rsid w:val="00B87B88"/>
    <w:rsid w:val="00B925F6"/>
    <w:rsid w:val="00B92DE1"/>
    <w:rsid w:val="00B93687"/>
    <w:rsid w:val="00B94288"/>
    <w:rsid w:val="00B95975"/>
    <w:rsid w:val="00B95D0C"/>
    <w:rsid w:val="00B95E15"/>
    <w:rsid w:val="00B963D9"/>
    <w:rsid w:val="00B969F0"/>
    <w:rsid w:val="00B977E7"/>
    <w:rsid w:val="00B97B55"/>
    <w:rsid w:val="00BA0894"/>
    <w:rsid w:val="00BA09E1"/>
    <w:rsid w:val="00BA19F7"/>
    <w:rsid w:val="00BA1A81"/>
    <w:rsid w:val="00BA2090"/>
    <w:rsid w:val="00BA23DB"/>
    <w:rsid w:val="00BA23F4"/>
    <w:rsid w:val="00BA2939"/>
    <w:rsid w:val="00BA3415"/>
    <w:rsid w:val="00BA34BA"/>
    <w:rsid w:val="00BA4AF4"/>
    <w:rsid w:val="00BA588E"/>
    <w:rsid w:val="00BA7546"/>
    <w:rsid w:val="00BA780E"/>
    <w:rsid w:val="00BB0397"/>
    <w:rsid w:val="00BB053B"/>
    <w:rsid w:val="00BB21E2"/>
    <w:rsid w:val="00BB269A"/>
    <w:rsid w:val="00BB2C3A"/>
    <w:rsid w:val="00BB3C33"/>
    <w:rsid w:val="00BB649D"/>
    <w:rsid w:val="00BB7EB6"/>
    <w:rsid w:val="00BC1414"/>
    <w:rsid w:val="00BC1D5C"/>
    <w:rsid w:val="00BC3FE0"/>
    <w:rsid w:val="00BC5F0A"/>
    <w:rsid w:val="00BC6C07"/>
    <w:rsid w:val="00BC7DE1"/>
    <w:rsid w:val="00BD0457"/>
    <w:rsid w:val="00BD1A0F"/>
    <w:rsid w:val="00BD1E2A"/>
    <w:rsid w:val="00BD3097"/>
    <w:rsid w:val="00BD4163"/>
    <w:rsid w:val="00BD50D4"/>
    <w:rsid w:val="00BD677E"/>
    <w:rsid w:val="00BD753C"/>
    <w:rsid w:val="00BD7DE6"/>
    <w:rsid w:val="00BE15ED"/>
    <w:rsid w:val="00BE36EB"/>
    <w:rsid w:val="00BE3F93"/>
    <w:rsid w:val="00BE5395"/>
    <w:rsid w:val="00BE58DA"/>
    <w:rsid w:val="00BE7721"/>
    <w:rsid w:val="00BF1B9E"/>
    <w:rsid w:val="00BF2707"/>
    <w:rsid w:val="00BF30D1"/>
    <w:rsid w:val="00BF37EF"/>
    <w:rsid w:val="00C00DF5"/>
    <w:rsid w:val="00C0152F"/>
    <w:rsid w:val="00C01B16"/>
    <w:rsid w:val="00C0277D"/>
    <w:rsid w:val="00C02941"/>
    <w:rsid w:val="00C029CF"/>
    <w:rsid w:val="00C02A8F"/>
    <w:rsid w:val="00C030CD"/>
    <w:rsid w:val="00C04A04"/>
    <w:rsid w:val="00C05223"/>
    <w:rsid w:val="00C05F04"/>
    <w:rsid w:val="00C06800"/>
    <w:rsid w:val="00C06986"/>
    <w:rsid w:val="00C06E56"/>
    <w:rsid w:val="00C0737F"/>
    <w:rsid w:val="00C07A76"/>
    <w:rsid w:val="00C10ECA"/>
    <w:rsid w:val="00C128C4"/>
    <w:rsid w:val="00C15631"/>
    <w:rsid w:val="00C16011"/>
    <w:rsid w:val="00C17CB0"/>
    <w:rsid w:val="00C20FBF"/>
    <w:rsid w:val="00C211A0"/>
    <w:rsid w:val="00C22624"/>
    <w:rsid w:val="00C23294"/>
    <w:rsid w:val="00C2329F"/>
    <w:rsid w:val="00C23995"/>
    <w:rsid w:val="00C24FF6"/>
    <w:rsid w:val="00C25343"/>
    <w:rsid w:val="00C26E79"/>
    <w:rsid w:val="00C30212"/>
    <w:rsid w:val="00C30836"/>
    <w:rsid w:val="00C309F0"/>
    <w:rsid w:val="00C32138"/>
    <w:rsid w:val="00C32394"/>
    <w:rsid w:val="00C32B95"/>
    <w:rsid w:val="00C33625"/>
    <w:rsid w:val="00C352F5"/>
    <w:rsid w:val="00C35690"/>
    <w:rsid w:val="00C36851"/>
    <w:rsid w:val="00C36FF7"/>
    <w:rsid w:val="00C37581"/>
    <w:rsid w:val="00C40BF8"/>
    <w:rsid w:val="00C42A7F"/>
    <w:rsid w:val="00C439C4"/>
    <w:rsid w:val="00C53E54"/>
    <w:rsid w:val="00C555CA"/>
    <w:rsid w:val="00C55D63"/>
    <w:rsid w:val="00C570DA"/>
    <w:rsid w:val="00C609F1"/>
    <w:rsid w:val="00C60DD6"/>
    <w:rsid w:val="00C61506"/>
    <w:rsid w:val="00C62321"/>
    <w:rsid w:val="00C63CF0"/>
    <w:rsid w:val="00C63D42"/>
    <w:rsid w:val="00C655B7"/>
    <w:rsid w:val="00C65AC3"/>
    <w:rsid w:val="00C669EB"/>
    <w:rsid w:val="00C66E4A"/>
    <w:rsid w:val="00C72BB6"/>
    <w:rsid w:val="00C733C8"/>
    <w:rsid w:val="00C75156"/>
    <w:rsid w:val="00C76DF5"/>
    <w:rsid w:val="00C801BA"/>
    <w:rsid w:val="00C81C9D"/>
    <w:rsid w:val="00C83EFC"/>
    <w:rsid w:val="00C86B55"/>
    <w:rsid w:val="00C870CF"/>
    <w:rsid w:val="00C871FD"/>
    <w:rsid w:val="00C8752D"/>
    <w:rsid w:val="00C90E76"/>
    <w:rsid w:val="00C9187A"/>
    <w:rsid w:val="00C9389E"/>
    <w:rsid w:val="00C96038"/>
    <w:rsid w:val="00CA1050"/>
    <w:rsid w:val="00CA1847"/>
    <w:rsid w:val="00CA24D5"/>
    <w:rsid w:val="00CA24FF"/>
    <w:rsid w:val="00CA3FD1"/>
    <w:rsid w:val="00CA5CCB"/>
    <w:rsid w:val="00CA5DCD"/>
    <w:rsid w:val="00CA76E9"/>
    <w:rsid w:val="00CA7FF1"/>
    <w:rsid w:val="00CB3B01"/>
    <w:rsid w:val="00CB4D64"/>
    <w:rsid w:val="00CB5F50"/>
    <w:rsid w:val="00CB6078"/>
    <w:rsid w:val="00CB7066"/>
    <w:rsid w:val="00CC1121"/>
    <w:rsid w:val="00CC1383"/>
    <w:rsid w:val="00CC29F4"/>
    <w:rsid w:val="00CC3B8B"/>
    <w:rsid w:val="00CC3D39"/>
    <w:rsid w:val="00CC52BC"/>
    <w:rsid w:val="00CD245B"/>
    <w:rsid w:val="00CD2784"/>
    <w:rsid w:val="00CD5AC8"/>
    <w:rsid w:val="00CD5CBA"/>
    <w:rsid w:val="00CE0463"/>
    <w:rsid w:val="00CE1FE7"/>
    <w:rsid w:val="00CE40C6"/>
    <w:rsid w:val="00CE4BAF"/>
    <w:rsid w:val="00CE5ACB"/>
    <w:rsid w:val="00CF1749"/>
    <w:rsid w:val="00CF1BC1"/>
    <w:rsid w:val="00CF38E1"/>
    <w:rsid w:val="00CF4A1A"/>
    <w:rsid w:val="00CF567F"/>
    <w:rsid w:val="00CF6022"/>
    <w:rsid w:val="00CF647B"/>
    <w:rsid w:val="00D00092"/>
    <w:rsid w:val="00D01354"/>
    <w:rsid w:val="00D0296F"/>
    <w:rsid w:val="00D02BFC"/>
    <w:rsid w:val="00D0305A"/>
    <w:rsid w:val="00D0339E"/>
    <w:rsid w:val="00D0400B"/>
    <w:rsid w:val="00D050BD"/>
    <w:rsid w:val="00D05349"/>
    <w:rsid w:val="00D059D6"/>
    <w:rsid w:val="00D05B7C"/>
    <w:rsid w:val="00D061D2"/>
    <w:rsid w:val="00D107E9"/>
    <w:rsid w:val="00D111E3"/>
    <w:rsid w:val="00D118B9"/>
    <w:rsid w:val="00D14552"/>
    <w:rsid w:val="00D14CDD"/>
    <w:rsid w:val="00D15FAD"/>
    <w:rsid w:val="00D17EF1"/>
    <w:rsid w:val="00D22228"/>
    <w:rsid w:val="00D227D6"/>
    <w:rsid w:val="00D2634D"/>
    <w:rsid w:val="00D26A67"/>
    <w:rsid w:val="00D26AA7"/>
    <w:rsid w:val="00D27091"/>
    <w:rsid w:val="00D3062E"/>
    <w:rsid w:val="00D30F9B"/>
    <w:rsid w:val="00D31015"/>
    <w:rsid w:val="00D31B24"/>
    <w:rsid w:val="00D34C9A"/>
    <w:rsid w:val="00D34CA5"/>
    <w:rsid w:val="00D37A6F"/>
    <w:rsid w:val="00D403AD"/>
    <w:rsid w:val="00D412A1"/>
    <w:rsid w:val="00D41715"/>
    <w:rsid w:val="00D417AB"/>
    <w:rsid w:val="00D41F8A"/>
    <w:rsid w:val="00D41FE0"/>
    <w:rsid w:val="00D45C34"/>
    <w:rsid w:val="00D466AF"/>
    <w:rsid w:val="00D46EB7"/>
    <w:rsid w:val="00D506B3"/>
    <w:rsid w:val="00D50700"/>
    <w:rsid w:val="00D50C86"/>
    <w:rsid w:val="00D52A2C"/>
    <w:rsid w:val="00D52C14"/>
    <w:rsid w:val="00D533BF"/>
    <w:rsid w:val="00D54058"/>
    <w:rsid w:val="00D544C2"/>
    <w:rsid w:val="00D54D0B"/>
    <w:rsid w:val="00D55899"/>
    <w:rsid w:val="00D55A4C"/>
    <w:rsid w:val="00D5662C"/>
    <w:rsid w:val="00D62306"/>
    <w:rsid w:val="00D624E6"/>
    <w:rsid w:val="00D657BF"/>
    <w:rsid w:val="00D66A2F"/>
    <w:rsid w:val="00D67190"/>
    <w:rsid w:val="00D67366"/>
    <w:rsid w:val="00D676DB"/>
    <w:rsid w:val="00D70885"/>
    <w:rsid w:val="00D716DD"/>
    <w:rsid w:val="00D7210A"/>
    <w:rsid w:val="00D7291D"/>
    <w:rsid w:val="00D73FC5"/>
    <w:rsid w:val="00D74582"/>
    <w:rsid w:val="00D7565B"/>
    <w:rsid w:val="00D759A8"/>
    <w:rsid w:val="00D7775E"/>
    <w:rsid w:val="00D77805"/>
    <w:rsid w:val="00D80887"/>
    <w:rsid w:val="00D811AD"/>
    <w:rsid w:val="00D81224"/>
    <w:rsid w:val="00D82767"/>
    <w:rsid w:val="00D8393C"/>
    <w:rsid w:val="00D83C84"/>
    <w:rsid w:val="00D845AA"/>
    <w:rsid w:val="00D848AD"/>
    <w:rsid w:val="00D8621D"/>
    <w:rsid w:val="00D86B4F"/>
    <w:rsid w:val="00D86F24"/>
    <w:rsid w:val="00D87240"/>
    <w:rsid w:val="00D87EA4"/>
    <w:rsid w:val="00D90249"/>
    <w:rsid w:val="00D91B73"/>
    <w:rsid w:val="00D91FBB"/>
    <w:rsid w:val="00D929F0"/>
    <w:rsid w:val="00DA006E"/>
    <w:rsid w:val="00DA036C"/>
    <w:rsid w:val="00DA0C24"/>
    <w:rsid w:val="00DA138B"/>
    <w:rsid w:val="00DA37D3"/>
    <w:rsid w:val="00DA5418"/>
    <w:rsid w:val="00DA576B"/>
    <w:rsid w:val="00DA65FF"/>
    <w:rsid w:val="00DB0818"/>
    <w:rsid w:val="00DB0EB5"/>
    <w:rsid w:val="00DB17B5"/>
    <w:rsid w:val="00DB323A"/>
    <w:rsid w:val="00DB568F"/>
    <w:rsid w:val="00DB6F81"/>
    <w:rsid w:val="00DC13DC"/>
    <w:rsid w:val="00DC1477"/>
    <w:rsid w:val="00DC379B"/>
    <w:rsid w:val="00DC63E1"/>
    <w:rsid w:val="00DD0C09"/>
    <w:rsid w:val="00DD0DCB"/>
    <w:rsid w:val="00DD0EF2"/>
    <w:rsid w:val="00DD1523"/>
    <w:rsid w:val="00DD1775"/>
    <w:rsid w:val="00DD1E8F"/>
    <w:rsid w:val="00DD24AE"/>
    <w:rsid w:val="00DD61D4"/>
    <w:rsid w:val="00DD716C"/>
    <w:rsid w:val="00DD7228"/>
    <w:rsid w:val="00DE08EA"/>
    <w:rsid w:val="00DE1FA3"/>
    <w:rsid w:val="00DE5081"/>
    <w:rsid w:val="00DE5DCF"/>
    <w:rsid w:val="00DF03D5"/>
    <w:rsid w:val="00DF04EA"/>
    <w:rsid w:val="00DF223D"/>
    <w:rsid w:val="00DF38D9"/>
    <w:rsid w:val="00DF3AE9"/>
    <w:rsid w:val="00DF64C5"/>
    <w:rsid w:val="00E0089D"/>
    <w:rsid w:val="00E00AB4"/>
    <w:rsid w:val="00E0402E"/>
    <w:rsid w:val="00E05830"/>
    <w:rsid w:val="00E0761E"/>
    <w:rsid w:val="00E07A2A"/>
    <w:rsid w:val="00E151EC"/>
    <w:rsid w:val="00E16127"/>
    <w:rsid w:val="00E1745D"/>
    <w:rsid w:val="00E22ED1"/>
    <w:rsid w:val="00E22F57"/>
    <w:rsid w:val="00E27A25"/>
    <w:rsid w:val="00E27C64"/>
    <w:rsid w:val="00E3006D"/>
    <w:rsid w:val="00E3127E"/>
    <w:rsid w:val="00E316CA"/>
    <w:rsid w:val="00E3199E"/>
    <w:rsid w:val="00E319C3"/>
    <w:rsid w:val="00E33548"/>
    <w:rsid w:val="00E33E72"/>
    <w:rsid w:val="00E35E05"/>
    <w:rsid w:val="00E37BDC"/>
    <w:rsid w:val="00E37C89"/>
    <w:rsid w:val="00E41A1C"/>
    <w:rsid w:val="00E43D3D"/>
    <w:rsid w:val="00E45477"/>
    <w:rsid w:val="00E45C03"/>
    <w:rsid w:val="00E45E1C"/>
    <w:rsid w:val="00E50374"/>
    <w:rsid w:val="00E50ED0"/>
    <w:rsid w:val="00E50F1B"/>
    <w:rsid w:val="00E52E4B"/>
    <w:rsid w:val="00E53572"/>
    <w:rsid w:val="00E538EA"/>
    <w:rsid w:val="00E53EC1"/>
    <w:rsid w:val="00E5408C"/>
    <w:rsid w:val="00E5572C"/>
    <w:rsid w:val="00E57CE2"/>
    <w:rsid w:val="00E60341"/>
    <w:rsid w:val="00E608EC"/>
    <w:rsid w:val="00E623F9"/>
    <w:rsid w:val="00E62658"/>
    <w:rsid w:val="00E6302F"/>
    <w:rsid w:val="00E63C69"/>
    <w:rsid w:val="00E63F7D"/>
    <w:rsid w:val="00E646EA"/>
    <w:rsid w:val="00E65D91"/>
    <w:rsid w:val="00E6652E"/>
    <w:rsid w:val="00E7166B"/>
    <w:rsid w:val="00E71B9F"/>
    <w:rsid w:val="00E732C5"/>
    <w:rsid w:val="00E73322"/>
    <w:rsid w:val="00E76AB3"/>
    <w:rsid w:val="00E76DC1"/>
    <w:rsid w:val="00E77982"/>
    <w:rsid w:val="00E77B5A"/>
    <w:rsid w:val="00E77EE7"/>
    <w:rsid w:val="00E80159"/>
    <w:rsid w:val="00E80318"/>
    <w:rsid w:val="00E81BF0"/>
    <w:rsid w:val="00E81D70"/>
    <w:rsid w:val="00E81FE5"/>
    <w:rsid w:val="00E8216C"/>
    <w:rsid w:val="00E82B26"/>
    <w:rsid w:val="00E84D67"/>
    <w:rsid w:val="00E84DB3"/>
    <w:rsid w:val="00E85045"/>
    <w:rsid w:val="00E85B4A"/>
    <w:rsid w:val="00E85CBA"/>
    <w:rsid w:val="00E87B42"/>
    <w:rsid w:val="00E914D5"/>
    <w:rsid w:val="00E92188"/>
    <w:rsid w:val="00E95217"/>
    <w:rsid w:val="00E97888"/>
    <w:rsid w:val="00EA086F"/>
    <w:rsid w:val="00EA08FD"/>
    <w:rsid w:val="00EA1163"/>
    <w:rsid w:val="00EA3899"/>
    <w:rsid w:val="00EA3B00"/>
    <w:rsid w:val="00EA417B"/>
    <w:rsid w:val="00EA47B0"/>
    <w:rsid w:val="00EA4896"/>
    <w:rsid w:val="00EA582F"/>
    <w:rsid w:val="00EA6974"/>
    <w:rsid w:val="00EA776C"/>
    <w:rsid w:val="00EA7E51"/>
    <w:rsid w:val="00EB0C5D"/>
    <w:rsid w:val="00EB115B"/>
    <w:rsid w:val="00EB11A7"/>
    <w:rsid w:val="00EB2A96"/>
    <w:rsid w:val="00EB4FB8"/>
    <w:rsid w:val="00EB5A61"/>
    <w:rsid w:val="00EB5B4F"/>
    <w:rsid w:val="00EB6510"/>
    <w:rsid w:val="00EC29A1"/>
    <w:rsid w:val="00EC354E"/>
    <w:rsid w:val="00EC3701"/>
    <w:rsid w:val="00EC3ADD"/>
    <w:rsid w:val="00EC5B33"/>
    <w:rsid w:val="00EC66E0"/>
    <w:rsid w:val="00EC7041"/>
    <w:rsid w:val="00EC7BBB"/>
    <w:rsid w:val="00ED08FC"/>
    <w:rsid w:val="00ED1107"/>
    <w:rsid w:val="00ED1485"/>
    <w:rsid w:val="00ED1B0C"/>
    <w:rsid w:val="00ED1EFF"/>
    <w:rsid w:val="00ED4229"/>
    <w:rsid w:val="00ED5DFB"/>
    <w:rsid w:val="00ED5EBF"/>
    <w:rsid w:val="00EE23B1"/>
    <w:rsid w:val="00EE2F08"/>
    <w:rsid w:val="00EE310F"/>
    <w:rsid w:val="00EE4238"/>
    <w:rsid w:val="00EE65C8"/>
    <w:rsid w:val="00EE6EFB"/>
    <w:rsid w:val="00EE7963"/>
    <w:rsid w:val="00EF1001"/>
    <w:rsid w:val="00EF1CC0"/>
    <w:rsid w:val="00EF1D82"/>
    <w:rsid w:val="00EF358F"/>
    <w:rsid w:val="00EF3B76"/>
    <w:rsid w:val="00EF4DAE"/>
    <w:rsid w:val="00EF5111"/>
    <w:rsid w:val="00EF585E"/>
    <w:rsid w:val="00EF59A9"/>
    <w:rsid w:val="00F00310"/>
    <w:rsid w:val="00F00D0C"/>
    <w:rsid w:val="00F01A80"/>
    <w:rsid w:val="00F01AB1"/>
    <w:rsid w:val="00F038C2"/>
    <w:rsid w:val="00F04337"/>
    <w:rsid w:val="00F045B6"/>
    <w:rsid w:val="00F055FF"/>
    <w:rsid w:val="00F06637"/>
    <w:rsid w:val="00F07429"/>
    <w:rsid w:val="00F101B9"/>
    <w:rsid w:val="00F1108E"/>
    <w:rsid w:val="00F11706"/>
    <w:rsid w:val="00F11F49"/>
    <w:rsid w:val="00F11F5C"/>
    <w:rsid w:val="00F12106"/>
    <w:rsid w:val="00F12A74"/>
    <w:rsid w:val="00F13384"/>
    <w:rsid w:val="00F162F7"/>
    <w:rsid w:val="00F172D5"/>
    <w:rsid w:val="00F17961"/>
    <w:rsid w:val="00F2122F"/>
    <w:rsid w:val="00F213C3"/>
    <w:rsid w:val="00F21A64"/>
    <w:rsid w:val="00F22099"/>
    <w:rsid w:val="00F22E50"/>
    <w:rsid w:val="00F23F33"/>
    <w:rsid w:val="00F24CB1"/>
    <w:rsid w:val="00F24D85"/>
    <w:rsid w:val="00F2562E"/>
    <w:rsid w:val="00F26AD0"/>
    <w:rsid w:val="00F27FFA"/>
    <w:rsid w:val="00F326A5"/>
    <w:rsid w:val="00F32FD2"/>
    <w:rsid w:val="00F3474C"/>
    <w:rsid w:val="00F347FA"/>
    <w:rsid w:val="00F35333"/>
    <w:rsid w:val="00F367DE"/>
    <w:rsid w:val="00F36F4A"/>
    <w:rsid w:val="00F374E6"/>
    <w:rsid w:val="00F37EAE"/>
    <w:rsid w:val="00F37F4F"/>
    <w:rsid w:val="00F4114B"/>
    <w:rsid w:val="00F41C31"/>
    <w:rsid w:val="00F42ED3"/>
    <w:rsid w:val="00F4314C"/>
    <w:rsid w:val="00F4401D"/>
    <w:rsid w:val="00F45813"/>
    <w:rsid w:val="00F45EDC"/>
    <w:rsid w:val="00F50584"/>
    <w:rsid w:val="00F50DFA"/>
    <w:rsid w:val="00F5112B"/>
    <w:rsid w:val="00F52E67"/>
    <w:rsid w:val="00F54DCB"/>
    <w:rsid w:val="00F55AE5"/>
    <w:rsid w:val="00F56622"/>
    <w:rsid w:val="00F57775"/>
    <w:rsid w:val="00F5784E"/>
    <w:rsid w:val="00F60C51"/>
    <w:rsid w:val="00F61F9C"/>
    <w:rsid w:val="00F62015"/>
    <w:rsid w:val="00F625AD"/>
    <w:rsid w:val="00F6303F"/>
    <w:rsid w:val="00F63A56"/>
    <w:rsid w:val="00F652F1"/>
    <w:rsid w:val="00F65613"/>
    <w:rsid w:val="00F65EA2"/>
    <w:rsid w:val="00F665BE"/>
    <w:rsid w:val="00F70E8E"/>
    <w:rsid w:val="00F71DCF"/>
    <w:rsid w:val="00F72C32"/>
    <w:rsid w:val="00F737CD"/>
    <w:rsid w:val="00F743F2"/>
    <w:rsid w:val="00F74971"/>
    <w:rsid w:val="00F80C0A"/>
    <w:rsid w:val="00F82DE9"/>
    <w:rsid w:val="00F83AD9"/>
    <w:rsid w:val="00F85033"/>
    <w:rsid w:val="00F8511E"/>
    <w:rsid w:val="00F8530C"/>
    <w:rsid w:val="00F86BDA"/>
    <w:rsid w:val="00F86F41"/>
    <w:rsid w:val="00F90DA8"/>
    <w:rsid w:val="00F91805"/>
    <w:rsid w:val="00F9200D"/>
    <w:rsid w:val="00F925F4"/>
    <w:rsid w:val="00F930D2"/>
    <w:rsid w:val="00F938B1"/>
    <w:rsid w:val="00F94477"/>
    <w:rsid w:val="00F95B22"/>
    <w:rsid w:val="00F95B68"/>
    <w:rsid w:val="00F96CDD"/>
    <w:rsid w:val="00F96FB1"/>
    <w:rsid w:val="00FA007B"/>
    <w:rsid w:val="00FA231F"/>
    <w:rsid w:val="00FA428E"/>
    <w:rsid w:val="00FA5FD3"/>
    <w:rsid w:val="00FA65F0"/>
    <w:rsid w:val="00FA7684"/>
    <w:rsid w:val="00FB07D0"/>
    <w:rsid w:val="00FB16C2"/>
    <w:rsid w:val="00FB3011"/>
    <w:rsid w:val="00FB4924"/>
    <w:rsid w:val="00FB5233"/>
    <w:rsid w:val="00FB7681"/>
    <w:rsid w:val="00FC2183"/>
    <w:rsid w:val="00FC327E"/>
    <w:rsid w:val="00FC4AE3"/>
    <w:rsid w:val="00FC5126"/>
    <w:rsid w:val="00FC52E9"/>
    <w:rsid w:val="00FC58E4"/>
    <w:rsid w:val="00FC6103"/>
    <w:rsid w:val="00FC7D28"/>
    <w:rsid w:val="00FD07B1"/>
    <w:rsid w:val="00FD2378"/>
    <w:rsid w:val="00FD2412"/>
    <w:rsid w:val="00FD2477"/>
    <w:rsid w:val="00FD7093"/>
    <w:rsid w:val="00FD7FBF"/>
    <w:rsid w:val="00FE09DD"/>
    <w:rsid w:val="00FE6440"/>
    <w:rsid w:val="00FE6C02"/>
    <w:rsid w:val="00FF0E5E"/>
    <w:rsid w:val="00FF684B"/>
    <w:rsid w:val="00FF68BF"/>
    <w:rsid w:val="00FF7193"/>
    <w:rsid w:val="00FF7D39"/>
    <w:rsid w:val="0B501DD8"/>
    <w:rsid w:val="1A364932"/>
    <w:rsid w:val="1D9536DD"/>
    <w:rsid w:val="24CE00A0"/>
    <w:rsid w:val="25DD1479"/>
    <w:rsid w:val="47A71F42"/>
    <w:rsid w:val="4F294431"/>
    <w:rsid w:val="54FE36A2"/>
    <w:rsid w:val="578113E0"/>
    <w:rsid w:val="603D1A52"/>
    <w:rsid w:val="652478CE"/>
    <w:rsid w:val="72AA07EF"/>
    <w:rsid w:val="7FFF25EA"/>
    <w:rsid w:val="D75E0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0"/>
    <w:pPr>
      <w:keepNext/>
      <w:keepLines/>
      <w:pageBreakBefore/>
      <w:numPr>
        <w:ilvl w:val="0"/>
        <w:numId w:val="1"/>
      </w:numPr>
      <w:ind w:right="210" w:rightChars="100" w:firstLine="0" w:firstLineChars="0"/>
      <w:jc w:val="lef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7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right="210" w:rightChars="100" w:firstLine="0" w:firstLineChars="0"/>
      <w:jc w:val="left"/>
      <w:outlineLvl w:val="1"/>
    </w:pPr>
    <w:rPr>
      <w:rFonts w:asciiTheme="majorHAnsi" w:hAnsiTheme="majorHAnsi" w:eastAsiaTheme="majorEastAsia" w:cstheme="majorBidi"/>
      <w:b/>
      <w:color w:val="000000"/>
      <w:sz w:val="32"/>
      <w:szCs w:val="32"/>
    </w:rPr>
  </w:style>
  <w:style w:type="paragraph" w:styleId="4">
    <w:name w:val="heading 3"/>
    <w:basedOn w:val="1"/>
    <w:next w:val="1"/>
    <w:link w:val="38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right="210" w:rightChars="100" w:firstLine="0" w:firstLineChars="0"/>
      <w:jc w:val="left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39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ind w:firstLine="0" w:firstLineChars="0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0"/>
    <w:pPr>
      <w:keepNext/>
      <w:keepLines/>
      <w:numPr>
        <w:ilvl w:val="4"/>
        <w:numId w:val="1"/>
      </w:numPr>
      <w:spacing w:before="140" w:after="120"/>
      <w:ind w:left="0" w:firstLine="0"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ind w:firstLine="0" w:firstLineChars="0"/>
      <w:jc w:val="left"/>
      <w:outlineLvl w:val="5"/>
    </w:pPr>
    <w:rPr>
      <w:rFonts w:asciiTheme="majorHAnsi" w:hAnsiTheme="majorHAnsi" w:eastAsiaTheme="majorEastAsia" w:cstheme="majorBidi"/>
      <w:b/>
      <w:bCs/>
      <w:i/>
      <w:szCs w:val="24"/>
      <w:lang w:val="en-GB"/>
    </w:rPr>
  </w:style>
  <w:style w:type="paragraph" w:styleId="8">
    <w:name w:val="heading 7"/>
    <w:basedOn w:val="1"/>
    <w:next w:val="1"/>
    <w:link w:val="42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ind w:left="0" w:firstLine="0" w:firstLineChars="0"/>
      <w:outlineLvl w:val="6"/>
    </w:pPr>
    <w:rPr>
      <w:b/>
      <w:bCs/>
      <w:sz w:val="24"/>
      <w:szCs w:val="24"/>
      <w:lang w:val="en-GB"/>
    </w:rPr>
  </w:style>
  <w:style w:type="paragraph" w:styleId="9">
    <w:name w:val="heading 8"/>
    <w:basedOn w:val="1"/>
    <w:next w:val="1"/>
    <w:link w:val="43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ind w:firstLine="0" w:firstLineChars="0"/>
      <w:outlineLvl w:val="7"/>
    </w:pPr>
    <w:rPr>
      <w:rFonts w:asciiTheme="majorHAnsi" w:hAnsiTheme="majorHAnsi" w:eastAsiaTheme="majorEastAsia" w:cstheme="majorBidi"/>
      <w:sz w:val="24"/>
      <w:szCs w:val="24"/>
      <w:lang w:val="en-GB"/>
    </w:rPr>
  </w:style>
  <w:style w:type="paragraph" w:styleId="10">
    <w:name w:val="heading 9"/>
    <w:basedOn w:val="1"/>
    <w:next w:val="1"/>
    <w:link w:val="44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ind w:firstLine="0" w:firstLineChars="0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0">
    <w:name w:val="Default Paragraph Font"/>
    <w:unhideWhenUsed/>
    <w:qFormat/>
    <w:uiPriority w:val="1"/>
  </w:style>
  <w:style w:type="table" w:default="1" w:styleId="3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7"/>
    <w:unhideWhenUsed/>
    <w:qFormat/>
    <w:uiPriority w:val="99"/>
    <w:rPr>
      <w:b/>
      <w:bCs/>
    </w:rPr>
  </w:style>
  <w:style w:type="paragraph" w:styleId="12">
    <w:name w:val="annotation text"/>
    <w:basedOn w:val="1"/>
    <w:link w:val="56"/>
    <w:unhideWhenUsed/>
    <w:qFormat/>
    <w:uiPriority w:val="99"/>
    <w:pPr>
      <w:jc w:val="left"/>
    </w:pPr>
  </w:style>
  <w:style w:type="paragraph" w:styleId="13">
    <w:name w:val="toc 7"/>
    <w:basedOn w:val="1"/>
    <w:next w:val="1"/>
    <w:unhideWhenUsed/>
    <w:qFormat/>
    <w:uiPriority w:val="39"/>
    <w:pPr>
      <w:spacing w:line="240" w:lineRule="auto"/>
      <w:ind w:left="2520" w:leftChars="1200" w:firstLine="0" w:firstLineChars="0"/>
    </w:pPr>
  </w:style>
  <w:style w:type="paragraph" w:styleId="14">
    <w:name w:val="Normal Indent"/>
    <w:basedOn w:val="1"/>
    <w:link w:val="67"/>
    <w:qFormat/>
    <w:uiPriority w:val="0"/>
    <w:pPr>
      <w:spacing w:before="60" w:line="240" w:lineRule="auto"/>
      <w:ind w:firstLine="420" w:firstLineChars="0"/>
    </w:pPr>
    <w:rPr>
      <w:rFonts w:ascii="Times New Roman" w:hAnsi="Times New Roman" w:eastAsia="宋体" w:cs="Times New Roman"/>
      <w:szCs w:val="20"/>
    </w:rPr>
  </w:style>
  <w:style w:type="paragraph" w:styleId="15">
    <w:name w:val="caption"/>
    <w:basedOn w:val="1"/>
    <w:next w:val="1"/>
    <w:unhideWhenUsed/>
    <w:qFormat/>
    <w:uiPriority w:val="35"/>
    <w:pPr>
      <w:spacing w:before="120" w:after="120"/>
      <w:ind w:firstLine="400"/>
      <w:jc w:val="center"/>
    </w:pPr>
    <w:rPr>
      <w:rFonts w:eastAsia="黑体" w:asciiTheme="majorHAnsi" w:hAnsiTheme="majorHAnsi" w:cstheme="majorBidi"/>
      <w:sz w:val="20"/>
      <w:szCs w:val="20"/>
    </w:rPr>
  </w:style>
  <w:style w:type="paragraph" w:styleId="16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8">
    <w:name w:val="toc 8"/>
    <w:basedOn w:val="1"/>
    <w:next w:val="1"/>
    <w:unhideWhenUsed/>
    <w:qFormat/>
    <w:uiPriority w:val="39"/>
    <w:pPr>
      <w:spacing w:line="240" w:lineRule="auto"/>
      <w:ind w:left="2940" w:leftChars="1400" w:firstLine="0" w:firstLineChars="0"/>
    </w:pPr>
  </w:style>
  <w:style w:type="paragraph" w:styleId="19">
    <w:name w:val="Date"/>
    <w:basedOn w:val="1"/>
    <w:next w:val="1"/>
    <w:link w:val="65"/>
    <w:unhideWhenUsed/>
    <w:qFormat/>
    <w:uiPriority w:val="99"/>
    <w:pPr>
      <w:ind w:left="100" w:leftChars="2500"/>
    </w:pPr>
  </w:style>
  <w:style w:type="paragraph" w:styleId="20">
    <w:name w:val="Balloon Text"/>
    <w:basedOn w:val="1"/>
    <w:link w:val="58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21">
    <w:name w:val="footer"/>
    <w:basedOn w:val="1"/>
    <w:link w:val="5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4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unhideWhenUsed/>
    <w:qFormat/>
    <w:uiPriority w:val="39"/>
    <w:pPr>
      <w:tabs>
        <w:tab w:val="right" w:leader="dot" w:pos="8296"/>
      </w:tabs>
      <w:ind w:firstLine="420"/>
    </w:pPr>
  </w:style>
  <w:style w:type="paragraph" w:styleId="2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5">
    <w:name w:val="toc 6"/>
    <w:basedOn w:val="1"/>
    <w:next w:val="1"/>
    <w:unhideWhenUsed/>
    <w:qFormat/>
    <w:uiPriority w:val="39"/>
    <w:pPr>
      <w:spacing w:line="240" w:lineRule="auto"/>
      <w:ind w:left="2100" w:leftChars="1000" w:firstLine="0" w:firstLineChars="0"/>
    </w:pPr>
  </w:style>
  <w:style w:type="paragraph" w:styleId="2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7">
    <w:name w:val="toc 9"/>
    <w:basedOn w:val="1"/>
    <w:next w:val="1"/>
    <w:unhideWhenUsed/>
    <w:qFormat/>
    <w:uiPriority w:val="39"/>
    <w:pPr>
      <w:spacing w:line="240" w:lineRule="auto"/>
      <w:ind w:left="3360" w:leftChars="1600" w:firstLine="0" w:firstLineChars="0"/>
    </w:pPr>
  </w:style>
  <w:style w:type="paragraph" w:styleId="28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9">
    <w:name w:val="Title"/>
    <w:basedOn w:val="1"/>
    <w:next w:val="1"/>
    <w:link w:val="4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31">
    <w:name w:val="Hyperlink"/>
    <w:basedOn w:val="3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2">
    <w:name w:val="annotation reference"/>
    <w:basedOn w:val="30"/>
    <w:unhideWhenUsed/>
    <w:qFormat/>
    <w:uiPriority w:val="99"/>
    <w:rPr>
      <w:sz w:val="21"/>
      <w:szCs w:val="21"/>
    </w:rPr>
  </w:style>
  <w:style w:type="table" w:styleId="34">
    <w:name w:val="Table Grid"/>
    <w:basedOn w:val="3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5">
    <w:name w:val="Light List Accent 3"/>
    <w:basedOn w:val="33"/>
    <w:qFormat/>
    <w:uiPriority w:val="61"/>
    <w:rPr>
      <w:rFonts w:asciiTheme="minorHAnsi" w:hAnsiTheme="minorHAnsi" w:eastAsiaTheme="minorEastAsia" w:cstheme="minorBidi"/>
      <w:sz w:val="22"/>
      <w:szCs w:val="22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character" w:customStyle="1" w:styleId="36">
    <w:name w:val="标题 1 Char"/>
    <w:basedOn w:val="30"/>
    <w:link w:val="2"/>
    <w:qFormat/>
    <w:uiPriority w:val="0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37">
    <w:name w:val="标题 2 Char"/>
    <w:basedOn w:val="30"/>
    <w:link w:val="3"/>
    <w:qFormat/>
    <w:uiPriority w:val="0"/>
    <w:rPr>
      <w:rFonts w:asciiTheme="majorHAnsi" w:hAnsiTheme="majorHAnsi" w:eastAsiaTheme="majorEastAsia" w:cstheme="majorBidi"/>
      <w:b/>
      <w:color w:val="000000"/>
      <w:kern w:val="2"/>
      <w:sz w:val="32"/>
      <w:szCs w:val="32"/>
    </w:rPr>
  </w:style>
  <w:style w:type="character" w:customStyle="1" w:styleId="38">
    <w:name w:val="标题 3 Char"/>
    <w:basedOn w:val="30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30"/>
      <w:szCs w:val="32"/>
    </w:rPr>
  </w:style>
  <w:style w:type="character" w:customStyle="1" w:styleId="39">
    <w:name w:val="标题 4 Char"/>
    <w:basedOn w:val="30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0">
    <w:name w:val="标题 5 Char"/>
    <w:basedOn w:val="30"/>
    <w:link w:val="6"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41">
    <w:name w:val="标题 6 Char"/>
    <w:basedOn w:val="30"/>
    <w:link w:val="7"/>
    <w:qFormat/>
    <w:uiPriority w:val="0"/>
    <w:rPr>
      <w:rFonts w:asciiTheme="majorHAnsi" w:hAnsiTheme="majorHAnsi" w:eastAsiaTheme="majorEastAsia" w:cstheme="majorBidi"/>
      <w:b/>
      <w:bCs/>
      <w:i/>
      <w:kern w:val="2"/>
      <w:sz w:val="21"/>
      <w:szCs w:val="24"/>
      <w:lang w:val="en-GB"/>
    </w:rPr>
  </w:style>
  <w:style w:type="character" w:customStyle="1" w:styleId="42">
    <w:name w:val="标题 7 Char"/>
    <w:basedOn w:val="30"/>
    <w:link w:val="8"/>
    <w:qFormat/>
    <w:uiPriority w:val="0"/>
    <w:rPr>
      <w:rFonts w:asciiTheme="minorHAnsi" w:hAnsiTheme="minorHAnsi" w:eastAsiaTheme="minorEastAsia" w:cstheme="minorBidi"/>
      <w:b/>
      <w:bCs/>
      <w:kern w:val="2"/>
      <w:sz w:val="24"/>
      <w:szCs w:val="24"/>
      <w:lang w:val="en-GB"/>
    </w:rPr>
  </w:style>
  <w:style w:type="character" w:customStyle="1" w:styleId="43">
    <w:name w:val="标题 8 Char"/>
    <w:basedOn w:val="30"/>
    <w:link w:val="9"/>
    <w:qFormat/>
    <w:uiPriority w:val="0"/>
    <w:rPr>
      <w:rFonts w:asciiTheme="majorHAnsi" w:hAnsiTheme="majorHAnsi" w:eastAsiaTheme="majorEastAsia" w:cstheme="majorBidi"/>
      <w:kern w:val="2"/>
      <w:sz w:val="24"/>
      <w:szCs w:val="24"/>
      <w:lang w:val="en-GB"/>
    </w:rPr>
  </w:style>
  <w:style w:type="character" w:customStyle="1" w:styleId="44">
    <w:name w:val="标题 9 Char"/>
    <w:basedOn w:val="30"/>
    <w:link w:val="10"/>
    <w:qFormat/>
    <w:uiPriority w:val="0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45">
    <w:name w:val="标题 Char"/>
    <w:basedOn w:val="30"/>
    <w:link w:val="29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46">
    <w:name w:val="文档正文"/>
    <w:basedOn w:val="1"/>
    <w:link w:val="47"/>
    <w:qFormat/>
    <w:uiPriority w:val="0"/>
    <w:pPr>
      <w:ind w:firstLine="420"/>
    </w:pPr>
  </w:style>
  <w:style w:type="character" w:customStyle="1" w:styleId="47">
    <w:name w:val="文档正文 Char"/>
    <w:basedOn w:val="30"/>
    <w:link w:val="46"/>
    <w:qFormat/>
    <w:uiPriority w:val="0"/>
  </w:style>
  <w:style w:type="paragraph" w:customStyle="1" w:styleId="48">
    <w:name w:val="why正文1"/>
    <w:basedOn w:val="1"/>
    <w:qFormat/>
    <w:uiPriority w:val="0"/>
    <w:pPr>
      <w:widowControl/>
      <w:spacing w:afterLines="30"/>
      <w:ind w:firstLine="480"/>
    </w:pPr>
    <w:rPr>
      <w:rFonts w:ascii="Arial" w:hAnsi="Arial" w:eastAsia="宋体" w:cs="宋体"/>
      <w:kern w:val="0"/>
      <w:sz w:val="24"/>
      <w:szCs w:val="24"/>
      <w:lang w:val="en-GB"/>
    </w:rPr>
  </w:style>
  <w:style w:type="character" w:customStyle="1" w:styleId="49">
    <w:name w:val="页眉 Char"/>
    <w:basedOn w:val="30"/>
    <w:link w:val="22"/>
    <w:qFormat/>
    <w:uiPriority w:val="99"/>
    <w:rPr>
      <w:sz w:val="18"/>
      <w:szCs w:val="18"/>
    </w:rPr>
  </w:style>
  <w:style w:type="character" w:customStyle="1" w:styleId="50">
    <w:name w:val="页脚 Char"/>
    <w:basedOn w:val="30"/>
    <w:link w:val="21"/>
    <w:qFormat/>
    <w:uiPriority w:val="99"/>
    <w:rPr>
      <w:sz w:val="18"/>
      <w:szCs w:val="18"/>
    </w:rPr>
  </w:style>
  <w:style w:type="paragraph" w:customStyle="1" w:styleId="51">
    <w:name w:val="List Paragraph"/>
    <w:basedOn w:val="1"/>
    <w:link w:val="52"/>
    <w:qFormat/>
    <w:uiPriority w:val="34"/>
    <w:pPr>
      <w:ind w:firstLine="420"/>
    </w:pPr>
  </w:style>
  <w:style w:type="character" w:customStyle="1" w:styleId="52">
    <w:name w:val="列出段落 Char"/>
    <w:link w:val="51"/>
    <w:qFormat/>
    <w:uiPriority w:val="34"/>
  </w:style>
  <w:style w:type="paragraph" w:customStyle="1" w:styleId="5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54">
    <w:name w:val="自选样式 2"/>
    <w:next w:val="1"/>
    <w:qFormat/>
    <w:uiPriority w:val="0"/>
    <w:pPr>
      <w:spacing w:line="300" w:lineRule="auto"/>
    </w:pPr>
    <w:rPr>
      <w:rFonts w:ascii="Times New Roman" w:hAnsi="Times New Roman" w:eastAsia="文鼎新艺体" w:cs="Times New Roman"/>
      <w:sz w:val="28"/>
      <w:lang w:val="en-US" w:eastAsia="zh-CN" w:bidi="ar-SA"/>
    </w:rPr>
  </w:style>
  <w:style w:type="paragraph" w:customStyle="1" w:styleId="55">
    <w:name w:val="Cover-other"/>
    <w:basedOn w:val="1"/>
    <w:qFormat/>
    <w:uiPriority w:val="0"/>
    <w:pPr>
      <w:adjustRightInd w:val="0"/>
      <w:spacing w:after="60" w:line="360" w:lineRule="atLeast"/>
      <w:ind w:firstLine="0" w:firstLineChars="0"/>
      <w:jc w:val="center"/>
      <w:textAlignment w:val="baseline"/>
    </w:pPr>
    <w:rPr>
      <w:rFonts w:ascii="Times New Roman" w:hAnsi="Times New Roman" w:eastAsia="Times New Roman" w:cs="Times New Roman"/>
      <w:b/>
      <w:kern w:val="0"/>
      <w:szCs w:val="24"/>
      <w:lang w:eastAsia="en-US"/>
    </w:rPr>
  </w:style>
  <w:style w:type="character" w:customStyle="1" w:styleId="56">
    <w:name w:val="批注文字 Char"/>
    <w:basedOn w:val="30"/>
    <w:link w:val="12"/>
    <w:qFormat/>
    <w:uiPriority w:val="99"/>
  </w:style>
  <w:style w:type="character" w:customStyle="1" w:styleId="57">
    <w:name w:val="批注主题 Char"/>
    <w:basedOn w:val="56"/>
    <w:link w:val="11"/>
    <w:semiHidden/>
    <w:qFormat/>
    <w:uiPriority w:val="99"/>
    <w:rPr>
      <w:b/>
      <w:bCs/>
    </w:rPr>
  </w:style>
  <w:style w:type="character" w:customStyle="1" w:styleId="58">
    <w:name w:val="批注框文本 Char"/>
    <w:basedOn w:val="30"/>
    <w:link w:val="20"/>
    <w:semiHidden/>
    <w:qFormat/>
    <w:uiPriority w:val="99"/>
    <w:rPr>
      <w:sz w:val="18"/>
      <w:szCs w:val="18"/>
    </w:rPr>
  </w:style>
  <w:style w:type="paragraph" w:customStyle="1" w:styleId="59">
    <w:name w:val="No Spacing"/>
    <w:qFormat/>
    <w:uiPriority w:val="1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60">
    <w:name w:val="Mention"/>
    <w:basedOn w:val="30"/>
    <w:unhideWhenUsed/>
    <w:qFormat/>
    <w:uiPriority w:val="99"/>
    <w:rPr>
      <w:color w:val="2B579A"/>
      <w:shd w:val="clear" w:color="auto" w:fill="E6E6E6"/>
    </w:rPr>
  </w:style>
  <w:style w:type="paragraph" w:customStyle="1" w:styleId="61">
    <w:name w:val="Default"/>
    <w:qFormat/>
    <w:uiPriority w:val="0"/>
    <w:pPr>
      <w:widowControl w:val="0"/>
      <w:autoSpaceDE w:val="0"/>
      <w:autoSpaceDN w:val="0"/>
      <w:adjustRightInd w:val="0"/>
    </w:pPr>
    <w:rPr>
      <w:rFonts w:ascii="楷体" w:hAnsi="楷体" w:eastAsia="宋体" w:cs="楷体"/>
      <w:color w:val="000000"/>
      <w:sz w:val="24"/>
      <w:szCs w:val="24"/>
      <w:lang w:val="en-US" w:eastAsia="zh-CN" w:bidi="ar-SA"/>
    </w:rPr>
  </w:style>
  <w:style w:type="character" w:customStyle="1" w:styleId="62">
    <w:name w:val="font461"/>
    <w:basedOn w:val="30"/>
    <w:qFormat/>
    <w:uiPriority w:val="0"/>
    <w:rPr>
      <w:rFonts w:hint="default" w:ascii="Calibri" w:hAnsi="Calibri" w:cs="Calibri"/>
      <w:color w:val="000000"/>
      <w:sz w:val="21"/>
      <w:szCs w:val="21"/>
      <w:u w:val="none"/>
    </w:rPr>
  </w:style>
  <w:style w:type="character" w:customStyle="1" w:styleId="63">
    <w:name w:val="font471"/>
    <w:basedOn w:val="30"/>
    <w:qFormat/>
    <w:uiPriority w:val="0"/>
    <w:rPr>
      <w:rFonts w:hint="eastAsia" w:ascii="宋体" w:hAnsi="宋体" w:eastAsia="宋体"/>
      <w:color w:val="000000"/>
      <w:sz w:val="21"/>
      <w:szCs w:val="21"/>
      <w:u w:val="none"/>
    </w:rPr>
  </w:style>
  <w:style w:type="table" w:customStyle="1" w:styleId="64">
    <w:name w:val="网格型1"/>
    <w:basedOn w:val="33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5">
    <w:name w:val="日期 Char"/>
    <w:basedOn w:val="30"/>
    <w:link w:val="19"/>
    <w:semiHidden/>
    <w:qFormat/>
    <w:uiPriority w:val="99"/>
  </w:style>
  <w:style w:type="character" w:customStyle="1" w:styleId="66">
    <w:name w:val="Unresolved Mention"/>
    <w:basedOn w:val="30"/>
    <w:unhideWhenUsed/>
    <w:qFormat/>
    <w:uiPriority w:val="99"/>
    <w:rPr>
      <w:color w:val="808080"/>
      <w:shd w:val="clear" w:color="auto" w:fill="E6E6E6"/>
    </w:rPr>
  </w:style>
  <w:style w:type="character" w:customStyle="1" w:styleId="67">
    <w:name w:val="正文缩进 Char"/>
    <w:link w:val="14"/>
    <w:qFormat/>
    <w:uiPriority w:val="0"/>
    <w:rPr>
      <w:rFonts w:ascii="Times New Roman" w:hAnsi="Times New Roman" w:eastAsia="宋体" w:cs="Times New Roman"/>
      <w:szCs w:val="20"/>
    </w:rPr>
  </w:style>
  <w:style w:type="paragraph" w:customStyle="1" w:styleId="68">
    <w:name w:val="列出段落1"/>
    <w:basedOn w:val="1"/>
    <w:qFormat/>
    <w:uiPriority w:val="34"/>
    <w:pPr>
      <w:ind w:firstLine="420"/>
    </w:pPr>
    <w:rPr>
      <w:rFonts w:ascii="宋体" w:hAnsi="宋体" w:eastAsia="宋体" w:cs="Times New Roman"/>
      <w:color w:val="000000"/>
      <w:szCs w:val="21"/>
    </w:rPr>
  </w:style>
  <w:style w:type="paragraph" w:customStyle="1" w:styleId="69">
    <w:name w:val="列表段落1"/>
    <w:basedOn w:val="1"/>
    <w:qFormat/>
    <w:uiPriority w:val="99"/>
    <w:pPr>
      <w:ind w:firstLine="420"/>
    </w:pPr>
    <w:rPr>
      <w:rFonts w:ascii="宋体" w:hAnsi="宋体" w:eastAsia="宋体" w:cs="Times New Roman"/>
      <w:color w:val="000000"/>
      <w:szCs w:val="21"/>
    </w:rPr>
  </w:style>
  <w:style w:type="table" w:customStyle="1" w:styleId="70">
    <w:name w:val="网格型2"/>
    <w:basedOn w:val="33"/>
    <w:qFormat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1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1" Type="http://schemas.microsoft.com/office/2011/relationships/people" Target="people.xml"/><Relationship Id="rId40" Type="http://schemas.openxmlformats.org/officeDocument/2006/relationships/fontTable" Target="fontTable.xml"/><Relationship Id="rId4" Type="http://schemas.microsoft.com/office/2011/relationships/commentsExtended" Target="commentsExtended.xml"/><Relationship Id="rId39" Type="http://schemas.microsoft.com/office/2006/relationships/keyMapCustomizations" Target="customizations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comments" Target="comment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27</Pages>
  <Words>1438</Words>
  <Characters>8200</Characters>
  <Lines>68</Lines>
  <Paragraphs>19</Paragraphs>
  <ScaleCrop>false</ScaleCrop>
  <LinksUpToDate>false</LinksUpToDate>
  <CharactersWithSpaces>9619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2019-01-16T01:42:00Z</dcterms:created>
  <dc:creator>王梦秋</dc:creator>
  <cp:lastModifiedBy>Slark</cp:lastModifiedBy>
  <dcterms:modified xsi:type="dcterms:W3CDTF">2020-07-24T16:01:41Z</dcterms:modified>
  <cp:revision>291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