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1DA" w:rsidRDefault="00C56EA4">
      <w:pPr>
        <w:spacing w:before="700"/>
        <w:jc w:val="center"/>
      </w:pPr>
      <w:bookmarkStart w:id="0" w:name="_GoBack"/>
      <w:bookmarkEnd w:id="0"/>
      <w:r>
        <w:rPr>
          <w:b/>
          <w:color w:val="1F4E79"/>
          <w:sz w:val="50"/>
        </w:rPr>
        <w:t>제조공정 위험분석 및 FMEA</w:t>
      </w:r>
    </w:p>
    <w:p w:rsidR="00BA51DA" w:rsidRDefault="00C56EA4">
      <w:pPr>
        <w:jc w:val="center"/>
      </w:pPr>
      <w:r>
        <w:rPr>
          <w:b/>
          <w:sz w:val="32"/>
        </w:rPr>
        <w:t>뇌혈관용 혈전 제거 마이크로카테터</w:t>
      </w:r>
    </w:p>
    <w:p w:rsidR="00BA51DA" w:rsidRDefault="00C56EA4">
      <w:pPr>
        <w:jc w:val="center"/>
      </w:pPr>
      <w:r>
        <w:rPr>
          <w:b/>
          <w:sz w:val="24"/>
        </w:rPr>
        <w:t>문서번호 QP-71-F03  |  개정번호 Rev.00</w:t>
      </w:r>
    </w:p>
    <w:p w:rsidR="00BA51DA" w:rsidRDefault="00BA51DA"/>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448"/>
        <w:gridCol w:w="7488"/>
      </w:tblGrid>
      <w:tr w:rsidR="00BA51DA">
        <w:trPr>
          <w:tblHeader/>
          <w:jc w:val="center"/>
        </w:trPr>
        <w:tc>
          <w:tcPr>
            <w:tcW w:w="2448"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rPr>
              <w:t>문서관리 항목</w:t>
            </w:r>
          </w:p>
        </w:tc>
        <w:tc>
          <w:tcPr>
            <w:tcW w:w="7488"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rPr>
              <w:t>기입 내용</w:t>
            </w:r>
          </w:p>
        </w:tc>
      </w:tr>
      <w:tr w:rsidR="00BA51DA">
        <w:trPr>
          <w:jc w:val="center"/>
        </w:trPr>
        <w:tc>
          <w:tcPr>
            <w:tcW w:w="2448" w:type="dxa"/>
            <w:shd w:val="clear" w:color="auto" w:fill="FFFFFF"/>
            <w:tcMar>
              <w:top w:w="100" w:type="dxa"/>
              <w:left w:w="110" w:type="dxa"/>
              <w:bottom w:w="100" w:type="dxa"/>
              <w:right w:w="110" w:type="dxa"/>
            </w:tcMar>
            <w:vAlign w:val="center"/>
          </w:tcPr>
          <w:p w:rsidR="00BA51DA" w:rsidRDefault="00C56EA4">
            <w:pPr>
              <w:spacing w:before="20" w:after="20" w:line="259" w:lineRule="auto"/>
            </w:pPr>
            <w:r>
              <w:t>시행일</w:t>
            </w:r>
          </w:p>
        </w:tc>
        <w:tc>
          <w:tcPr>
            <w:tcW w:w="7488" w:type="dxa"/>
            <w:shd w:val="clear" w:color="auto" w:fill="FFFFFF"/>
            <w:tcMar>
              <w:top w:w="100" w:type="dxa"/>
              <w:left w:w="110" w:type="dxa"/>
              <w:bottom w:w="100" w:type="dxa"/>
              <w:right w:w="110" w:type="dxa"/>
            </w:tcMar>
            <w:vAlign w:val="center"/>
          </w:tcPr>
          <w:p w:rsidR="00BA51DA" w:rsidRDefault="00C56EA4">
            <w:r>
              <w:t>승인 후 확정 (승인일 기준)</w:t>
            </w:r>
          </w:p>
        </w:tc>
      </w:tr>
      <w:tr w:rsidR="00BA51DA">
        <w:trPr>
          <w:jc w:val="center"/>
        </w:trPr>
        <w:tc>
          <w:tcPr>
            <w:tcW w:w="2448" w:type="dxa"/>
            <w:shd w:val="clear" w:color="auto" w:fill="F3F6F9"/>
            <w:tcMar>
              <w:top w:w="100" w:type="dxa"/>
              <w:left w:w="110" w:type="dxa"/>
              <w:bottom w:w="100" w:type="dxa"/>
              <w:right w:w="110" w:type="dxa"/>
            </w:tcMar>
            <w:vAlign w:val="center"/>
          </w:tcPr>
          <w:p w:rsidR="00BA51DA" w:rsidRDefault="00C56EA4">
            <w:pPr>
              <w:spacing w:before="20" w:after="20" w:line="259" w:lineRule="auto"/>
            </w:pPr>
            <w:r>
              <w:t>작성 / 검토 / 승인</w:t>
            </w:r>
          </w:p>
        </w:tc>
        <w:tc>
          <w:tcPr>
            <w:tcW w:w="7488" w:type="dxa"/>
            <w:shd w:val="clear" w:color="auto" w:fill="F3F6F9"/>
            <w:tcMar>
              <w:top w:w="100" w:type="dxa"/>
              <w:left w:w="110" w:type="dxa"/>
              <w:bottom w:w="100" w:type="dxa"/>
              <w:right w:w="110" w:type="dxa"/>
            </w:tcMar>
            <w:vAlign w:val="center"/>
          </w:tcPr>
          <w:p w:rsidR="00BA51DA" w:rsidRDefault="00C56EA4">
            <w:r>
              <w:t>작성: __________________   검토: __________________   승인: __________________</w:t>
            </w:r>
          </w:p>
        </w:tc>
      </w:tr>
      <w:tr w:rsidR="00BA51DA">
        <w:trPr>
          <w:jc w:val="center"/>
        </w:trPr>
        <w:tc>
          <w:tcPr>
            <w:tcW w:w="2448" w:type="dxa"/>
            <w:shd w:val="clear" w:color="auto" w:fill="FFFFFF"/>
            <w:tcMar>
              <w:top w:w="100" w:type="dxa"/>
              <w:left w:w="110" w:type="dxa"/>
              <w:bottom w:w="100" w:type="dxa"/>
              <w:right w:w="110" w:type="dxa"/>
            </w:tcMar>
            <w:vAlign w:val="center"/>
          </w:tcPr>
          <w:p w:rsidR="00BA51DA" w:rsidRDefault="00C56EA4">
            <w:pPr>
              <w:spacing w:before="20" w:after="20" w:line="259" w:lineRule="auto"/>
            </w:pPr>
            <w:r>
              <w:t>문서 상태</w:t>
            </w:r>
          </w:p>
        </w:tc>
        <w:tc>
          <w:tcPr>
            <w:tcW w:w="7488" w:type="dxa"/>
            <w:shd w:val="clear" w:color="auto" w:fill="FFFFFF"/>
            <w:tcMar>
              <w:top w:w="100" w:type="dxa"/>
              <w:left w:w="110" w:type="dxa"/>
              <w:bottom w:w="100" w:type="dxa"/>
              <w:right w:w="110" w:type="dxa"/>
            </w:tcMar>
            <w:vAlign w:val="center"/>
          </w:tcPr>
          <w:p w:rsidR="00BA51DA" w:rsidRDefault="00C56EA4">
            <w:r>
              <w:t>초안 (검토 중)</w:t>
            </w:r>
          </w:p>
        </w:tc>
      </w:tr>
    </w:tbl>
    <w:p w:rsidR="00BA51DA" w:rsidRDefault="00BA51DA">
      <w:pPr>
        <w:spacing w:after="20"/>
      </w:pPr>
    </w:p>
    <w:p w:rsidR="00BA51DA" w:rsidRDefault="00C56EA4">
      <w:r>
        <w:rPr>
          <w:b/>
        </w:rPr>
        <w:t>개정 이력</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1550"/>
        <w:gridCol w:w="1500"/>
        <w:gridCol w:w="5250"/>
        <w:gridCol w:w="1636"/>
      </w:tblGrid>
      <w:tr w:rsidR="00BA51DA">
        <w:trPr>
          <w:tblHeader/>
          <w:jc w:val="center"/>
        </w:trPr>
        <w:tc>
          <w:tcPr>
            <w:tcW w:w="15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개정번호</w:t>
            </w:r>
          </w:p>
        </w:tc>
        <w:tc>
          <w:tcPr>
            <w:tcW w:w="150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일자</w:t>
            </w:r>
          </w:p>
        </w:tc>
        <w:tc>
          <w:tcPr>
            <w:tcW w:w="52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개정 내용</w:t>
            </w:r>
          </w:p>
        </w:tc>
        <w:tc>
          <w:tcPr>
            <w:tcW w:w="1636"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작성</w:t>
            </w:r>
          </w:p>
        </w:tc>
      </w:tr>
      <w:tr w:rsidR="00BA51DA">
        <w:trPr>
          <w:jc w:val="center"/>
        </w:trPr>
        <w:tc>
          <w:tcPr>
            <w:tcW w:w="15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Rev.00 (초안)</w:t>
            </w:r>
          </w:p>
        </w:tc>
        <w:tc>
          <w:tcPr>
            <w:tcW w:w="15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2026-10-26</w:t>
            </w:r>
          </w:p>
        </w:tc>
        <w:tc>
          <w:tcPr>
            <w:tcW w:w="5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최초 작성. 검토 의견 반영: 심각도 기준 통일, O/D 재평가 및 점수 근거 추가, 고장형태 분리(04·05·06·07), 조치 추적표 보완(전 공정·재평가 열), 참고 표준 명시</w:t>
            </w:r>
          </w:p>
        </w:tc>
        <w:tc>
          <w:tcPr>
            <w:tcW w:w="1636"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r>
    </w:tbl>
    <w:p w:rsidR="00BA51DA" w:rsidRDefault="00BA51DA">
      <w:pPr>
        <w:spacing w:after="20"/>
      </w:pPr>
    </w:p>
    <w:p w:rsidR="00BA51DA" w:rsidRDefault="00C56EA4">
      <w:pPr>
        <w:pStyle w:val="1"/>
      </w:pPr>
      <w:r>
        <w:t xml:space="preserve">1. </w:t>
      </w:r>
      <w:r>
        <w:t>목적</w:t>
      </w:r>
    </w:p>
    <w:p w:rsidR="00BA51DA" w:rsidRDefault="00C56EA4">
      <w:r>
        <w:t>본 문서는 뇌혈관용 혈전 제거 마이크로카테터의 제조공정에서 발생할 수 있는 잠재적 고장형태와 그 원인, 제품 기능 및 환자에 미치는 영향을 식별하고, 위험통제 조치와 조치 효과의 확인 방법을 추적하기 위한 제조공정 FMEA(Process FMEA)이다.</w:t>
      </w:r>
    </w:p>
    <w:p w:rsidR="00BA51DA" w:rsidRDefault="00C56EA4">
      <w:pPr>
        <w:pStyle w:val="1"/>
      </w:pPr>
      <w:r>
        <w:t xml:space="preserve">2. </w:t>
      </w:r>
      <w:r>
        <w:t>적용</w:t>
      </w:r>
      <w:r>
        <w:t xml:space="preserve"> </w:t>
      </w:r>
      <w:r>
        <w:t>범위</w:t>
      </w:r>
    </w:p>
    <w:p w:rsidR="00BA51DA" w:rsidRDefault="00C56EA4">
      <w:r>
        <w:t>원재료 입고 및 검사부터 부품 가공, 말단부 가공, 접합·조립, 기능 부품 조립, 내부 통로 관리, 세척 및 이물 관리, 완제품 검사, 포장·밀봉, EO 멸균, EO 잔류물 관리 및 최종 출하·표시까지의 공정에 적용한다. 외주 공정은 공급자 관리 및 품질협약에 따라 위험과 기록을 연계한다. 적용 범위는 공정 흐름도와 대조하여 확정한다(섹션 3 참조).</w:t>
      </w:r>
    </w:p>
    <w:p w:rsidR="00BA51DA" w:rsidRDefault="00C56EA4">
      <w:pPr>
        <w:pStyle w:val="1"/>
      </w:pPr>
      <w:r>
        <w:lastRenderedPageBreak/>
        <w:t xml:space="preserve">3. </w:t>
      </w:r>
      <w:r>
        <w:t>제품</w:t>
      </w:r>
      <w:r>
        <w:t xml:space="preserve"> </w:t>
      </w:r>
      <w:r>
        <w:t>및</w:t>
      </w:r>
      <w:r>
        <w:t xml:space="preserve"> </w:t>
      </w:r>
      <w:r>
        <w:t>분석</w:t>
      </w:r>
      <w:r>
        <w:t xml:space="preserve"> </w:t>
      </w:r>
      <w:r>
        <w:t>전제</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정의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제품명</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뇌혈관용 혈전 제거 마이크로카테터</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r>
              <w:t>사용목적</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뇌혈관 중재시술 시 카테터 자체의 기능으로 혈전을 제거하여 혈관의 혈류를 회복하는 데 사용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r>
              <w:t>멸균 방식</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EO 가스 멸균</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분석 방법</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공정별 잠재 고장형태, 원인, 영향/위해, 예방·검출 관리 및 추가 위험통제 조치 검토</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자료 한계</w:t>
            </w:r>
          </w:p>
        </w:tc>
        <w:tc>
          <w:tcPr>
            <w:tcW w:w="7344" w:type="dxa"/>
            <w:shd w:val="clear" w:color="auto" w:fill="FFFFFF"/>
            <w:tcMar>
              <w:top w:w="100" w:type="dxa"/>
              <w:left w:w="110" w:type="dxa"/>
              <w:bottom w:w="100" w:type="dxa"/>
              <w:right w:w="110" w:type="dxa"/>
            </w:tcMar>
            <w:vAlign w:val="center"/>
          </w:tcPr>
          <w:p w:rsidR="00BA51DA" w:rsidRDefault="00C56EA4">
            <w:r>
              <w:t>제품 사양, 공정 흐름, 위험평가 근거자료 및 관련 검증·밸리데이션 기록은 승인된 위험관리 파일과 연계하여 관리한다. 위험통제 조치의 이행 및 효과 확인 결과는 조치 추적 기록에 따라 유지·갱신한다.</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공정 범위 확인</w:t>
            </w:r>
          </w:p>
        </w:tc>
        <w:tc>
          <w:tcPr>
            <w:tcW w:w="7344" w:type="dxa"/>
            <w:shd w:val="clear" w:color="auto" w:fill="F3F6F9"/>
            <w:tcMar>
              <w:top w:w="100" w:type="dxa"/>
              <w:left w:w="110" w:type="dxa"/>
              <w:bottom w:w="100" w:type="dxa"/>
              <w:right w:w="110" w:type="dxa"/>
            </w:tcMar>
            <w:vAlign w:val="center"/>
          </w:tcPr>
          <w:p w:rsidR="00BA51DA" w:rsidRDefault="00C56EA4">
            <w:r>
              <w:t>공정 흐름도와 대조하여 다음 공정의 해당 여부와 포함 여부를 확인한다: 코팅(박리·입자), 압출·편조·코일, 열처리, 허브·스트레인 릴리프 접합, 마커·마킹, 바이오버든 및 제조환경 관리. 완제품 검사(08)는 포장·멸균 전에 수행되므로, 포장·멸균 중 발생한 손상은 09·10의 검출 통제와 멸균 후 외관·기능 확인 여부를 공정 흐름도와 대조하여 확정한다.</w:t>
            </w:r>
          </w:p>
        </w:tc>
      </w:tr>
    </w:tbl>
    <w:p w:rsidR="00BA51DA" w:rsidRDefault="00BA51DA">
      <w:pPr>
        <w:spacing w:after="20"/>
      </w:pPr>
    </w:p>
    <w:p w:rsidR="00BA51DA" w:rsidRDefault="00C56EA4">
      <w:pPr>
        <w:pStyle w:val="1"/>
      </w:pPr>
      <w:r>
        <w:t xml:space="preserve">4. </w:t>
      </w:r>
      <w:r>
        <w:t>역할과</w:t>
      </w:r>
      <w:r>
        <w:t xml:space="preserve"> </w:t>
      </w:r>
      <w:r>
        <w:t>책임</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3168"/>
        <w:gridCol w:w="6768"/>
      </w:tblGrid>
      <w:tr w:rsidR="00BA51DA">
        <w:trPr>
          <w:tblHeader/>
          <w:jc w:val="center"/>
        </w:trPr>
        <w:tc>
          <w:tcPr>
            <w:tcW w:w="3168"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담당</w:t>
            </w:r>
          </w:p>
        </w:tc>
        <w:tc>
          <w:tcPr>
            <w:tcW w:w="6768"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주요 책임</w:t>
            </w:r>
          </w:p>
        </w:tc>
      </w:tr>
      <w:tr w:rsidR="00BA51DA">
        <w:trPr>
          <w:jc w:val="center"/>
        </w:trPr>
        <w:tc>
          <w:tcPr>
            <w:tcW w:w="31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품질책임자 / 위험관리 책임자</w:t>
            </w:r>
          </w:p>
        </w:tc>
        <w:tc>
          <w:tcPr>
            <w:tcW w:w="67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위험평가 기준 및 결과 검토, 위험통제와 잔여위험의 적절성 확인, 기록 완전성 검토</w:t>
            </w:r>
          </w:p>
        </w:tc>
      </w:tr>
      <w:tr w:rsidR="00BA51DA">
        <w:trPr>
          <w:jc w:val="center"/>
        </w:trPr>
        <w:tc>
          <w:tcPr>
            <w:tcW w:w="3168"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제조 / 공정 담당</w:t>
            </w:r>
          </w:p>
        </w:tc>
        <w:tc>
          <w:tcPr>
            <w:tcW w:w="6768"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실제 공정 흐름·조건 제공, 공정 위험 검토, 예방·검출 관리와 기록의 유효성 확인</w:t>
            </w:r>
          </w:p>
        </w:tc>
      </w:tr>
      <w:tr w:rsidR="00BA51DA">
        <w:trPr>
          <w:jc w:val="center"/>
        </w:trPr>
        <w:tc>
          <w:tcPr>
            <w:tcW w:w="31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설계 / 개발 담당</w:t>
            </w:r>
          </w:p>
        </w:tc>
        <w:tc>
          <w:tcPr>
            <w:tcW w:w="67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제품 사양·설계 특성과 제조공정 위험의 연계성 검토</w:t>
            </w:r>
          </w:p>
        </w:tc>
      </w:tr>
      <w:tr w:rsidR="00BA51DA">
        <w:trPr>
          <w:jc w:val="center"/>
        </w:trPr>
        <w:tc>
          <w:tcPr>
            <w:tcW w:w="3168"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멸균 / 공급자 담당</w:t>
            </w:r>
          </w:p>
        </w:tc>
        <w:tc>
          <w:tcPr>
            <w:tcW w:w="6768"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EO 멸균, 포장, 에어레이션 및 외주공정 관련 검증 자료 제공·검토</w:t>
            </w:r>
          </w:p>
        </w:tc>
      </w:tr>
      <w:tr w:rsidR="00BA51DA">
        <w:trPr>
          <w:jc w:val="center"/>
        </w:trPr>
        <w:tc>
          <w:tcPr>
            <w:tcW w:w="31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lastRenderedPageBreak/>
              <w:t>RA 담당</w:t>
            </w:r>
          </w:p>
        </w:tc>
        <w:tc>
          <w:tcPr>
            <w:tcW w:w="6768"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적용 규제·표준 검토, 위험관리 파일과 기술문서 간 추적성 확인</w:t>
            </w:r>
          </w:p>
        </w:tc>
      </w:tr>
    </w:tbl>
    <w:p w:rsidR="00BA51DA" w:rsidRDefault="00BA51DA">
      <w:pPr>
        <w:spacing w:after="20"/>
      </w:pPr>
    </w:p>
    <w:p w:rsidR="00BA51DA" w:rsidRDefault="00C56EA4">
      <w:pPr>
        <w:pStyle w:val="1"/>
      </w:pPr>
      <w:r>
        <w:t xml:space="preserve">5. </w:t>
      </w:r>
      <w:r>
        <w:t>위험평가</w:t>
      </w:r>
      <w:r>
        <w:t xml:space="preserve"> </w:t>
      </w:r>
      <w:r>
        <w:t>방법</w:t>
      </w:r>
    </w:p>
    <w:p w:rsidR="00BA51DA" w:rsidRDefault="00C56EA4">
      <w:r>
        <w:t>각 공정에서 잠재 고장형태, 원인, 다음 공정·사용자·환자에 미치는 영향과 잠재 위해를 검토한다. 예방 통제와 검출 통제를 구분하고, 추가 위험통제 조치의 실행 증거 및 효과 확인 결과를 기록한다.</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864"/>
        <w:gridCol w:w="3744"/>
        <w:gridCol w:w="2592"/>
        <w:gridCol w:w="2736"/>
      </w:tblGrid>
      <w:tr w:rsidR="00BA51DA">
        <w:trPr>
          <w:tblHeader/>
          <w:jc w:val="center"/>
        </w:trPr>
        <w:tc>
          <w:tcPr>
            <w:tcW w:w="86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점수</w:t>
            </w:r>
          </w:p>
        </w:tc>
        <w:tc>
          <w:tcPr>
            <w:tcW w:w="37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심각도(S)</w:t>
            </w:r>
          </w:p>
        </w:tc>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발생도(O)</w:t>
            </w:r>
          </w:p>
        </w:tc>
        <w:tc>
          <w:tcPr>
            <w:tcW w:w="2736"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검출도(D)</w:t>
            </w:r>
          </w:p>
        </w:tc>
      </w:tr>
      <w:tr w:rsidR="00BA51DA">
        <w:trPr>
          <w:jc w:val="center"/>
        </w:trPr>
        <w:tc>
          <w:tcPr>
            <w:tcW w:w="86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1</w:t>
            </w:r>
          </w:p>
        </w:tc>
        <w:tc>
          <w:tcPr>
            <w:tcW w:w="37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위해 없음 또는 무시할 수 있는 영향</w:t>
            </w:r>
          </w:p>
        </w:tc>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매우 드묾</w:t>
            </w:r>
          </w:p>
        </w:tc>
        <w:tc>
          <w:tcPr>
            <w:tcW w:w="27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거의 확실하게 검출</w:t>
            </w:r>
          </w:p>
        </w:tc>
      </w:tr>
      <w:tr w:rsidR="00BA51DA">
        <w:trPr>
          <w:jc w:val="center"/>
        </w:trPr>
        <w:tc>
          <w:tcPr>
            <w:tcW w:w="86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2</w:t>
            </w:r>
          </w:p>
        </w:tc>
        <w:tc>
          <w:tcPr>
            <w:tcW w:w="37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경미하고 일시적인 영향</w:t>
            </w:r>
          </w:p>
        </w:tc>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드묾</w:t>
            </w:r>
          </w:p>
        </w:tc>
        <w:tc>
          <w:tcPr>
            <w:tcW w:w="27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높은 확률로 검출</w:t>
            </w:r>
          </w:p>
        </w:tc>
      </w:tr>
      <w:tr w:rsidR="00BA51DA">
        <w:trPr>
          <w:jc w:val="center"/>
        </w:trPr>
        <w:tc>
          <w:tcPr>
            <w:tcW w:w="86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3</w:t>
            </w:r>
          </w:p>
        </w:tc>
        <w:tc>
          <w:tcPr>
            <w:tcW w:w="37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의학적 처치 또는 중재가 필요할 수 있음</w:t>
            </w:r>
          </w:p>
        </w:tc>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가끔 발생 가능</w:t>
            </w:r>
          </w:p>
        </w:tc>
        <w:tc>
          <w:tcPr>
            <w:tcW w:w="27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일부 조건에서 검출</w:t>
            </w:r>
          </w:p>
        </w:tc>
      </w:tr>
      <w:tr w:rsidR="00BA51DA">
        <w:trPr>
          <w:jc w:val="center"/>
        </w:trPr>
        <w:tc>
          <w:tcPr>
            <w:tcW w:w="86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4</w:t>
            </w:r>
          </w:p>
        </w:tc>
        <w:tc>
          <w:tcPr>
            <w:tcW w:w="37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중대한 손상 또는 추가 시술 가능</w:t>
            </w:r>
          </w:p>
        </w:tc>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반복 발생 가능</w:t>
            </w:r>
          </w:p>
        </w:tc>
        <w:tc>
          <w:tcPr>
            <w:tcW w:w="27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검출이 어렵거나 검사 범위 제한</w:t>
            </w:r>
          </w:p>
        </w:tc>
      </w:tr>
      <w:tr w:rsidR="00BA51DA">
        <w:trPr>
          <w:jc w:val="center"/>
        </w:trPr>
        <w:tc>
          <w:tcPr>
            <w:tcW w:w="86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5</w:t>
            </w:r>
          </w:p>
        </w:tc>
        <w:tc>
          <w:tcPr>
            <w:tcW w:w="37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사망 또는 생명을 위협하는 중대한 손상 가능</w:t>
            </w:r>
          </w:p>
        </w:tc>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빈번하거나 충분히 예상 가능</w:t>
            </w:r>
          </w:p>
        </w:tc>
        <w:tc>
          <w:tcPr>
            <w:tcW w:w="27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현행 관리로 검출하기 매우 어려움</w:t>
            </w:r>
          </w:p>
        </w:tc>
      </w:tr>
    </w:tbl>
    <w:p w:rsidR="00BA51DA" w:rsidRDefault="00BA51DA">
      <w:pPr>
        <w:spacing w:after="20"/>
      </w:pPr>
    </w:p>
    <w:p w:rsidR="00BA51DA" w:rsidRDefault="00C56EA4">
      <w:r>
        <w:t>RPN = S × O × D. RPN은 위험 검토 우선순위를 보조하는 지표이며, 단독으로 위험 수용 여부를 결정하지 않는다. 특히 심각도가 높은 위해(S=5)는 RPN과 별도로 검토하며, 모든 S=5 항목은 RPN과 무관하게 섹션 7의 조치 추적 대상에 포함한다. 점수 정의와 위험 수용 기준은 위험관리 계획서 [문서번호 기입]에 따르며, 변경 시 본 문서에 반영한다. RPN 조치 기준값: [위험관리 계획서에 따라 기입].</w:t>
      </w:r>
    </w:p>
    <w:p w:rsidR="00BA51DA" w:rsidRDefault="00C56EA4">
      <w:r>
        <w:t>점수 부여 원칙: (1) 심각도(S)는 아래 영향 유형별 기준에 따라 공정 위치와 무관하게 동일하게 적용한다. (2) 발생도(O)는 공정능력·부적합 이력 등 근거 자료에 따르며, 밸리데이션이 필요한 공정(접합, 세척, 포장, 멸균, EO 잔류물)은 밸리데이션 완료 전까지 통제 효과가 입증되지 않았으므로 O=4로 평가하고 완료 후 재평가한다. (3) 검출도(D)는 해당 단계의 검출 통제만으로 평가하며, 전수 검사 또는 검증된 시험법은 1~2, 샘플링 검사 또는 간접 지표는 2~3, 검사 범위·해상도 제한 또는 파괴시험(샘플)은 4, 현행 검출 수단이 없으면 5를 기준으로 한다. (4) 각 블록에 점수 근거를 기재한다.</w:t>
      </w:r>
    </w:p>
    <w:p w:rsidR="00BA51DA" w:rsidRDefault="00BA51DA">
      <w:pPr>
        <w:spacing w:after="20"/>
      </w:pP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1300"/>
        <w:gridCol w:w="8636"/>
      </w:tblGrid>
      <w:tr w:rsidR="00BA51DA">
        <w:trPr>
          <w:tblHeader/>
          <w:jc w:val="center"/>
        </w:trPr>
        <w:tc>
          <w:tcPr>
            <w:tcW w:w="130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lastRenderedPageBreak/>
              <w:t>심각도</w:t>
            </w:r>
          </w:p>
        </w:tc>
        <w:tc>
          <w:tcPr>
            <w:tcW w:w="8636"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영향 유형 (공정 위치와 무관하게 동일 적용)</w:t>
            </w:r>
          </w:p>
        </w:tc>
      </w:tr>
      <w:tr w:rsidR="00BA51DA">
        <w:trPr>
          <w:jc w:val="center"/>
        </w:trPr>
        <w:tc>
          <w:tcPr>
            <w:tcW w:w="13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S5</w:t>
            </w:r>
          </w:p>
        </w:tc>
        <w:tc>
          <w:tcPr>
            <w:tcW w:w="8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혈관 천공·출혈, 파손편·부품 이탈·입자·이물에 의한 색전, 멸균 실패 또는 비멸균 제품 사용에 의한 감염</w:t>
            </w:r>
          </w:p>
        </w:tc>
      </w:tr>
      <w:tr w:rsidR="00BA51DA">
        <w:trPr>
          <w:jc w:val="center"/>
        </w:trPr>
        <w:tc>
          <w:tcPr>
            <w:tcW w:w="13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S4</w:t>
            </w:r>
          </w:p>
        </w:tc>
        <w:tc>
          <w:tcPr>
            <w:tcW w:w="8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독성학적 위해(EO/ECH, 세척 잔류물 등), 파손·이탈을 동반하지 않는 기능 저하·시술 실패·시술 지연</w:t>
            </w:r>
          </w:p>
        </w:tc>
      </w:tr>
      <w:tr w:rsidR="00BA51DA">
        <w:trPr>
          <w:jc w:val="center"/>
        </w:trPr>
        <w:tc>
          <w:tcPr>
            <w:tcW w:w="13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S3 이하</w:t>
            </w:r>
          </w:p>
        </w:tc>
        <w:tc>
          <w:tcPr>
            <w:tcW w:w="8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위 정의에 해당하지 않는 영향은 점수 정의에 따라 개별 평가</w:t>
            </w:r>
          </w:p>
        </w:tc>
      </w:tr>
    </w:tbl>
    <w:p w:rsidR="00BA51DA" w:rsidRDefault="00BA51DA">
      <w:pPr>
        <w:spacing w:after="20"/>
      </w:pPr>
    </w:p>
    <w:p w:rsidR="00BA51DA" w:rsidRDefault="00C56EA4">
      <w:pPr>
        <w:pStyle w:val="1"/>
      </w:pPr>
      <w:r>
        <w:t xml:space="preserve">6. </w:t>
      </w:r>
      <w:r>
        <w:t>제조공정</w:t>
      </w:r>
      <w:r>
        <w:t xml:space="preserve"> FMEA</w:t>
      </w:r>
    </w:p>
    <w:p w:rsidR="00BA51DA" w:rsidRDefault="00C56EA4">
      <w:r>
        <w:t>아래 각 공정은 별도 분석 블록으로 구성하였다. 현행 예방·검출 통제는 승인된 절차서, 검사기록 및 밸리데이션 자료에 따라 관리하며, 위험통제 조치의 이행과 효과 확인 결과는 관련 기록에 추적한다. 고장형태가 둘 이상으로 구분되는 공정은 A/B 블록으로 분리하여 각각 평가한다.</w:t>
      </w:r>
    </w:p>
    <w:p w:rsidR="00BA51DA" w:rsidRDefault="00C56EA4">
      <w:pPr>
        <w:pStyle w:val="21"/>
      </w:pPr>
      <w:r>
        <w:t xml:space="preserve">01. </w:t>
      </w:r>
      <w:r>
        <w:t>원재료</w:t>
      </w:r>
      <w:r>
        <w:t xml:space="preserve"> </w:t>
      </w:r>
      <w:r>
        <w:t>입고</w:t>
      </w:r>
      <w:r>
        <w:t xml:space="preserve"> </w:t>
      </w:r>
      <w:r>
        <w:t>및</w:t>
      </w:r>
      <w:r>
        <w:t xml:space="preserve"> </w:t>
      </w:r>
      <w:r>
        <w:t>검사</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재질·규격 불일치 또는 원재료 결함</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공급자 편차, 식별 오류, 검사 기준/샘플링 부족</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기계적 성능 저하, 파손(파손편 색전 포함) 또는 기능 불량으로 혈관 손상·시술 실패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공급자 승인 및 변경관리, 입고 식별·추적성, 규격 대조</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CoC/성적서 검토, 입고검사 기록, 로트 추적성 확인</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공급자 성과에 따른 검사 수준 설정; 중요 재료 특성 및 변경 통지 요건 정의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공급자 평가, 입고검사 기록, 재료 적합성 자료</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2    검출도 D = 2</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2 × 2 = 20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파손편 색전 가능성(섹션 5 심각도 기준). O2·D2: 공급자 평가 및 입고검사 이력 기준 [근거 자료 번호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lastRenderedPageBreak/>
        <w:t xml:space="preserve">02. </w:t>
      </w:r>
      <w:r>
        <w:t>부품</w:t>
      </w:r>
      <w:r>
        <w:t xml:space="preserve"> </w:t>
      </w:r>
      <w:r>
        <w:t>가공</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치수 또는 표면 상태가 규격을 벗어남</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설비 설정 오류, 공구 마모, 작업조건 편차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조립 불량, 삽입 저항 증가, 표면 결함·파손에 의한 카테터 손상 및 혈관 손상(천공 포함)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승인된 도면·작업표준, 설비 점검</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초도품 승인, 공정검사(공정 중 치수검사 포함), 측정기 교정기록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중요 치수 관리계획 수립; 검사주기와 공정능력 근거 확인</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초도품/공정검사 기록, 측정시스템 자료</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3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3 × 3 = 45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표면 결함·파손에 의한 혈관 손상(천공 포함) 가능. D3: 표면 상태는 공정 중 치수검사로 검출되지 않음. O3: [공정능력 자료 번호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03. </w:t>
      </w:r>
      <w:r>
        <w:t>말단부</w:t>
      </w:r>
      <w:r>
        <w:t xml:space="preserve"> </w:t>
      </w:r>
      <w:r>
        <w:t>가공</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말단부가 날카롭거나 형상이 부적합</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가공조건 편차, 버·미세 균열, 작업자 편차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혈관 내막 손상, 천공 또는 시술 중 기기 손상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말단 형상 사양, 가공 파라미터 관리, 작업자 자격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확대 외관검사, 형상 게이지 [검사법·판정기준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검사 기준 객관화; 검사법 적격성 및 샘플링 근거 확인</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lastRenderedPageBreak/>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외관/치수검사 기록, 검사법 검증자료</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2    검출도 D = 4</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2 × 4 = 40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혈관 천공 가능. D4: 미세 균열·버는 확대 외관검사의 검사 범위·해상도 제한으로 검출이 어려움. O2: [부적합 이력·공정능력 자료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04-A. </w:t>
      </w:r>
      <w:r>
        <w:t>접합</w:t>
      </w:r>
      <w:r>
        <w:t xml:space="preserve"> </w:t>
      </w:r>
      <w:r>
        <w:t>및</w:t>
      </w:r>
      <w:r>
        <w:t xml:space="preserve"> </w:t>
      </w:r>
      <w:r>
        <w:t>조립</w:t>
      </w:r>
      <w:r>
        <w:t xml:space="preserve"> — </w:t>
      </w:r>
      <w:r>
        <w:t>접합부</w:t>
      </w:r>
      <w:r>
        <w:t xml:space="preserve"> </w:t>
      </w:r>
      <w:r>
        <w:t>강도</w:t>
      </w:r>
      <w:r>
        <w:t xml:space="preserve"> </w:t>
      </w:r>
      <w:r>
        <w:t>부족</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접합부 강도 부족</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접합 조건 불안정, 오염, 치구 마모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분리·파손, 색전 위험 또는 회수 곤란; 시술 지연 및 환자 위해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접합 공정변수 범위 설정, 치구 관리, 조립 표준화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접합부 외관검사, 접합강도 시험(샘플링·파괴시험) [시험법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접합 공정 밸리데이션 및 허용기준 설정; 변수 이탈 시 격리·평가</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밸리데이션 보고서, 접합시험 결과, 이탈기록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4    검출도 D = 4</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4 × 4 = 80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접합부 분리·색전. O4: 접합 공정 밸리데이션 미완료. D4: 접합강도 시험은 샘플링·파괴시험이며 외관검사로 내부 접합강도를 확인할 수 없음.</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lastRenderedPageBreak/>
        <w:t xml:space="preserve">04-B. </w:t>
      </w:r>
      <w:r>
        <w:t>접합</w:t>
      </w:r>
      <w:r>
        <w:t xml:space="preserve"> </w:t>
      </w:r>
      <w:r>
        <w:t>및</w:t>
      </w:r>
      <w:r>
        <w:t xml:space="preserve"> </w:t>
      </w:r>
      <w:r>
        <w:t>조립</w:t>
      </w:r>
      <w:r>
        <w:t xml:space="preserve"> — </w:t>
      </w:r>
      <w:r>
        <w:t>부품</w:t>
      </w:r>
      <w:r>
        <w:t xml:space="preserve"> </w:t>
      </w:r>
      <w:r>
        <w:t>오정렬</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부품 오정렬</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치구 마모, 조립 순서 오류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조작성 저하, 삽입 저항 증가로 시술 지연 또는 기능 저하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접합 공정변수 범위 설정, 치구 관리, 조립 표준화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접합부 외관검사 [검사법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치구 관리 기준 및 정렬 허용기준 설정; 접합 공정 밸리데이션 연계</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치구 점검 기록, 정렬 검사 기록, 밸리데이션 보고서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4    발생도 O = 4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4 × 4 × 3 = 48  (검토 우선순위 보조지표)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S4: 조작성 저하에 의한 시술 지연(파손·이탈 동반 없음). O4: 접합 공정 밸리데이션 미완료. D3: 외관검사로 정렬 불량 검출 가능 [검사법 확정 필요].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05-A. </w:t>
      </w:r>
      <w:r>
        <w:t>기능</w:t>
      </w:r>
      <w:r>
        <w:t xml:space="preserve"> </w:t>
      </w:r>
      <w:r>
        <w:t>부품</w:t>
      </w:r>
      <w:r>
        <w:t xml:space="preserve"> </w:t>
      </w:r>
      <w:r>
        <w:t>조립</w:t>
      </w:r>
      <w:r>
        <w:t xml:space="preserve"> — </w:t>
      </w:r>
      <w:r>
        <w:t>부품</w:t>
      </w:r>
      <w:r>
        <w:t xml:space="preserve"> </w:t>
      </w:r>
      <w:r>
        <w:t>누락</w:t>
      </w:r>
      <w:r>
        <w:t>·</w:t>
      </w:r>
      <w:r>
        <w:t>역조립</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기능 부품 누락·역조립</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부품 혼입, 작업순서 오류, 식별 부족</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혈전 제거 기능 상실 또는 비정상 작동으로 시술 실패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부품 식별, 조립 순서·방향 명시, 라인 클리어런스</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조립 후 기능 확인 및 외관검사</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오조립 방지 치구 검토; 기능시험 검출 범위 확인</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조립기록, 기능시험 기록, 라인 클리어런스 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lastRenderedPageBreak/>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4    발생도 O = 3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4 × 3 × 3 = 36  (검토 우선순위 보조지표)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S4: 기능 상실에 의한 시술 실패(부품 이탈 동반 없음). O3·D3: [조립·기능시험 기록 근거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05-B. </w:t>
      </w:r>
      <w:r>
        <w:t>기능</w:t>
      </w:r>
      <w:r>
        <w:t xml:space="preserve"> </w:t>
      </w:r>
      <w:r>
        <w:t>부품</w:t>
      </w:r>
      <w:r>
        <w:t xml:space="preserve"> </w:t>
      </w:r>
      <w:r>
        <w:t>조립</w:t>
      </w:r>
      <w:r>
        <w:t xml:space="preserve"> — </w:t>
      </w:r>
      <w:r>
        <w:t>고정</w:t>
      </w:r>
      <w:r>
        <w:t xml:space="preserve"> </w:t>
      </w:r>
      <w:r>
        <w:t>불량</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기능 부품 고정 불량</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작업순서 오류, 조립 조건 편차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부품 이동·이탈로 혈관 내 잔류·색전 및 시술 실패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조립 순서·방향 명시, 조립 조건 관리</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조립 후 기능 확인 및 외관검사(고정 상태 확인)</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고정 강도 시험법 및 허용기준 확인; 기능시험 검출 범위 확인</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조립기록, 기능시험 기록, 고정 강도 시험 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3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3 × 3 = 45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부품 이동·이탈 시 색전 가능. O3·D3: [조립·기능시험 기록 근거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06-A. </w:t>
      </w:r>
      <w:r>
        <w:t>내부</w:t>
      </w:r>
      <w:r>
        <w:t xml:space="preserve"> </w:t>
      </w:r>
      <w:r>
        <w:t>통로</w:t>
      </w:r>
      <w:r>
        <w:t xml:space="preserve"> </w:t>
      </w:r>
      <w:r>
        <w:t>관리</w:t>
      </w:r>
      <w:r>
        <w:t xml:space="preserve"> — </w:t>
      </w:r>
      <w:r>
        <w:t>내강</w:t>
      </w:r>
      <w:r>
        <w:t xml:space="preserve"> </w:t>
      </w:r>
      <w:r>
        <w:t>막힘</w:t>
      </w:r>
      <w:r>
        <w:t>·</w:t>
      </w:r>
      <w:r>
        <w:t>협착</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내강 막힘·협착</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lastRenderedPageBreak/>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접합재 유입, 변형, 가공 잔사</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기능 저하, 시술 지연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내강 보호, 공정 간 청정 관리, 내강 규격 관리</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유량·통과성 시험 [시험법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검출한계 확인; 이물·통과성 허용기준과 공정관리 설정</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내강검사 기록, 시험법 검증/밸리데이션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4    발생도 O = 3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4 × 3 × 3 = 36  (검토 우선순위 보조지표)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S4: 기능 저하·시술 지연. O3·D3: [내강 검사 이력 근거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06-B. </w:t>
      </w:r>
      <w:r>
        <w:t>내부</w:t>
      </w:r>
      <w:r>
        <w:t xml:space="preserve"> </w:t>
      </w:r>
      <w:r>
        <w:t>통로</w:t>
      </w:r>
      <w:r>
        <w:t xml:space="preserve"> </w:t>
      </w:r>
      <w:r>
        <w:t>관리</w:t>
      </w:r>
      <w:r>
        <w:t xml:space="preserve"> — </w:t>
      </w:r>
      <w:r>
        <w:t>내부</w:t>
      </w:r>
      <w:r>
        <w:t xml:space="preserve"> </w:t>
      </w:r>
      <w:r>
        <w:t>이물</w:t>
      </w:r>
      <w:r>
        <w:t xml:space="preserve"> </w:t>
      </w:r>
      <w:r>
        <w:t>잔류</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내부 이물 잔류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가공 잔사, 내강 보호 미흡 (세척 단계 이물은 07에서 평가)</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이물 유입 및 색전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내강 보호, 공정 간 청정 관리, 내강 규격 관리</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내강 이물 검사 [검증된 시험법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검출한계 확인; 이물·통과성 허용기준과 공정관리 설정</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내강검사 기록, 시험법 검증/밸리데이션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3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3 × 3 = 45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lastRenderedPageBreak/>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내부 이물 유입 시 색전 가능(07-B와 동일 기준). O3·D3: 이물 검사법 검증 전 [근거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07-A. </w:t>
      </w:r>
      <w:r>
        <w:t>세척</w:t>
      </w:r>
      <w:r>
        <w:t xml:space="preserve"> </w:t>
      </w:r>
      <w:r>
        <w:t>및</w:t>
      </w:r>
      <w:r>
        <w:t xml:space="preserve"> </w:t>
      </w:r>
      <w:r>
        <w:t>이물</w:t>
      </w:r>
      <w:r>
        <w:t xml:space="preserve"> </w:t>
      </w:r>
      <w:r>
        <w:t>관리</w:t>
      </w:r>
      <w:r>
        <w:t xml:space="preserve"> — </w:t>
      </w:r>
      <w:r>
        <w:t>세척</w:t>
      </w:r>
      <w:r>
        <w:t xml:space="preserve"> </w:t>
      </w:r>
      <w:r>
        <w:t>잔류물</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세척 잔류물(세척액·화학물질) 잔류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조건 미준수, 세척액 오염, 건조 불충분</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환자에게 화학물질 노출, 염증 등 독성학적 위해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절차·파라미터 관리, 세척액 관리, 취급 청정도, 세척 공정 밸리데이션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잔류물 시험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밸리데이션 및 잔류물·입자 기준 설정; 재세척 기준 명문화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세척 밸리데이션, 세척 기록, 시험성적서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4    발생도 O = 4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4 × 4 × 3 = 48  (검토 우선순위 보조지표)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S4: 화학물질 노출에 의한 독성학적 위해(11번과 동일 기준). O4: 세척 공정 밸리데이션 미완료. D3: 잔류물 시험은 샘플링 검사.</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07-B. </w:t>
      </w:r>
      <w:r>
        <w:t>세척</w:t>
      </w:r>
      <w:r>
        <w:t xml:space="preserve"> </w:t>
      </w:r>
      <w:r>
        <w:t>및</w:t>
      </w:r>
      <w:r>
        <w:t xml:space="preserve"> </w:t>
      </w:r>
      <w:r>
        <w:t>이물</w:t>
      </w:r>
      <w:r>
        <w:t xml:space="preserve"> </w:t>
      </w:r>
      <w:r>
        <w:t>관리</w:t>
      </w:r>
      <w:r>
        <w:t xml:space="preserve"> — </w:t>
      </w:r>
      <w:r>
        <w:t>입자</w:t>
      </w:r>
      <w:r>
        <w:t xml:space="preserve"> </w:t>
      </w:r>
      <w:r>
        <w:t>오염</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입자 오염 잔류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조건 미준수, 세척액 오염, 취급 중 오염</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lastRenderedPageBreak/>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입자에 의한 색전·염증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절차·파라미터 관리, 세척액 관리, 취급 청정도, 세척 공정 밸리데이션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입자 시험, 외관검사</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세척 밸리데이션 및 잔류물·입자 기준 설정; 재세척 기준 명문화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세척 밸리데이션, 세척 기록, 시험성적서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4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4 × 3 = 60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입자에 의한 색전 가능. O4: 세척 공정 밸리데이션 미완료. D3: 입자 시험은 샘플링 검사, 외관검사 병행.</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08. </w:t>
      </w:r>
      <w:r>
        <w:t>완제품</w:t>
      </w:r>
      <w:r>
        <w:t xml:space="preserve"> </w:t>
      </w:r>
      <w:r>
        <w:t>검사</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중요 결함을 놓치고 부적합품이 합격 처리됨</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검사 기준 불명확, 검사자 편차, 시험법 민감도 부족</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기능 불량 또는 구조 결함 제품이 환자에게 사용될 가능성</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승인된 완제품 규격, 검사자 교육, 측정기 교정</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외관·치수·기능 시험 및 결과 검토</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중요 특성별 검사법 적격성·검출능력 확인; 재검 기준 설정</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최종검사 기록, 교정·교육 기록, 부적합 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2    검출도 D = 4</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2 × 4 = 40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lastRenderedPageBreak/>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놓친 부적합품의 최악 영향 기준. D4: 검사법의 검출능력 제한. 상류 공정의 D는 해당 공정 내 검출 통제만으로 평가하며 본 검사를 중복 검출 수단으로 인정하지 않음.</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09. </w:t>
      </w:r>
      <w:r>
        <w:t>포장</w:t>
      </w:r>
      <w:r>
        <w:t xml:space="preserve"> </w:t>
      </w:r>
      <w:r>
        <w:t>및</w:t>
      </w:r>
      <w:r>
        <w:t xml:space="preserve"> </w:t>
      </w:r>
      <w:r>
        <w:t>밀봉</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밀봉 불량 또는 포장재 손상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밀봉 조건 이탈, 포장재 손상, 취급·운송 중 파손</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멸균장벽 상실 및 사용 전 오염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포장재 규격, 밀봉 조건 관리, 취급 절차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밀봉 강도·누설·외관 시험 [시험법 문서번호 기입]</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포장 공정 밸리데이션; 운송·노화 후 멸균장벽 유지 근거 확보</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포장 밸리데이션, 밀봉검사, 운송·노화 자료</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4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4 × 3 = 60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멸균장벽 상실에 의한 오염·감염. O4: 포장 공정 밸리데이션 미완료. D3: [시험법 확정 필요].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10. EO </w:t>
      </w:r>
      <w:r>
        <w:t>멸균</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멸균 공정이 검증된 조건을 충족하지 못함</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적재 패턴, 습도, 온도, 가스농도, 시간 등 파라미터 이탈</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lastRenderedPageBreak/>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멸균성 보장 실패로 감염 위험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승인된 멸균 공정·적재 구성, 변경관리, 멸균 밸리데이션·재적격성평가</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사이클 기록 검토, 공정 모니터링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멸균 밸리데이션과 일상관리 기준 확인; 이탈 시 격리·영향평가</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멸균 밸리데이션, 사이클 기록, 이탈·출하 승인 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4    검출도 D = 4</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4 × 4 = 80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멸균 실패에 의한 감염. O4: 멸균 밸리데이션 완료 미확인(섹션 7 '미평가'). D4: 멸균성은 완제품 검사로 확인할 수 없고 사이클 파라미터·모니터링 결과에 의존.</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11. EO </w:t>
      </w:r>
      <w:r>
        <w:t>잔류물</w:t>
      </w:r>
      <w:r>
        <w:t xml:space="preserve"> </w:t>
      </w:r>
      <w:r>
        <w:t>관리</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EO/ECH 잔류량이 허용기준 초과</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에어레이션 조건 부족, 적재·재질 영향, 시험 미흡</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환자에게 독성학적 위해 가능</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에어레이션 조건 및 대기시간 관리, 제품·포장 조합 검토</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EO/ECH 잔류량 시험 및 결과 승인</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적용 기준과 접촉 특성에 따른 한계 확인; 시험법·에어레이션 밸리데이션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잔류량 시험성적서, 에어레이션 밸리데이션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4    발생도 O = 4    검출도 D = 4</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4 × 4 × 4 = 64  (검토 우선순위 보조지표)</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lastRenderedPageBreak/>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S4: 독성학적 위해. O4: 에어레이션 밸리데이션 미완료. D4: 잔류량 시험은 샘플 시험이며 시험법 검증 전.</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21"/>
      </w:pPr>
      <w:r>
        <w:t xml:space="preserve">12. </w:t>
      </w:r>
      <w:r>
        <w:t>최종</w:t>
      </w:r>
      <w:r>
        <w:t xml:space="preserve"> </w:t>
      </w:r>
      <w:r>
        <w:t>출하</w:t>
      </w:r>
      <w:r>
        <w:t xml:space="preserve"> </w:t>
      </w:r>
      <w:r>
        <w:t>및</w:t>
      </w:r>
      <w:r>
        <w:t xml:space="preserve"> </w:t>
      </w:r>
      <w:r>
        <w:t>표시</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592"/>
        <w:gridCol w:w="7344"/>
      </w:tblGrid>
      <w:tr w:rsidR="00BA51DA">
        <w:trPr>
          <w:tblHeader/>
          <w:jc w:val="center"/>
        </w:trPr>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분석 항목</w:t>
            </w:r>
          </w:p>
        </w:tc>
        <w:tc>
          <w:tcPr>
            <w:tcW w:w="734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내용</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잠재 고장형태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잘못된 라벨·로트·멸균 정보 또는 출하 승인 오류</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잠재 원인</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라벨 혼입, 문서 대조 누락, 체크리스트 미준수</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영향 및 잠재 위해</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추적성 상실, 부적절한 사용 또는 비멸균 제품을 멸균 제품으로 오인하여 사용할 가능성(감염)</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예방 통제</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라벨 발행·회수 통제, 로트 추적성, 출하 승인 절차</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검출 통제</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라벨 대조, 제조·멸균·검사기록 검토, 출하 체크리스트</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추가 위험통제 조치 제안</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라인 클리어런스 및 이중확인 통제 평가; 출하 보류 조건 명문화</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효과 확인에 필요한 증빙</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라벨 대조 기록, 로트기록, 출하 승인 기록</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위험 점수</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심각도 S = 5    발생도 O = 2    검출도 D = 3</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RPN</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5 × 2 × 3 = 30  (검토 우선순위 보조지표; S=5 별도 검토 대상)</w:t>
            </w:r>
          </w:p>
        </w:tc>
      </w:tr>
      <w:tr w:rsidR="00BA51DA">
        <w:trPr>
          <w:jc w:val="center"/>
        </w:trPr>
        <w:tc>
          <w:tcPr>
            <w:tcW w:w="259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점수 근거</w:t>
            </w:r>
          </w:p>
        </w:tc>
        <w:tc>
          <w:tcPr>
            <w:tcW w:w="734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S5: 비멸균 제품 오인 사용 시 감염 가능. O2·D3: 라벨 대조·출하 체크리스트 [근거 기입].</w:t>
            </w:r>
          </w:p>
        </w:tc>
      </w:tr>
      <w:tr w:rsidR="00BA51DA">
        <w:trPr>
          <w:jc w:val="center"/>
        </w:trPr>
        <w:tc>
          <w:tcPr>
            <w:tcW w:w="259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연계 문서·ID</w:t>
            </w:r>
          </w:p>
        </w:tc>
        <w:tc>
          <w:tcPr>
            <w:tcW w:w="734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작업표준서: [문서번호 기입] / 위해요인 ID: [위험관리 파일 ID 기입]</w:t>
            </w:r>
          </w:p>
        </w:tc>
      </w:tr>
    </w:tbl>
    <w:p w:rsidR="00BA51DA" w:rsidRDefault="00BA51DA">
      <w:pPr>
        <w:spacing w:after="20"/>
      </w:pPr>
    </w:p>
    <w:p w:rsidR="00BA51DA" w:rsidRDefault="00C56EA4">
      <w:pPr>
        <w:pStyle w:val="1"/>
      </w:pPr>
      <w:r>
        <w:t xml:space="preserve">7. </w:t>
      </w:r>
      <w:r>
        <w:t>위험통제</w:t>
      </w:r>
      <w:r>
        <w:t xml:space="preserve"> </w:t>
      </w:r>
      <w:r>
        <w:t>조치</w:t>
      </w:r>
      <w:r>
        <w:t xml:space="preserve"> </w:t>
      </w:r>
      <w:r>
        <w:t>추적</w:t>
      </w:r>
      <w:r>
        <w:t xml:space="preserve"> </w:t>
      </w:r>
      <w:r>
        <w:t>및</w:t>
      </w:r>
      <w:r>
        <w:t xml:space="preserve"> </w:t>
      </w:r>
      <w:r>
        <w:t>잔여위험</w:t>
      </w:r>
      <w:r>
        <w:t xml:space="preserve"> </w:t>
      </w:r>
      <w:r>
        <w:t>검토</w:t>
      </w:r>
    </w:p>
    <w:p w:rsidR="00BA51DA" w:rsidRDefault="00C56EA4">
      <w:r>
        <w:t xml:space="preserve">조치별 책임자와 완료 목표일을 지정하고, 조치가 수행되었다는 사실뿐 아니라 위험통제의 효과를 객관적으로 확인한다. 심각도는 위해 결과에 기반하므로 발생 가능성 감소만으로 자동 하향하지 않는다. 잔여위험은 승인된 위험 수용 기준과 전체 잔여위험 검토에 따라 결정한다. 모든 '추가 </w:t>
      </w:r>
      <w:r>
        <w:lastRenderedPageBreak/>
        <w:t>위험통제 조치 제안'과 S=5 항목은 RPN과 무관하게 본 표에 포함하며, 조치 완료 후 재평가 결과(S/O/D/RPN)를 마지막 열에 기록한다.</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1250"/>
        <w:gridCol w:w="2400"/>
        <w:gridCol w:w="1050"/>
        <w:gridCol w:w="850"/>
        <w:gridCol w:w="1850"/>
        <w:gridCol w:w="900"/>
        <w:gridCol w:w="1636"/>
      </w:tblGrid>
      <w:tr w:rsidR="00BA51DA">
        <w:trPr>
          <w:tblHeader/>
          <w:jc w:val="center"/>
        </w:trPr>
        <w:tc>
          <w:tcPr>
            <w:tcW w:w="12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대상 공정</w:t>
            </w:r>
          </w:p>
        </w:tc>
        <w:tc>
          <w:tcPr>
            <w:tcW w:w="240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필요 조치/산출물</w:t>
            </w:r>
          </w:p>
        </w:tc>
        <w:tc>
          <w:tcPr>
            <w:tcW w:w="10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책임 부서</w:t>
            </w:r>
          </w:p>
        </w:tc>
        <w:tc>
          <w:tcPr>
            <w:tcW w:w="8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완료 목표일</w:t>
            </w:r>
          </w:p>
        </w:tc>
        <w:tc>
          <w:tcPr>
            <w:tcW w:w="185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효과 확인 증거</w:t>
            </w:r>
          </w:p>
        </w:tc>
        <w:tc>
          <w:tcPr>
            <w:tcW w:w="90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상태</w:t>
            </w:r>
          </w:p>
        </w:tc>
        <w:tc>
          <w:tcPr>
            <w:tcW w:w="1636"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18"/>
              </w:rPr>
              <w:t>조치 후 재평가 (S/O/D/RPN)</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01 원재료 입고·검사</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공급자 성과에 따른 검사 수준 설정; 중요 재료 특성 및 변경 통지 요건 정의</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품질/공급자 담당</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공급자 평가, 입고검사 기록, 재료 적합성 자료</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02 부품 가공</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중요 치수 관리계획 수립; 검사주기와 공정능력 근거 확인</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제조/품질</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초도품/공정검사 기록, 측정시스템 자료</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03 말단부 가공</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검사 기준 객관화; 검사법 적격성 및 샘플링 근거 확인</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제조/품질</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외관/치수검사 기록, 검사법 검증자료</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04 접합·조립 (A/B)</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접합 공정 밸리데이션 및 강도 허용기준 확정</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제조/품질</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밸리데이션 보고서 및 시험 결과</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05 기능 부품 조립 (A/B)</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오조립 방지 치구 검토; 기능시험 검출 범위 및 고정 강도 허용기준 확인</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제조/설계</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조립기록, 기능시험 기록, 라인 클리어런스 기록</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06 내부 통로 관리 (A/B)</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검출한계 확인; 이물·통과성 허용기준과 공정관리 설정</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제조/품질</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내강검사 기록, 시험법 검증/밸리데이션</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07 세척·이물 관리 (A/B)</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세척 밸리데이션, 입자·잔류물 허용기준 및 시험법 확인</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품질/공정</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세척 밸리데이션 및 시험성적서</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08 완제품 검사</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중요 특성별 검사법 적격성·검출능력 확인; 재검 기준 설정</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품질</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최종검사 기록, 교정·교육 기록, 부적합 기록</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09 포장·밀봉</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포장/밀봉 공정 밸리데이션 및 멸균장벽 유지 근거 확보</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품질/멸균</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포장 밸리데이션 및 관련 시험자료</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10 EO 멸균</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멸균 밸리데이션·일상관리·이탈 처리 기준 확인</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멸균 담당/품질</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멸균 밸리데이션 및 사이클 기록</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lastRenderedPageBreak/>
              <w:t>11 EO 잔류물</w:t>
            </w:r>
          </w:p>
        </w:tc>
        <w:tc>
          <w:tcPr>
            <w:tcW w:w="24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제품별 EO/ECH 허용기준, 시험법 및 에어레이션 조건 검증</w:t>
            </w:r>
          </w:p>
        </w:tc>
        <w:tc>
          <w:tcPr>
            <w:tcW w:w="10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품질/RA</w:t>
            </w:r>
          </w:p>
        </w:tc>
        <w:tc>
          <w:tcPr>
            <w:tcW w:w="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잔류량 시험 및 밸리데이션</w:t>
            </w:r>
          </w:p>
        </w:tc>
        <w:tc>
          <w:tcPr>
            <w:tcW w:w="900"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r w:rsidR="00BA51DA">
        <w:trPr>
          <w:jc w:val="center"/>
        </w:trPr>
        <w:tc>
          <w:tcPr>
            <w:tcW w:w="12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12 출하·표시</w:t>
            </w:r>
          </w:p>
        </w:tc>
        <w:tc>
          <w:tcPr>
            <w:tcW w:w="24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라인 클리어런스 및 이중확인 통제 평가; 출하 보류 조건 명문화</w:t>
            </w:r>
          </w:p>
        </w:tc>
        <w:tc>
          <w:tcPr>
            <w:tcW w:w="10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품질/RA</w:t>
            </w:r>
          </w:p>
        </w:tc>
        <w:tc>
          <w:tcPr>
            <w:tcW w:w="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미정</w:t>
            </w:r>
          </w:p>
        </w:tc>
        <w:tc>
          <w:tcPr>
            <w:tcW w:w="185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라벨 대조 기록, 로트기록, 출하 승인 기록</w:t>
            </w:r>
          </w:p>
        </w:tc>
        <w:tc>
          <w:tcPr>
            <w:tcW w:w="900"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미평가</w:t>
            </w:r>
          </w:p>
        </w:tc>
        <w:tc>
          <w:tcPr>
            <w:tcW w:w="163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18"/>
              </w:rPr>
              <w:t>조치 완료 후 기재</w:t>
            </w:r>
          </w:p>
        </w:tc>
      </w:tr>
    </w:tbl>
    <w:p w:rsidR="00BA51DA" w:rsidRDefault="00BA51DA">
      <w:pPr>
        <w:spacing w:after="20"/>
      </w:pPr>
    </w:p>
    <w:p w:rsidR="00BA51DA" w:rsidRDefault="00C56EA4">
      <w:pPr>
        <w:pStyle w:val="1"/>
      </w:pPr>
      <w:r>
        <w:t xml:space="preserve">8. </w:t>
      </w:r>
      <w:r>
        <w:t>변경관리</w:t>
      </w:r>
      <w:r>
        <w:t xml:space="preserve"> </w:t>
      </w:r>
      <w:r>
        <w:t>및</w:t>
      </w:r>
      <w:r>
        <w:t xml:space="preserve"> </w:t>
      </w:r>
      <w:r>
        <w:t>재검토</w:t>
      </w:r>
      <w:r>
        <w:t xml:space="preserve"> </w:t>
      </w:r>
      <w:r>
        <w:t>조건</w:t>
      </w:r>
    </w:p>
    <w:p w:rsidR="00BA51DA" w:rsidRDefault="00C56EA4">
      <w:r>
        <w:t>제품 설계·원재료·공급자·설비·공정 파라미터·작업장·세척·포장·멸균·외주업체 변경, 공정 이탈·부적합·CAPA, 불만·이상사례·시판 후 정보, 위험통제 효과 저하 또는 관련 규제·표준 변경이 발생하면 영향평가를 수행하고 필요 시 본 FMEA를 개정한다.</w:t>
      </w:r>
    </w:p>
    <w:p w:rsidR="00BA51DA" w:rsidRDefault="00C56EA4">
      <w:pPr>
        <w:pStyle w:val="1"/>
      </w:pPr>
      <w:r>
        <w:t xml:space="preserve">9. </w:t>
      </w:r>
      <w:r>
        <w:t>관련</w:t>
      </w:r>
      <w:r>
        <w:t xml:space="preserve"> </w:t>
      </w:r>
      <w:r>
        <w:t>문서</w:t>
      </w:r>
      <w:r>
        <w:t xml:space="preserve"> </w:t>
      </w:r>
      <w:r>
        <w:t>및</w:t>
      </w:r>
      <w:r>
        <w:t xml:space="preserve"> </w:t>
      </w:r>
      <w:r>
        <w:t>기록</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4032"/>
        <w:gridCol w:w="5904"/>
      </w:tblGrid>
      <w:tr w:rsidR="00BA51DA">
        <w:trPr>
          <w:tblHeader/>
          <w:jc w:val="center"/>
        </w:trPr>
        <w:tc>
          <w:tcPr>
            <w:tcW w:w="403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문서/기록</w:t>
            </w:r>
          </w:p>
        </w:tc>
        <w:tc>
          <w:tcPr>
            <w:tcW w:w="5904"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연계 목적</w:t>
            </w:r>
          </w:p>
        </w:tc>
      </w:tr>
      <w:tr w:rsidR="00BA51DA">
        <w:trPr>
          <w:jc w:val="center"/>
        </w:trPr>
        <w:tc>
          <w:tcPr>
            <w:tcW w:w="403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위험관리 계획서 및 위험관리 보고서</w:t>
            </w:r>
          </w:p>
        </w:tc>
        <w:tc>
          <w:tcPr>
            <w:tcW w:w="590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위험 수용 기준, 전체 잔여위험 검토, 위험관리 활동의 완결성 확인</w:t>
            </w:r>
          </w:p>
        </w:tc>
      </w:tr>
      <w:tr w:rsidR="00BA51DA">
        <w:trPr>
          <w:jc w:val="center"/>
        </w:trPr>
        <w:tc>
          <w:tcPr>
            <w:tcW w:w="403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공정 흐름도 및 제조 작업표준서</w:t>
            </w:r>
          </w:p>
        </w:tc>
        <w:tc>
          <w:tcPr>
            <w:tcW w:w="590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분석 대상 공정과 실제 작업 순서 확인</w:t>
            </w:r>
          </w:p>
        </w:tc>
      </w:tr>
      <w:tr w:rsidR="00BA51DA">
        <w:trPr>
          <w:jc w:val="center"/>
        </w:trPr>
        <w:tc>
          <w:tcPr>
            <w:tcW w:w="403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제품 사양서/도면 및 검사 규격</w:t>
            </w:r>
          </w:p>
        </w:tc>
        <w:tc>
          <w:tcPr>
            <w:tcW w:w="590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공정 특성, 합격 기준 및 중요 품질특성 확인</w:t>
            </w:r>
          </w:p>
        </w:tc>
      </w:tr>
      <w:tr w:rsidR="00BA51DA">
        <w:trPr>
          <w:jc w:val="center"/>
        </w:trPr>
        <w:tc>
          <w:tcPr>
            <w:tcW w:w="403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공정·세척·포장·멸균 밸리데이션</w:t>
            </w:r>
          </w:p>
        </w:tc>
        <w:tc>
          <w:tcPr>
            <w:tcW w:w="590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공정이 의도한 결과를 일관되게 달성함을 입증</w:t>
            </w:r>
          </w:p>
        </w:tc>
      </w:tr>
      <w:tr w:rsidR="00BA51DA">
        <w:trPr>
          <w:jc w:val="center"/>
        </w:trPr>
        <w:tc>
          <w:tcPr>
            <w:tcW w:w="4032"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검사기록, 부적합/CAPA, 불만 기록</w:t>
            </w:r>
          </w:p>
        </w:tc>
        <w:tc>
          <w:tcPr>
            <w:tcW w:w="5904"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발생도 및 현행 통제 효과에 대한 객관적 근거</w:t>
            </w:r>
          </w:p>
        </w:tc>
      </w:tr>
      <w:tr w:rsidR="00BA51DA">
        <w:trPr>
          <w:jc w:val="center"/>
        </w:trPr>
        <w:tc>
          <w:tcPr>
            <w:tcW w:w="4032"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ISO 14971:2019, ISO 13485:2016, ISO 11135:2014, ISO 10993-7, ISO 11607, ISO 11737-1 및 적용 규제(의료기기 제조 및 품질관리 기준 등) — 적용 판은 최신 유효본으로 확인</w:t>
            </w:r>
          </w:p>
        </w:tc>
        <w:tc>
          <w:tcPr>
            <w:tcW w:w="5904"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의료기기 위험관리 체계 및 관련 요구사항 확인</w:t>
            </w:r>
          </w:p>
        </w:tc>
      </w:tr>
    </w:tbl>
    <w:p w:rsidR="00BA51DA" w:rsidRDefault="00BA51DA">
      <w:pPr>
        <w:spacing w:after="20"/>
      </w:pPr>
    </w:p>
    <w:p w:rsidR="00BA51DA" w:rsidRDefault="00C56EA4">
      <w:pPr>
        <w:pStyle w:val="1"/>
      </w:pPr>
      <w:r>
        <w:lastRenderedPageBreak/>
        <w:t xml:space="preserve">10. </w:t>
      </w:r>
      <w:r>
        <w:t>검토</w:t>
      </w:r>
      <w:r>
        <w:t xml:space="preserve"> </w:t>
      </w:r>
      <w:r>
        <w:t>및</w:t>
      </w:r>
      <w:r>
        <w:t xml:space="preserve"> </w:t>
      </w:r>
      <w:r>
        <w:t>승인</w:t>
      </w:r>
    </w:p>
    <w:tbl>
      <w:tblPr>
        <w:tblW w:w="0" w:type="auto"/>
        <w:jc w:val="center"/>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Layout w:type="fixed"/>
        <w:tblLook w:val="04A0" w:firstRow="1" w:lastRow="0" w:firstColumn="1" w:lastColumn="0" w:noHBand="0" w:noVBand="1"/>
      </w:tblPr>
      <w:tblGrid>
        <w:gridCol w:w="2016"/>
        <w:gridCol w:w="3168"/>
        <w:gridCol w:w="2592"/>
        <w:gridCol w:w="2160"/>
      </w:tblGrid>
      <w:tr w:rsidR="00BA51DA">
        <w:trPr>
          <w:tblHeader/>
          <w:jc w:val="center"/>
        </w:trPr>
        <w:tc>
          <w:tcPr>
            <w:tcW w:w="2016"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구분</w:t>
            </w:r>
          </w:p>
        </w:tc>
        <w:tc>
          <w:tcPr>
            <w:tcW w:w="3168"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성명/직책</w:t>
            </w:r>
          </w:p>
        </w:tc>
        <w:tc>
          <w:tcPr>
            <w:tcW w:w="2592"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서명</w:t>
            </w:r>
          </w:p>
        </w:tc>
        <w:tc>
          <w:tcPr>
            <w:tcW w:w="2160" w:type="dxa"/>
            <w:shd w:val="clear" w:color="auto" w:fill="1F4E79"/>
            <w:tcMar>
              <w:top w:w="100" w:type="dxa"/>
              <w:left w:w="110" w:type="dxa"/>
              <w:bottom w:w="100" w:type="dxa"/>
              <w:right w:w="110" w:type="dxa"/>
            </w:tcMar>
            <w:vAlign w:val="center"/>
          </w:tcPr>
          <w:p w:rsidR="00BA51DA" w:rsidRDefault="00C56EA4">
            <w:pPr>
              <w:spacing w:before="20" w:after="20" w:line="259" w:lineRule="auto"/>
              <w:jc w:val="center"/>
            </w:pPr>
            <w:r>
              <w:rPr>
                <w:b/>
                <w:color w:val="FFFFFF"/>
                <w:sz w:val="20"/>
              </w:rPr>
              <w:t>일자</w:t>
            </w:r>
          </w:p>
        </w:tc>
      </w:tr>
      <w:tr w:rsidR="00BA51DA">
        <w:trPr>
          <w:jc w:val="center"/>
        </w:trPr>
        <w:tc>
          <w:tcPr>
            <w:tcW w:w="201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작성</w:t>
            </w:r>
          </w:p>
        </w:tc>
        <w:tc>
          <w:tcPr>
            <w:tcW w:w="3168"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592"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160"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r>
      <w:tr w:rsidR="00BA51DA">
        <w:trPr>
          <w:jc w:val="center"/>
        </w:trPr>
        <w:tc>
          <w:tcPr>
            <w:tcW w:w="201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제조/공정 검토</w:t>
            </w:r>
          </w:p>
        </w:tc>
        <w:tc>
          <w:tcPr>
            <w:tcW w:w="3168"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c>
          <w:tcPr>
            <w:tcW w:w="2592"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c>
          <w:tcPr>
            <w:tcW w:w="2160"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r>
      <w:tr w:rsidR="00BA51DA">
        <w:trPr>
          <w:jc w:val="center"/>
        </w:trPr>
        <w:tc>
          <w:tcPr>
            <w:tcW w:w="201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품질/위험관리 검토</w:t>
            </w:r>
          </w:p>
        </w:tc>
        <w:tc>
          <w:tcPr>
            <w:tcW w:w="3168"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592"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160"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r>
      <w:tr w:rsidR="00BA51DA">
        <w:trPr>
          <w:jc w:val="center"/>
        </w:trPr>
        <w:tc>
          <w:tcPr>
            <w:tcW w:w="2016" w:type="dxa"/>
            <w:shd w:val="clear" w:color="auto" w:fill="F3F6F9"/>
            <w:tcMar>
              <w:top w:w="100" w:type="dxa"/>
              <w:left w:w="110" w:type="dxa"/>
              <w:bottom w:w="100" w:type="dxa"/>
              <w:right w:w="110" w:type="dxa"/>
            </w:tcMar>
            <w:vAlign w:val="center"/>
          </w:tcPr>
          <w:p w:rsidR="00BA51DA" w:rsidRDefault="00C56EA4">
            <w:pPr>
              <w:spacing w:before="20" w:after="20" w:line="259" w:lineRule="auto"/>
            </w:pPr>
            <w:r>
              <w:rPr>
                <w:sz w:val="20"/>
              </w:rPr>
              <w:t>RA 검토(해당 시)</w:t>
            </w:r>
          </w:p>
        </w:tc>
        <w:tc>
          <w:tcPr>
            <w:tcW w:w="3168"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c>
          <w:tcPr>
            <w:tcW w:w="2592"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c>
          <w:tcPr>
            <w:tcW w:w="2160" w:type="dxa"/>
            <w:shd w:val="clear" w:color="auto" w:fill="F3F6F9"/>
            <w:tcMar>
              <w:top w:w="100" w:type="dxa"/>
              <w:left w:w="110" w:type="dxa"/>
              <w:bottom w:w="100" w:type="dxa"/>
              <w:right w:w="110" w:type="dxa"/>
            </w:tcMar>
            <w:vAlign w:val="center"/>
          </w:tcPr>
          <w:p w:rsidR="00BA51DA" w:rsidRDefault="00BA51DA">
            <w:pPr>
              <w:spacing w:before="20" w:after="20" w:line="259" w:lineRule="auto"/>
            </w:pPr>
          </w:p>
        </w:tc>
      </w:tr>
      <w:tr w:rsidR="00BA51DA">
        <w:trPr>
          <w:jc w:val="center"/>
        </w:trPr>
        <w:tc>
          <w:tcPr>
            <w:tcW w:w="2016" w:type="dxa"/>
            <w:shd w:val="clear" w:color="auto" w:fill="FFFFFF"/>
            <w:tcMar>
              <w:top w:w="100" w:type="dxa"/>
              <w:left w:w="110" w:type="dxa"/>
              <w:bottom w:w="100" w:type="dxa"/>
              <w:right w:w="110" w:type="dxa"/>
            </w:tcMar>
            <w:vAlign w:val="center"/>
          </w:tcPr>
          <w:p w:rsidR="00BA51DA" w:rsidRDefault="00C56EA4">
            <w:pPr>
              <w:spacing w:before="20" w:after="20" w:line="259" w:lineRule="auto"/>
            </w:pPr>
            <w:r>
              <w:rPr>
                <w:sz w:val="20"/>
              </w:rPr>
              <w:t>승인</w:t>
            </w:r>
          </w:p>
        </w:tc>
        <w:tc>
          <w:tcPr>
            <w:tcW w:w="3168"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592"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c>
          <w:tcPr>
            <w:tcW w:w="2160" w:type="dxa"/>
            <w:shd w:val="clear" w:color="auto" w:fill="FFFFFF"/>
            <w:tcMar>
              <w:top w:w="100" w:type="dxa"/>
              <w:left w:w="110" w:type="dxa"/>
              <w:bottom w:w="100" w:type="dxa"/>
              <w:right w:w="110" w:type="dxa"/>
            </w:tcMar>
            <w:vAlign w:val="center"/>
          </w:tcPr>
          <w:p w:rsidR="00BA51DA" w:rsidRDefault="00BA51DA">
            <w:pPr>
              <w:spacing w:before="20" w:after="20" w:line="259" w:lineRule="auto"/>
            </w:pPr>
          </w:p>
        </w:tc>
      </w:tr>
    </w:tbl>
    <w:p w:rsidR="00BA51DA" w:rsidRDefault="00BA51DA">
      <w:pPr>
        <w:spacing w:after="20"/>
      </w:pPr>
    </w:p>
    <w:sectPr w:rsidR="00BA51DA" w:rsidSect="00034616">
      <w:headerReference w:type="default" r:id="rId8"/>
      <w:footerReference w:type="default" r:id="rId9"/>
      <w:pgSz w:w="11909" w:h="16834"/>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8A5" w:rsidRDefault="00D638A5">
      <w:pPr>
        <w:spacing w:after="0" w:line="240" w:lineRule="auto"/>
      </w:pPr>
      <w:r>
        <w:separator/>
      </w:r>
    </w:p>
  </w:endnote>
  <w:endnote w:type="continuationSeparator" w:id="0">
    <w:p w:rsidR="00D638A5" w:rsidRDefault="00D6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1DA" w:rsidRDefault="00C56EA4">
    <w:pPr>
      <w:pStyle w:val="a6"/>
      <w:jc w:val="center"/>
    </w:pPr>
    <w:r>
      <w:t>문서번호 QP-71-F03  |  개정번호 Rev.00  |  초안</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8A5" w:rsidRDefault="00D638A5">
      <w:pPr>
        <w:spacing w:after="0" w:line="240" w:lineRule="auto"/>
      </w:pPr>
      <w:r>
        <w:separator/>
      </w:r>
    </w:p>
  </w:footnote>
  <w:footnote w:type="continuationSeparator" w:id="0">
    <w:p w:rsidR="00D638A5" w:rsidRDefault="00D63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51DA" w:rsidRDefault="00C56EA4">
    <w:pPr>
      <w:pStyle w:val="a5"/>
      <w:jc w:val="right"/>
    </w:pPr>
    <w:r>
      <w:rPr>
        <w:color w:val="5A5A5A"/>
        <w:sz w:val="16"/>
      </w:rPr>
      <w:t>문서번호 QP-71-F03  |  제조공정 FMEA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445F"/>
    <w:rsid w:val="0029639D"/>
    <w:rsid w:val="00326F90"/>
    <w:rsid w:val="004A5F4F"/>
    <w:rsid w:val="005524D5"/>
    <w:rsid w:val="008D447D"/>
    <w:rsid w:val="008E7710"/>
    <w:rsid w:val="00AA1D8D"/>
    <w:rsid w:val="00B47730"/>
    <w:rsid w:val="00BA51DA"/>
    <w:rsid w:val="00C56EA4"/>
    <w:rsid w:val="00CB0664"/>
    <w:rsid w:val="00D63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5DA573-6F2A-4468-9653-F9209934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맑은 고딕" w:eastAsia="맑은 고딕" w:hAnsi="맑은 고딕"/>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Char"/>
    <w:uiPriority w:val="9"/>
    <w:unhideWhenUsed/>
    <w:qFormat/>
    <w:rsid w:val="00FC693F"/>
    <w:pPr>
      <w:keepNext/>
      <w:keepLines/>
      <w:spacing w:before="240"/>
      <w:outlineLvl w:val="2"/>
    </w:pPr>
    <w:rPr>
      <w:rFonts w:asciiTheme="majorHAnsi" w:eastAsiaTheme="majorEastAsia" w:hAnsiTheme="majorHAnsi" w:cstheme="majorBidi"/>
      <w:b/>
      <w:bCs/>
      <w:color w:val="1F4E79"/>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97604F-CAFF-49C7-9310-B084C2A0D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1958</Words>
  <Characters>11166</Characters>
  <Application>Microsoft Office Word</Application>
  <DocSecurity>0</DocSecurity>
  <Lines>93</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2026-10-26T04:42:00Z</dcterms:created>
  <dcterms:modified xsi:type="dcterms:W3CDTF">2026-10-26T04:42:00Z</dcterms:modified>
  <cp:category/>
</cp:coreProperties>
</file>