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7.99999999999997" w:type="dxa"/>
      </w:tblPr>
      <w:tblGrid>
        <w:gridCol w:w="5485"/>
        <w:gridCol w:w="5485"/>
      </w:tblGrid>
      <w:tr>
        <w:trPr>
          <w:trHeight w:hRule="exact" w:val="548"/>
        </w:trPr>
        <w:tc>
          <w:tcPr>
            <w:tcW w:type="dxa" w:w="6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D6D6D"/>
                <w:sz w:val="48"/>
              </w:rPr>
              <w:t xml:space="preserve">U.S. Desk Strategy </w:t>
            </w:r>
          </w:p>
        </w:tc>
        <w:tc>
          <w:tcPr>
            <w:tcW w:type="dxa" w:w="4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6" w:after="0"/>
              <w:ind w:left="0" w:right="24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 xml:space="preserve">September 21, 2021 </w:t>
            </w:r>
          </w:p>
        </w:tc>
      </w:tr>
      <w:tr>
        <w:trPr>
          <w:trHeight w:hRule="exact" w:val="530"/>
        </w:trPr>
        <w:tc>
          <w:tcPr>
            <w:tcW w:type="dxa" w:w="6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74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6D6D6D"/>
                <w:sz w:val="48"/>
              </w:rPr>
              <w:t xml:space="preserve">Market Views </w:t>
            </w:r>
          </w:p>
        </w:tc>
        <w:tc>
          <w:tcPr>
            <w:tcW w:type="dxa" w:w="4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24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 xml:space="preserve">ISSUE #17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784"/>
        <w:ind w:left="0" w:right="0"/>
      </w:pPr>
    </w:p>
    <w:p>
      <w:pPr>
        <w:sectPr>
          <w:pgSz w:w="12240" w:h="15840"/>
          <w:pgMar w:top="338" w:right="520" w:bottom="344" w:left="750" w:header="720" w:footer="720" w:gutter="0"/>
          <w:cols w:space="720" w:num="1" w:equalWidth="0">
            <w:col w:w="109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216" w:firstLine="2"/>
        <w:jc w:val="left"/>
      </w:pPr>
      <w:r>
        <w:rPr>
          <w:rFonts w:ascii="ArialMT" w:hAnsi="ArialMT" w:eastAsia="ArialMT"/>
          <w:b w:val="0"/>
          <w:i w:val="0"/>
          <w:color w:val="6D6D6D"/>
          <w:sz w:val="40"/>
        </w:rPr>
        <w:t xml:space="preserve">September </w:t>
      </w:r>
      <w:r>
        <w:rPr>
          <w:spacing w:val="-6.153846153846154"/>
          <w:rFonts w:ascii="ArialMT" w:hAnsi="ArialMT" w:eastAsia="ArialMT"/>
          <w:b w:val="0"/>
          <w:i w:val="0"/>
          <w:color w:val="6D6D6D"/>
          <w:sz w:val="40"/>
        </w:rPr>
        <w:t xml:space="preserve">FOMC Preview </w:t>
      </w:r>
      <w:r>
        <w:rPr>
          <w:rFonts w:ascii="ArialMT" w:hAnsi="ArialMT" w:eastAsia="ArialMT"/>
          <w:b w:val="0"/>
          <w:i w:val="0"/>
          <w:color w:val="6D6D6D"/>
          <w:sz w:val="40"/>
        </w:rPr>
        <w:t xml:space="preserve">and Market Implications </w:t>
      </w:r>
    </w:p>
    <w:p>
      <w:pPr>
        <w:sectPr>
          <w:type w:val="continuous"/>
          <w:pgSz w:w="12240" w:h="15840"/>
          <w:pgMar w:top="338" w:right="520" w:bottom="344" w:left="750" w:header="720" w:footer="720" w:gutter="0"/>
          <w:cols w:space="720" w:num="2" w:equalWidth="0">
            <w:col w:w="5264" w:space="0"/>
            <w:col w:w="5706" w:space="0"/>
            <w:col w:w="109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16" w:right="3138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GEORGE GONCALVES </w:t>
      </w:r>
      <w:r>
        <w:br/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Head of U.S. </w:t>
      </w:r>
      <w:r>
        <w:rPr>
          <w:spacing w:val="-5.333333333333333"/>
          <w:rFonts w:ascii="ArialMT" w:hAnsi="ArialMT" w:eastAsia="ArialMT"/>
          <w:b w:val="0"/>
          <w:i w:val="0"/>
          <w:color w:val="6D6D6D"/>
          <w:sz w:val="18"/>
        </w:rPr>
        <w:t xml:space="preserve">Macro Strategy </w:t>
      </w:r>
      <w:r>
        <w:br/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Institutional Client Group </w:t>
      </w:r>
    </w:p>
    <w:p>
      <w:pPr>
        <w:autoSpaceDN w:val="0"/>
        <w:autoSpaceDE w:val="0"/>
        <w:widowControl/>
        <w:spacing w:line="245" w:lineRule="auto" w:before="126" w:after="194"/>
        <w:ind w:left="216" w:right="2162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T +1-212-405-6687 </w:t>
      </w:r>
      <w:r>
        <w:br/>
      </w:r>
      <w:r>
        <w:rPr>
          <w:rFonts w:ascii="ArialMT" w:hAnsi="ArialMT" w:eastAsia="ArialMT"/>
          <w:b w:val="0"/>
          <w:i w:val="0"/>
          <w:color w:val="6D6D6D"/>
          <w:sz w:val="18"/>
        </w:rPr>
        <w:t>E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 </w:t>
      </w:r>
      <w:r>
        <w:rPr>
          <w:spacing w:val="-2.2857142857142856"/>
          <w:rFonts w:ascii="ArialMT" w:hAnsi="ArialMT" w:eastAsia="ArialMT"/>
          <w:b w:val="0"/>
          <w:i w:val="0"/>
          <w:color w:val="0000FF"/>
          <w:sz w:val="18"/>
          <w:u w:val="single"/>
        </w:rPr>
        <w:hyperlink r:id="rId9" w:history="1">
          <w:r>
            <w:rPr>
              <w:rStyle w:val="Hyperlink"/>
            </w:rPr>
            <w:t>george.goncalves@mufgsecurities.com</w:t>
          </w:r>
        </w:hyperlink>
      </w:r>
    </w:p>
    <w:p>
      <w:pPr>
        <w:sectPr>
          <w:type w:val="nextColumn"/>
          <w:pgSz w:w="12240" w:h="15840"/>
          <w:pgMar w:top="338" w:right="520" w:bottom="344" w:left="750" w:header="720" w:footer="720" w:gutter="0"/>
          <w:cols w:space="720" w:num="2" w:equalWidth="0">
            <w:col w:w="5264" w:space="0"/>
            <w:col w:w="5706" w:space="0"/>
            <w:col w:w="10970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3212" w:firstLine="0"/>
        <w:jc w:val="righ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MUFG Securities Americas Inc. </w:t>
      </w:r>
    </w:p>
    <w:p>
      <w:pPr>
        <w:autoSpaceDN w:val="0"/>
        <w:autoSpaceDE w:val="0"/>
        <w:widowControl/>
        <w:spacing w:line="233" w:lineRule="auto" w:before="6" w:after="76"/>
        <w:ind w:left="0" w:right="2722" w:firstLine="0"/>
        <w:jc w:val="right"/>
      </w:pPr>
      <w:r>
        <w:rPr>
          <w:rFonts w:ascii="ArialMT" w:hAnsi="ArialMT" w:eastAsia="ArialMT"/>
          <w:b w:val="0"/>
          <w:i w:val="0"/>
          <w:color w:val="6D6D6D"/>
          <w:sz w:val="14"/>
        </w:rPr>
        <w:t>A member of MUFG, a global financial group</w:t>
      </w:r>
    </w:p>
    <w:p>
      <w:pPr>
        <w:sectPr>
          <w:type w:val="continuous"/>
          <w:pgSz w:w="12240" w:h="15840"/>
          <w:pgMar w:top="338" w:right="520" w:bottom="344" w:left="750" w:header="720" w:footer="720" w:gutter="0"/>
          <w:cols w:space="720" w:num="1" w:equalWidth="0">
            <w:col w:w="10970" w:space="0"/>
            <w:col w:w="5264" w:space="0"/>
            <w:col w:w="5706" w:space="0"/>
            <w:col w:w="10970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26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6D6D6D"/>
          <w:sz w:val="30"/>
        </w:rPr>
        <w:t xml:space="preserve">We want that Tapering: Its September then, then November, December, What? </w:t>
      </w:r>
    </w:p>
    <w:p>
      <w:pPr>
        <w:autoSpaceDN w:val="0"/>
        <w:autoSpaceDE w:val="0"/>
        <w:widowControl/>
        <w:spacing w:line="254" w:lineRule="auto" w:before="192" w:after="0"/>
        <w:ind w:left="158" w:right="266" w:firstLine="0"/>
        <w:jc w:val="left"/>
      </w:pPr>
      <w:r>
        <w:rPr>
          <w:rFonts w:ascii="Arial" w:hAnsi="Arial" w:eastAsia="Arial"/>
          <w:b w:val="0"/>
          <w:i/>
          <w:color w:val="6D6D6D"/>
          <w:sz w:val="18"/>
        </w:rPr>
        <w:t xml:space="preserve">Okay… this subtitle will take a little bit of explaining but for those familiar with that catchy tune by Riton &amp; Nightcrawlers </w:t>
      </w:r>
      <w:r>
        <w:rPr>
          <w:spacing w:val="-6.153846153846154"/>
          <w:rFonts w:ascii="Arial" w:hAnsi="Arial" w:eastAsia="Arial"/>
          <w:b w:val="0"/>
          <w:i/>
          <w:color w:val="6D6D6D"/>
          <w:sz w:val="18"/>
        </w:rPr>
        <w:t xml:space="preserve">feat. Mufasa </w:t>
      </w:r>
      <w:r>
        <w:rPr>
          <w:rFonts w:ascii="Arial" w:hAnsi="Arial" w:eastAsia="Arial"/>
          <w:b w:val="0"/>
          <w:i/>
          <w:color w:val="6D6D6D"/>
          <w:sz w:val="18"/>
        </w:rPr>
        <w:t xml:space="preserve">&amp; Hypeman, you will know what I mean. A modification and an ode to tapering of the intro of that song would go like: You know we </w:t>
      </w:r>
      <w:r>
        <w:rPr>
          <w:rFonts w:ascii="Arial" w:hAnsi="Arial" w:eastAsia="Arial"/>
          <w:b w:val="0"/>
          <w:i/>
          <w:color w:val="6D6D6D"/>
          <w:sz w:val="18"/>
        </w:rPr>
        <w:t xml:space="preserve">finally here, right? Where are we? It's taper time… if we do not get it in September then its either in November or December, what? </w:t>
      </w:r>
    </w:p>
    <w:p>
      <w:pPr>
        <w:autoSpaceDN w:val="0"/>
        <w:autoSpaceDE w:val="0"/>
        <w:widowControl/>
        <w:spacing w:line="252" w:lineRule="auto" w:before="86" w:after="0"/>
        <w:ind w:left="158" w:right="164" w:firstLine="0"/>
        <w:jc w:val="left"/>
      </w:pPr>
      <w:r>
        <w:rPr>
          <w:rFonts w:ascii="Arial" w:hAnsi="Arial" w:eastAsia="Arial"/>
          <w:b w:val="0"/>
          <w:i/>
          <w:color w:val="6D6D6D"/>
          <w:sz w:val="18"/>
        </w:rPr>
        <w:t xml:space="preserve">This is what tapering has come down to, guessing which month they finally go ahead with the most televised Fed action in history. If </w:t>
      </w:r>
      <w:r>
        <w:rPr>
          <w:rFonts w:ascii="Arial" w:hAnsi="Arial" w:eastAsia="Arial"/>
          <w:b w:val="0"/>
          <w:i/>
          <w:color w:val="6D6D6D"/>
          <w:sz w:val="18"/>
        </w:rPr>
        <w:t xml:space="preserve">the Fed truly wants to separate tapering from tightening they need to just get on with it. However something tells me that </w:t>
      </w:r>
      <w:r>
        <w:rPr>
          <w:spacing w:val="-6.153846153846154"/>
          <w:rFonts w:ascii="Arial" w:hAnsi="Arial" w:eastAsia="Arial"/>
          <w:b w:val="0"/>
          <w:i/>
          <w:color w:val="6D6D6D"/>
          <w:sz w:val="18"/>
        </w:rPr>
        <w:t xml:space="preserve">given recent </w:t>
      </w:r>
      <w:r>
        <w:rPr>
          <w:rFonts w:ascii="Arial" w:hAnsi="Arial" w:eastAsia="Arial"/>
          <w:b w:val="0"/>
          <w:i/>
          <w:color w:val="6D6D6D"/>
          <w:sz w:val="18"/>
        </w:rPr>
        <w:t xml:space="preserve">price action and uneven data they will still lean on the dovish side, i.e. give us enough guidance without delivering the full </w:t>
      </w:r>
      <w:r>
        <w:rPr>
          <w:spacing w:val="-6.666666666666666"/>
          <w:rFonts w:ascii="Arial" w:hAnsi="Arial" w:eastAsia="Arial"/>
          <w:b w:val="0"/>
          <w:i/>
          <w:color w:val="6D6D6D"/>
          <w:sz w:val="18"/>
        </w:rPr>
        <w:t xml:space="preserve">taper news. </w:t>
      </w:r>
    </w:p>
    <w:p>
      <w:pPr>
        <w:autoSpaceDN w:val="0"/>
        <w:autoSpaceDE w:val="0"/>
        <w:widowControl/>
        <w:spacing w:line="254" w:lineRule="auto" w:before="88" w:after="0"/>
        <w:ind w:left="158" w:right="216" w:firstLine="0"/>
        <w:jc w:val="both"/>
      </w:pPr>
      <w:r>
        <w:rPr>
          <w:rFonts w:ascii="Arial" w:hAnsi="Arial" w:eastAsia="Arial"/>
          <w:b w:val="0"/>
          <w:i/>
          <w:color w:val="6D6D6D"/>
          <w:sz w:val="18"/>
        </w:rPr>
        <w:t xml:space="preserve">This meeting is also critical given that we will get the 2024 dots and an update for all the prior years as well, with 2022 being a close </w:t>
      </w:r>
      <w:r>
        <w:rPr>
          <w:rFonts w:ascii="Arial" w:hAnsi="Arial" w:eastAsia="Arial"/>
          <w:b w:val="0"/>
          <w:i/>
          <w:color w:val="6D6D6D"/>
          <w:sz w:val="18"/>
        </w:rPr>
        <w:t xml:space="preserve">call of coming in at 1 hike. The statement will also need a re-writing to suggest that “substantial further progress” has been made on </w:t>
      </w:r>
      <w:r>
        <w:rPr>
          <w:rFonts w:ascii="Arial" w:hAnsi="Arial" w:eastAsia="Arial"/>
          <w:b w:val="0"/>
          <w:i/>
          <w:color w:val="6D6D6D"/>
          <w:sz w:val="18"/>
        </w:rPr>
        <w:t xml:space="preserve">the labor markets (so expect that phrase to drop). It will also be interesting to see how far they can stretch the transitory </w:t>
      </w:r>
      <w:r>
        <w:rPr>
          <w:spacing w:val="-5.0"/>
          <w:rFonts w:ascii="Arial" w:hAnsi="Arial" w:eastAsia="Arial"/>
          <w:b w:val="0"/>
          <w:i/>
          <w:color w:val="6D6D6D"/>
          <w:sz w:val="18"/>
        </w:rPr>
        <w:t xml:space="preserve">inflation line. </w:t>
      </w:r>
    </w:p>
    <w:p>
      <w:pPr>
        <w:autoSpaceDN w:val="0"/>
        <w:autoSpaceDE w:val="0"/>
        <w:widowControl/>
        <w:spacing w:line="288" w:lineRule="auto" w:before="134" w:after="0"/>
        <w:ind w:left="158" w:right="152" w:firstLine="0"/>
        <w:jc w:val="center"/>
      </w:pPr>
      <w:r>
        <w:rPr>
          <w:rFonts w:ascii="Arial" w:hAnsi="Arial" w:eastAsia="Arial"/>
          <w:b w:val="0"/>
          <w:i/>
          <w:color w:val="6D6D6D"/>
          <w:sz w:val="18"/>
        </w:rPr>
        <w:t xml:space="preserve">Bottom-line: Thus far the Fed has been able to avoid a 2013 taper tantrum repeat by stretching out the taper discussion and eventual </w:t>
      </w:r>
      <w:r>
        <w:rPr>
          <w:rFonts w:ascii="Arial" w:hAnsi="Arial" w:eastAsia="Arial"/>
          <w:b w:val="0"/>
          <w:i/>
          <w:color w:val="6D6D6D"/>
          <w:sz w:val="18"/>
        </w:rPr>
        <w:t xml:space="preserve">implemention of their tapering plans. However signs of excess liquidity are everywhere (from the swollen RRP usage to tight spreads </w:t>
      </w:r>
      <w:r>
        <w:rPr>
          <w:rFonts w:ascii="Arial" w:hAnsi="Arial" w:eastAsia="Arial"/>
          <w:b w:val="0"/>
          <w:i/>
          <w:color w:val="6D6D6D"/>
          <w:sz w:val="18"/>
        </w:rPr>
        <w:t xml:space="preserve">and high valuations in risk assets) so the jury is still out for what takes place once tapering is in motion. That however is not the focus </w:t>
      </w:r>
      <w:r>
        <w:rPr>
          <w:rFonts w:ascii="Arial" w:hAnsi="Arial" w:eastAsia="Arial"/>
          <w:b w:val="0"/>
          <w:i/>
          <w:color w:val="6D6D6D"/>
          <w:sz w:val="18"/>
        </w:rPr>
        <w:t xml:space="preserve">of this meeting. The focus at this meeting is the 2024 dots, statement language adjustments (is inflation still transitory and how about </w:t>
      </w:r>
      <w:r>
        <w:rPr>
          <w:rFonts w:ascii="Arial" w:hAnsi="Arial" w:eastAsia="Arial"/>
          <w:b w:val="0"/>
          <w:i/>
          <w:color w:val="6D6D6D"/>
          <w:sz w:val="18"/>
        </w:rPr>
        <w:t xml:space="preserve">the slowing of the economy lately, also transitory), taper and Powell’s Presser (and expect questions on China and the </w:t>
      </w:r>
      <w:r>
        <w:rPr>
          <w:spacing w:val="-5.333333333333333"/>
          <w:rFonts w:ascii="Arial" w:hAnsi="Arial" w:eastAsia="Arial"/>
          <w:b w:val="0"/>
          <w:i/>
          <w:color w:val="6D6D6D"/>
          <w:sz w:val="18"/>
        </w:rPr>
        <w:t xml:space="preserve">debt ceiling)… </w:t>
      </w:r>
    </w:p>
    <w:p>
      <w:pPr>
        <w:autoSpaceDN w:val="0"/>
        <w:autoSpaceDE w:val="0"/>
        <w:widowControl/>
        <w:spacing w:line="235" w:lineRule="auto" w:before="120" w:after="0"/>
        <w:ind w:left="158" w:right="0" w:firstLine="0"/>
        <w:jc w:val="left"/>
      </w:pPr>
      <w:r>
        <w:rPr>
          <w:rFonts w:ascii="Arial" w:hAnsi="Arial" w:eastAsia="Arial"/>
          <w:b/>
          <w:i w:val="0"/>
          <w:color w:val="FF0000"/>
          <w:sz w:val="18"/>
        </w:rPr>
        <w:t xml:space="preserve">FOMC MARKET SCENARIOS </w:t>
      </w:r>
    </w:p>
    <w:p>
      <w:pPr>
        <w:autoSpaceDN w:val="0"/>
        <w:autoSpaceDE w:val="0"/>
        <w:widowControl/>
        <w:spacing w:line="257" w:lineRule="auto" w:before="134" w:after="68"/>
        <w:ind w:left="158" w:right="238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The last Fed meeting had a slightly hawkish tilt in the statement (characterizing the economy is in a strengthening period) and chair 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Powell was more upbeat during his press conference too and even downplayed the impact of future CV19 waves on the economy. 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Yet rates barely moved on the day at the July meeting with 5s30s experiencing a minor flattening twist. At this juncture I feel there is 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more at risk and depending on what tone is struck, markets may move more, closer to what we saw in June meeting, I </w:t>
      </w:r>
      <w:r>
        <w:rPr>
          <w:spacing w:val="-5.7142857142857135"/>
          <w:rFonts w:ascii="ArialMT" w:hAnsi="ArialMT" w:eastAsia="ArialMT"/>
          <w:b w:val="0"/>
          <w:i w:val="0"/>
          <w:color w:val="6D6D6D"/>
          <w:sz w:val="18"/>
        </w:rPr>
        <w:t xml:space="preserve">lean hawkish.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.99999999999997" w:type="dxa"/>
      </w:tblPr>
      <w:tblGrid>
        <w:gridCol w:w="5485"/>
        <w:gridCol w:w="5485"/>
      </w:tblGrid>
      <w:tr>
        <w:trPr>
          <w:trHeight w:hRule="exact" w:val="288"/>
        </w:trPr>
        <w:tc>
          <w:tcPr>
            <w:tcW w:type="dxa" w:w="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8" w:after="0"/>
              <w:ind w:left="3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6D6D6D"/>
                <w:sz w:val="18"/>
              </w:rPr>
              <w:t>•</w:t>
            </w:r>
          </w:p>
        </w:tc>
        <w:tc>
          <w:tcPr>
            <w:tcW w:type="dxa" w:w="10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6D6D6D"/>
                <w:sz w:val="18"/>
              </w:rPr>
              <w:t>Dovish scenario (15% chance):</w:t>
            </w:r>
            <w:r>
              <w:rPr>
                <w:rFonts w:ascii="ArialMT" w:hAnsi="ArialMT" w:eastAsia="ArialMT"/>
                <w:b w:val="0"/>
                <w:i w:val="0"/>
                <w:color w:val="6D6D6D"/>
                <w:sz w:val="18"/>
              </w:rPr>
              <w:t xml:space="preserve"> Fed basically does not make any changes to rates, the 2024 dot has just 1 hike, and no specifics </w:t>
            </w:r>
          </w:p>
        </w:tc>
      </w:tr>
      <w:tr>
        <w:trPr>
          <w:trHeight w:hRule="exact" w:val="306"/>
        </w:trPr>
        <w:tc>
          <w:tcPr>
            <w:tcW w:type="dxa" w:w="2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6" w:after="0"/>
              <w:ind w:left="3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6D6D6D"/>
                <w:sz w:val="18"/>
              </w:rPr>
              <w:t>•</w:t>
            </w:r>
          </w:p>
        </w:tc>
        <w:tc>
          <w:tcPr>
            <w:tcW w:type="dxa" w:w="10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6D6D6D"/>
                <w:sz w:val="18"/>
              </w:rPr>
              <w:t xml:space="preserve">given on taper. In such a scenario vols will come off, belly rates rally and credit spreads and risk assets perform into quarter-end. </w:t>
            </w:r>
          </w:p>
        </w:tc>
      </w:tr>
      <w:tr>
        <w:trPr>
          <w:trHeight w:hRule="exact" w:val="280"/>
        </w:trPr>
        <w:tc>
          <w:tcPr>
            <w:tcW w:type="dxa" w:w="5485"/>
            <w:vMerge/>
            <w:tcBorders/>
          </w:tcPr>
          <w:p/>
        </w:tc>
        <w:tc>
          <w:tcPr>
            <w:tcW w:type="dxa" w:w="10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6D6D6D"/>
                <w:sz w:val="18"/>
              </w:rPr>
              <w:t>Neutral scenario (55% chance):</w:t>
            </w:r>
            <w:r>
              <w:rPr>
                <w:rFonts w:ascii="ArialMT" w:hAnsi="ArialMT" w:eastAsia="ArialMT"/>
                <w:b w:val="0"/>
                <w:i w:val="0"/>
                <w:color w:val="6D6D6D"/>
                <w:sz w:val="18"/>
              </w:rPr>
              <w:t xml:space="preserve"> After having adjusted RRP rates and setting up the standing repo facility (SRF), the Fed is ready </w:t>
            </w:r>
          </w:p>
        </w:tc>
      </w:tr>
      <w:tr>
        <w:trPr>
          <w:trHeight w:hRule="exact" w:val="244"/>
        </w:trPr>
        <w:tc>
          <w:tcPr>
            <w:tcW w:type="dxa" w:w="2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96" w:after="0"/>
              <w:ind w:left="3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6D6D6D"/>
                <w:sz w:val="18"/>
              </w:rPr>
              <w:t>•</w:t>
            </w:r>
          </w:p>
        </w:tc>
        <w:tc>
          <w:tcPr>
            <w:tcW w:type="dxa" w:w="10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6D6D6D"/>
                <w:sz w:val="18"/>
              </w:rPr>
              <w:t xml:space="preserve">to taper but does not provide the breakdowns or starting date, instead states that before year-end the Fed is preparing to reduce </w:t>
            </w:r>
          </w:p>
        </w:tc>
      </w:tr>
      <w:tr>
        <w:trPr>
          <w:trHeight w:hRule="exact" w:val="294"/>
        </w:trPr>
        <w:tc>
          <w:tcPr>
            <w:tcW w:type="dxa" w:w="5485"/>
            <w:vMerge/>
            <w:tcBorders/>
          </w:tcPr>
          <w:p/>
        </w:tc>
        <w:tc>
          <w:tcPr>
            <w:tcW w:type="dxa" w:w="10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D6D6D"/>
                <w:sz w:val="18"/>
              </w:rPr>
              <w:t xml:space="preserve">the pace of QE purchases. They do not collectively raise the 2022 dot dampening fears of a faster hiking campaign lies ahead. </w:t>
            </w:r>
          </w:p>
        </w:tc>
      </w:tr>
      <w:tr>
        <w:trPr>
          <w:trHeight w:hRule="exact" w:val="278"/>
        </w:trPr>
        <w:tc>
          <w:tcPr>
            <w:tcW w:type="dxa" w:w="5485"/>
            <w:vMerge/>
            <w:tcBorders/>
          </w:tcPr>
          <w:p/>
        </w:tc>
        <w:tc>
          <w:tcPr>
            <w:tcW w:type="dxa" w:w="10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6D6D6D"/>
                <w:sz w:val="18"/>
              </w:rPr>
              <w:t>Hawkish scenario (20% chance):</w:t>
            </w:r>
            <w:r>
              <w:rPr>
                <w:rFonts w:ascii="ArialMT" w:hAnsi="ArialMT" w:eastAsia="ArialMT"/>
                <w:b w:val="0"/>
                <w:i w:val="0"/>
                <w:color w:val="6D6D6D"/>
                <w:sz w:val="18"/>
              </w:rPr>
              <w:t xml:space="preserve">  The 2022 submission end up tipping the scales toward 1 median hike projected that year and </w:t>
            </w:r>
          </w:p>
        </w:tc>
      </w:tr>
      <w:tr>
        <w:trPr>
          <w:trHeight w:hRule="exact" w:val="310"/>
        </w:trPr>
        <w:tc>
          <w:tcPr>
            <w:tcW w:type="dxa" w:w="2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70" w:after="0"/>
              <w:ind w:left="3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6D6D6D"/>
                <w:sz w:val="18"/>
              </w:rPr>
              <w:t>•</w:t>
            </w:r>
          </w:p>
        </w:tc>
        <w:tc>
          <w:tcPr>
            <w:tcW w:type="dxa" w:w="10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D6D6D"/>
                <w:sz w:val="18"/>
              </w:rPr>
              <w:t xml:space="preserve">the 2024 dots have 2 or more hikes built into that terminal rate as well. 5s would come under pressure as the curve flattens. </w:t>
            </w:r>
          </w:p>
        </w:tc>
      </w:tr>
      <w:tr>
        <w:trPr>
          <w:trHeight w:hRule="exact" w:val="428"/>
        </w:trPr>
        <w:tc>
          <w:tcPr>
            <w:tcW w:type="dxa" w:w="5485"/>
            <w:vMerge/>
            <w:tcBorders/>
          </w:tcPr>
          <w:p/>
        </w:tc>
        <w:tc>
          <w:tcPr>
            <w:tcW w:type="dxa" w:w="10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0" w:val="left"/>
              </w:tabs>
              <w:autoSpaceDE w:val="0"/>
              <w:widowControl/>
              <w:spacing w:line="238" w:lineRule="auto" w:before="60" w:after="0"/>
              <w:ind w:left="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6D6D6D"/>
                <w:sz w:val="18"/>
              </w:rPr>
              <w:t>•</w:t>
            </w:r>
            <w:r>
              <w:tab/>
            </w:r>
            <w:r>
              <w:rPr>
                <w:rFonts w:ascii="Arial" w:hAnsi="Arial" w:eastAsia="Arial"/>
                <w:b w:val="0"/>
                <w:i/>
                <w:color w:val="6D6D6D"/>
                <w:sz w:val="18"/>
              </w:rPr>
              <w:t>Uber-hawkish scenario (10%):</w:t>
            </w:r>
            <w:r>
              <w:rPr>
                <w:rFonts w:ascii="ArialMT" w:hAnsi="ArialMT" w:eastAsia="ArialMT"/>
                <w:b w:val="0"/>
                <w:i w:val="0"/>
                <w:color w:val="6D6D6D"/>
                <w:sz w:val="18"/>
              </w:rPr>
              <w:t xml:space="preserve"> Take the hawkish scenario and add in the actual launch of the tapering, and starts up in October.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.99999999999997" w:type="dxa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</w:tblGrid>
      <w:tr>
        <w:trPr>
          <w:trHeight w:hRule="exact" w:val="248"/>
        </w:trPr>
        <w:tc>
          <w:tcPr>
            <w:tcW w:type="dxa" w:w="10820"/>
            <w:gridSpan w:val="17"/>
            <w:tcBorders>
              <w:start w:sz="1.6000000000000227" w:val="single" w:color="#D9D9D9"/>
              <w:top w:sz="2.399999999999636" w:val="single" w:color="#D9D9D9"/>
              <w:end w:sz="1.6000000000003638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Comparing the actual last three FOMC meeting market moves and average cross-market changes for FOMC events (based on five years of historical data)</w:t>
            </w:r>
          </w:p>
        </w:tc>
      </w:tr>
      <w:tr>
        <w:trPr>
          <w:trHeight w:hRule="exact" w:val="178"/>
        </w:trPr>
        <w:tc>
          <w:tcPr>
            <w:tcW w:type="dxa" w:w="928"/>
            <w:tcBorders>
              <w:start w:sz="1.6000000000000227" w:val="single" w:color="#D9D9D9"/>
              <w:top w:sz="1.6000000000003638" w:val="single" w:color="#D9D9D9"/>
              <w:end w:sz="2.3999999999999773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2"/>
            <w:gridSpan w:val="4"/>
            <w:tcBorders>
              <w:start w:sz="2.3999999999999773" w:val="single" w:color="#D9D9D9"/>
              <w:top w:sz="1.6000000000003638" w:val="single" w:color="#D9D9D9"/>
              <w:end w:sz="1.599999999999909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"/>
              </w:rPr>
              <w:t xml:space="preserve">Bills (bp) </w:t>
            </w:r>
          </w:p>
        </w:tc>
        <w:tc>
          <w:tcPr>
            <w:tcW w:type="dxa" w:w="2494"/>
            <w:gridSpan w:val="4"/>
            <w:tcBorders>
              <w:start w:sz="1.599999999999909" w:val="single" w:color="#D9D9D9"/>
              <w:top w:sz="1.6000000000003638" w:val="single" w:color="#D9D9D9"/>
              <w:end w:sz="2.400000000000091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"/>
              </w:rPr>
              <w:t xml:space="preserve">Coupons (bp) </w:t>
            </w:r>
          </w:p>
        </w:tc>
        <w:tc>
          <w:tcPr>
            <w:tcW w:type="dxa" w:w="1138"/>
            <w:gridSpan w:val="2"/>
            <w:tcBorders>
              <w:start w:sz="2.400000000000091" w:val="single" w:color="#D9D9D9"/>
              <w:top w:sz="1.6000000000003638" w:val="single" w:color="#D9D9D9"/>
              <w:end w:sz="1.599999999999909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"/>
              </w:rPr>
              <w:t xml:space="preserve">Curves (bp) </w:t>
            </w:r>
          </w:p>
        </w:tc>
        <w:tc>
          <w:tcPr>
            <w:tcW w:type="dxa" w:w="736"/>
            <w:tcBorders>
              <w:start w:sz="1.599999999999909" w:val="single" w:color="#D9D9D9"/>
              <w:top w:sz="1.6000000000003638" w:val="single" w:color="#D9D9D9"/>
              <w:end w:sz="2.399999999999636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"/>
              </w:rPr>
              <w:t xml:space="preserve">TIPS (bp) </w:t>
            </w:r>
          </w:p>
        </w:tc>
        <w:tc>
          <w:tcPr>
            <w:tcW w:type="dxa" w:w="704"/>
            <w:tcBorders>
              <w:start w:sz="2.399999999999636" w:val="single" w:color="#D9D9D9"/>
              <w:top w:sz="1.6000000000003638" w:val="single" w:color="#D9D9D9"/>
              <w:end w:sz="1.599999999999909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"/>
              </w:rPr>
              <w:t xml:space="preserve">Vol (bpv) </w:t>
            </w:r>
          </w:p>
        </w:tc>
        <w:tc>
          <w:tcPr>
            <w:tcW w:type="dxa" w:w="1168"/>
            <w:gridSpan w:val="2"/>
            <w:tcBorders>
              <w:start w:sz="1.599999999999909" w:val="single" w:color="#D9D9D9"/>
              <w:top w:sz="1.6000000000003638" w:val="single" w:color="#D9D9D9"/>
              <w:end w:sz="2.399999999999636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"/>
              </w:rPr>
              <w:t xml:space="preserve">FX (%) </w:t>
            </w:r>
          </w:p>
        </w:tc>
        <w:tc>
          <w:tcPr>
            <w:tcW w:type="dxa" w:w="1250"/>
            <w:gridSpan w:val="2"/>
            <w:tcBorders>
              <w:start w:sz="2.399999999999636" w:val="single" w:color="#D9D9D9"/>
              <w:top w:sz="1.6000000000003638" w:val="single" w:color="#D9D9D9"/>
              <w:end w:sz="1.6000000000003638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"/>
              </w:rPr>
              <w:t xml:space="preserve">Risk Market </w:t>
            </w:r>
          </w:p>
        </w:tc>
      </w:tr>
      <w:tr>
        <w:trPr>
          <w:trHeight w:hRule="exact" w:val="178"/>
        </w:trPr>
        <w:tc>
          <w:tcPr>
            <w:tcW w:type="dxa" w:w="928"/>
            <w:tcBorders>
              <w:start w:sz="1.6000000000000227" w:val="single" w:color="#D9D9D9"/>
              <w:top w:sz="1.6000000000003638" w:val="single" w:color="#D9D9D9"/>
              <w:end w:sz="2.3999999999999773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start w:sz="2.3999999999999773" w:val="single" w:color="#D9D9D9"/>
              <w:top w:sz="1.6000000000003638" w:val="single" w:color="#D9D9D9"/>
              <w:end w:sz="2.3999999999999773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"/>
              </w:rPr>
              <w:t xml:space="preserve">1m </w:t>
            </w:r>
          </w:p>
        </w:tc>
        <w:tc>
          <w:tcPr>
            <w:tcW w:type="dxa" w:w="622"/>
            <w:tcBorders>
              <w:start w:sz="2.3999999999999773" w:val="single" w:color="#D9D9D9"/>
              <w:top w:sz="1.6000000000003638" w:val="single" w:color="#D9D9D9"/>
              <w:end w:sz="2.3999999999998636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"/>
              </w:rPr>
              <w:t xml:space="preserve">3m </w:t>
            </w:r>
          </w:p>
        </w:tc>
        <w:tc>
          <w:tcPr>
            <w:tcW w:type="dxa" w:w="620"/>
            <w:tcBorders>
              <w:start w:sz="2.3999999999998636" w:val="single" w:color="#D9D9D9"/>
              <w:top w:sz="1.6000000000003638" w:val="single" w:color="#D9D9D9"/>
              <w:end w:sz="1.599999999999909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"/>
              </w:rPr>
              <w:t xml:space="preserve">6m </w:t>
            </w:r>
          </w:p>
        </w:tc>
        <w:tc>
          <w:tcPr>
            <w:tcW w:type="dxa" w:w="620"/>
            <w:tcBorders>
              <w:start w:sz="1.599999999999909" w:val="single" w:color="#D9D9D9"/>
              <w:top w:sz="1.6000000000003638" w:val="single" w:color="#D9D9D9"/>
              <w:end w:sz="1.599999999999909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"/>
              </w:rPr>
              <w:t xml:space="preserve">1y </w:t>
            </w:r>
          </w:p>
        </w:tc>
        <w:tc>
          <w:tcPr>
            <w:tcW w:type="dxa" w:w="626"/>
            <w:tcBorders>
              <w:start w:sz="1.599999999999909" w:val="single" w:color="#D9D9D9"/>
              <w:top w:sz="1.6000000000003638" w:val="single" w:color="#D9D9D9"/>
              <w:end w:sz="1.6000000000001364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"/>
              </w:rPr>
              <w:t xml:space="preserve">2yr </w:t>
            </w:r>
          </w:p>
        </w:tc>
        <w:tc>
          <w:tcPr>
            <w:tcW w:type="dxa" w:w="622"/>
            <w:tcBorders>
              <w:start w:sz="1.6000000000001364" w:val="single" w:color="#D9D9D9"/>
              <w:top w:sz="1.6000000000003638" w:val="single" w:color="#D9D9D9"/>
              <w:end w:sz="2.399999999999636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"/>
              </w:rPr>
              <w:t xml:space="preserve">5yr </w:t>
            </w:r>
          </w:p>
        </w:tc>
        <w:tc>
          <w:tcPr>
            <w:tcW w:type="dxa" w:w="624"/>
            <w:tcBorders>
              <w:start w:sz="2.399999999999636" w:val="single" w:color="#D9D9D9"/>
              <w:top w:sz="1.6000000000003638" w:val="single" w:color="#D9D9D9"/>
              <w:end w:sz="2.400000000000091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"/>
              </w:rPr>
              <w:t xml:space="preserve">10yr </w:t>
            </w:r>
          </w:p>
        </w:tc>
        <w:tc>
          <w:tcPr>
            <w:tcW w:type="dxa" w:w="622"/>
            <w:tcBorders>
              <w:start w:sz="2.400000000000091" w:val="single" w:color="#D9D9D9"/>
              <w:top w:sz="1.6000000000003638" w:val="single" w:color="#D9D9D9"/>
              <w:end w:sz="2.400000000000091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"/>
              </w:rPr>
              <w:t xml:space="preserve">30yr </w:t>
            </w:r>
          </w:p>
        </w:tc>
        <w:tc>
          <w:tcPr>
            <w:tcW w:type="dxa" w:w="568"/>
            <w:tcBorders>
              <w:start w:sz="2.400000000000091" w:val="single" w:color="#D9D9D9"/>
              <w:top w:sz="1.6000000000003638" w:val="single" w:color="#D9D9D9"/>
              <w:end w:sz="1.6000000000003638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"/>
              </w:rPr>
              <w:t xml:space="preserve">2s10s </w:t>
            </w:r>
          </w:p>
        </w:tc>
        <w:tc>
          <w:tcPr>
            <w:tcW w:type="dxa" w:w="570"/>
            <w:tcBorders>
              <w:start w:sz="1.6000000000003638" w:val="single" w:color="#D9D9D9"/>
              <w:top w:sz="1.6000000000003638" w:val="single" w:color="#D9D9D9"/>
              <w:end w:sz="1.599999999999909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"/>
              </w:rPr>
              <w:t xml:space="preserve">5s30s </w:t>
            </w:r>
          </w:p>
        </w:tc>
        <w:tc>
          <w:tcPr>
            <w:tcW w:type="dxa" w:w="736"/>
            <w:tcBorders>
              <w:start w:sz="1.599999999999909" w:val="single" w:color="#D9D9D9"/>
              <w:top w:sz="1.6000000000003638" w:val="single" w:color="#D9D9D9"/>
              <w:end w:sz="2.399999999999636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"/>
              </w:rPr>
              <w:t xml:space="preserve">10yr Real </w:t>
            </w:r>
          </w:p>
        </w:tc>
        <w:tc>
          <w:tcPr>
            <w:tcW w:type="dxa" w:w="704"/>
            <w:tcBorders>
              <w:start w:sz="2.399999999999636" w:val="single" w:color="#D9D9D9"/>
              <w:top w:sz="1.6000000000003638" w:val="single" w:color="#D9D9D9"/>
              <w:end w:sz="1.599999999999909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"/>
              </w:rPr>
              <w:t xml:space="preserve">1y10y vol </w:t>
            </w:r>
          </w:p>
        </w:tc>
        <w:tc>
          <w:tcPr>
            <w:tcW w:type="dxa" w:w="546"/>
            <w:tcBorders>
              <w:start w:sz="1.599999999999909" w:val="single" w:color="#D9D9D9"/>
              <w:top w:sz="1.6000000000003638" w:val="single" w:color="#D9D9D9"/>
              <w:end w:sz="1.599999999999909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"/>
              </w:rPr>
              <w:t xml:space="preserve">Euro </w:t>
            </w:r>
          </w:p>
        </w:tc>
        <w:tc>
          <w:tcPr>
            <w:tcW w:type="dxa" w:w="622"/>
            <w:tcBorders>
              <w:start w:sz="1.599999999999909" w:val="single" w:color="#D9D9D9"/>
              <w:top w:sz="1.6000000000003638" w:val="single" w:color="#D9D9D9"/>
              <w:end w:sz="2.399999999999636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"/>
              </w:rPr>
              <w:t xml:space="preserve">Yen </w:t>
            </w:r>
          </w:p>
        </w:tc>
        <w:tc>
          <w:tcPr>
            <w:tcW w:type="dxa" w:w="540"/>
            <w:tcBorders>
              <w:start w:sz="2.399999999999636" w:val="single" w:color="#D9D9D9"/>
              <w:top w:sz="1.6000000000003638" w:val="single" w:color="#D9D9D9"/>
              <w:end w:sz="2.399999999999636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"/>
              </w:rPr>
              <w:t xml:space="preserve">SPX </w:t>
            </w:r>
          </w:p>
        </w:tc>
        <w:tc>
          <w:tcPr>
            <w:tcW w:type="dxa" w:w="710"/>
            <w:tcBorders>
              <w:start w:sz="2.399999999999636" w:val="single" w:color="#D9D9D9"/>
              <w:top w:sz="1.6000000000003638" w:val="single" w:color="#D9D9D9"/>
              <w:end w:sz="1.6000000000003638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2"/>
              </w:rPr>
              <w:t xml:space="preserve">IG Spreads </w:t>
            </w:r>
          </w:p>
        </w:tc>
      </w:tr>
      <w:tr>
        <w:trPr>
          <w:trHeight w:hRule="exact" w:val="170"/>
        </w:trPr>
        <w:tc>
          <w:tcPr>
            <w:tcW w:type="dxa" w:w="928"/>
            <w:tcBorders>
              <w:start w:sz="1.6000000000000227" w:val="single" w:color="#D9D9D9"/>
              <w:top w:sz="1.5999999999994543" w:val="single" w:color="#D9D9D9"/>
              <w:end w:sz="5.600000000000023" w:val="single" w:color="#BEBEBE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7/28/2021 </w:t>
            </w:r>
          </w:p>
        </w:tc>
        <w:tc>
          <w:tcPr>
            <w:tcW w:type="dxa" w:w="540"/>
            <w:tcBorders>
              <w:start w:sz="5.600000000000023" w:val="single" w:color="#BEBEBE"/>
              <w:top w:sz="1.5999999999994543" w:val="single" w:color="#D9D9D9"/>
              <w:end w:sz="2.3999999999999773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(0.3) </w:t>
            </w:r>
          </w:p>
        </w:tc>
        <w:tc>
          <w:tcPr>
            <w:tcW w:type="dxa" w:w="622"/>
            <w:tcBorders>
              <w:start w:sz="2.3999999999999773" w:val="single" w:color="#D9D9D9"/>
              <w:top w:sz="1.5999999999994543" w:val="single" w:color="#D9D9D9"/>
              <w:end w:sz="2.3999999999998636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0.1 </w:t>
            </w:r>
          </w:p>
        </w:tc>
        <w:tc>
          <w:tcPr>
            <w:tcW w:type="dxa" w:w="620"/>
            <w:tcBorders>
              <w:start w:sz="2.3999999999998636" w:val="single" w:color="#D9D9D9"/>
              <w:top w:sz="1.5999999999994543" w:val="single" w:color="#D9D9D9"/>
              <w:end w:sz="1.599999999999909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0.1 </w:t>
            </w:r>
          </w:p>
        </w:tc>
        <w:tc>
          <w:tcPr>
            <w:tcW w:type="dxa" w:w="620"/>
            <w:tcBorders>
              <w:start w:sz="1.599999999999909" w:val="single" w:color="#D9D9D9"/>
              <w:top w:sz="1.5999999999994543" w:val="single" w:color="#D9D9D9"/>
              <w:end w:sz="5.600000000000136" w:val="single" w:color="#BEBEBE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0.1 </w:t>
            </w:r>
          </w:p>
        </w:tc>
        <w:tc>
          <w:tcPr>
            <w:tcW w:type="dxa" w:w="626"/>
            <w:tcBorders>
              <w:start w:sz="5.600000000000136" w:val="single" w:color="#BEBEBE"/>
              <w:top w:sz="1.5999999999994543" w:val="single" w:color="#D9D9D9"/>
              <w:end w:sz="1.6000000000001364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(0.2) </w:t>
            </w:r>
          </w:p>
        </w:tc>
        <w:tc>
          <w:tcPr>
            <w:tcW w:type="dxa" w:w="622"/>
            <w:tcBorders>
              <w:start w:sz="1.6000000000001364" w:val="single" w:color="#D9D9D9"/>
              <w:top w:sz="1.5999999999994543" w:val="single" w:color="#D9D9D9"/>
              <w:end w:sz="2.399999999999636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1.2 </w:t>
            </w:r>
          </w:p>
        </w:tc>
        <w:tc>
          <w:tcPr>
            <w:tcW w:type="dxa" w:w="624"/>
            <w:tcBorders>
              <w:start w:sz="2.399999999999636" w:val="single" w:color="#D9D9D9"/>
              <w:top w:sz="1.5999999999994543" w:val="single" w:color="#D9D9D9"/>
              <w:end w:sz="2.400000000000091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(0.8) </w:t>
            </w:r>
          </w:p>
        </w:tc>
        <w:tc>
          <w:tcPr>
            <w:tcW w:type="dxa" w:w="622"/>
            <w:tcBorders>
              <w:start w:sz="2.400000000000091" w:val="single" w:color="#D9D9D9"/>
              <w:top w:sz="1.5999999999994543" w:val="single" w:color="#D9D9D9"/>
              <w:end w:sz="5.599999999999909" w:val="single" w:color="#BEBEBE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(1.3) </w:t>
            </w:r>
          </w:p>
        </w:tc>
        <w:tc>
          <w:tcPr>
            <w:tcW w:type="dxa" w:w="568"/>
            <w:tcBorders>
              <w:start w:sz="5.599999999999909" w:val="single" w:color="#BEBEBE"/>
              <w:top w:sz="1.5999999999994543" w:val="single" w:color="#D9D9D9"/>
              <w:end w:sz="1.6000000000003638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(0.7) </w:t>
            </w:r>
          </w:p>
        </w:tc>
        <w:tc>
          <w:tcPr>
            <w:tcW w:type="dxa" w:w="570"/>
            <w:tcBorders>
              <w:start w:sz="1.6000000000003638" w:val="single" w:color="#D9D9D9"/>
              <w:top w:sz="1.5999999999994543" w:val="single" w:color="#D9D9D9"/>
              <w:end w:sz="5.599999999999909" w:val="single" w:color="#BEBEBE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(2.6) </w:t>
            </w:r>
          </w:p>
        </w:tc>
        <w:tc>
          <w:tcPr>
            <w:tcW w:type="dxa" w:w="736"/>
            <w:tcBorders>
              <w:start w:sz="5.599999999999909" w:val="single" w:color="#BEBEBE"/>
              <w:top w:sz="1.5999999999994543" w:val="single" w:color="#D9D9D9"/>
              <w:end w:sz="5.600000000000364" w:val="single" w:color="#BEBEBE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(4.7) </w:t>
            </w:r>
          </w:p>
        </w:tc>
        <w:tc>
          <w:tcPr>
            <w:tcW w:type="dxa" w:w="704"/>
            <w:tcBorders>
              <w:start w:sz="5.600000000000364" w:val="single" w:color="#BEBEBE"/>
              <w:top w:sz="1.5999999999994543" w:val="single" w:color="#D9D9D9"/>
              <w:end w:sz="5.599999999999909" w:val="single" w:color="#BEBEBE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(1.3) </w:t>
            </w:r>
          </w:p>
        </w:tc>
        <w:tc>
          <w:tcPr>
            <w:tcW w:type="dxa" w:w="546"/>
            <w:tcBorders>
              <w:start w:sz="5.599999999999909" w:val="single" w:color="#BEBEBE"/>
              <w:top w:sz="1.5999999999994543" w:val="single" w:color="#D9D9D9"/>
              <w:end w:sz="1.599999999999909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0.2% </w:t>
            </w:r>
          </w:p>
        </w:tc>
        <w:tc>
          <w:tcPr>
            <w:tcW w:type="dxa" w:w="622"/>
            <w:tcBorders>
              <w:start w:sz="1.599999999999909" w:val="single" w:color="#D9D9D9"/>
              <w:top w:sz="1.5999999999994543" w:val="single" w:color="#D9D9D9"/>
              <w:end w:sz="5.600000000000364" w:val="single" w:color="#BEBEBE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0.1% </w:t>
            </w:r>
          </w:p>
        </w:tc>
        <w:tc>
          <w:tcPr>
            <w:tcW w:type="dxa" w:w="540"/>
            <w:tcBorders>
              <w:start w:sz="5.600000000000364" w:val="single" w:color="#BEBEBE"/>
              <w:top w:sz="1.5999999999994543" w:val="single" w:color="#D9D9D9"/>
              <w:end w:sz="2.399999999999636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0.0% </w:t>
            </w:r>
          </w:p>
        </w:tc>
        <w:tc>
          <w:tcPr>
            <w:tcW w:type="dxa" w:w="710"/>
            <w:tcBorders>
              <w:start w:sz="2.399999999999636" w:val="single" w:color="#D9D9D9"/>
              <w:top w:sz="1.5999999999994543" w:val="single" w:color="#D9D9D9"/>
              <w:end w:sz="1.6000000000003638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(1.1) </w:t>
            </w:r>
          </w:p>
        </w:tc>
      </w:tr>
      <w:tr>
        <w:trPr>
          <w:trHeight w:hRule="exact" w:val="170"/>
        </w:trPr>
        <w:tc>
          <w:tcPr>
            <w:tcW w:type="dxa" w:w="928"/>
            <w:tcBorders>
              <w:start w:sz="1.6000000000000227" w:val="single" w:color="#D9D9D9"/>
              <w:top w:sz="1.5999999999994543" w:val="single" w:color="#D9D9D9"/>
              <w:end w:sz="5.600000000000023" w:val="single" w:color="#BEBEBE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6/16/2021 </w:t>
            </w:r>
          </w:p>
        </w:tc>
        <w:tc>
          <w:tcPr>
            <w:tcW w:type="dxa" w:w="540"/>
            <w:tcBorders>
              <w:start w:sz="5.600000000000023" w:val="single" w:color="#BEBEBE"/>
              <w:top w:sz="1.5999999999994543" w:val="single" w:color="#D9D9D9"/>
              <w:end w:sz="2.3999999999999773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1.3 </w:t>
            </w:r>
          </w:p>
        </w:tc>
        <w:tc>
          <w:tcPr>
            <w:tcW w:type="dxa" w:w="622"/>
            <w:tcBorders>
              <w:start w:sz="2.3999999999999773" w:val="single" w:color="#D9D9D9"/>
              <w:top w:sz="1.5999999999994543" w:val="single" w:color="#D9D9D9"/>
              <w:end w:sz="2.3999999999998636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1.2 </w:t>
            </w:r>
          </w:p>
        </w:tc>
        <w:tc>
          <w:tcPr>
            <w:tcW w:type="dxa" w:w="620"/>
            <w:tcBorders>
              <w:start w:sz="2.3999999999998636" w:val="single" w:color="#D9D9D9"/>
              <w:top w:sz="1.5999999999994543" w:val="single" w:color="#D9D9D9"/>
              <w:end w:sz="1.599999999999909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0.7 </w:t>
            </w:r>
          </w:p>
        </w:tc>
        <w:tc>
          <w:tcPr>
            <w:tcW w:type="dxa" w:w="620"/>
            <w:tcBorders>
              <w:start w:sz="1.599999999999909" w:val="single" w:color="#D9D9D9"/>
              <w:top w:sz="1.5999999999994543" w:val="single" w:color="#D9D9D9"/>
              <w:end w:sz="5.600000000000136" w:val="single" w:color="#BEBEBE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1.4 </w:t>
            </w:r>
          </w:p>
        </w:tc>
        <w:tc>
          <w:tcPr>
            <w:tcW w:type="dxa" w:w="626"/>
            <w:tcBorders>
              <w:start w:sz="5.600000000000136" w:val="single" w:color="#BEBEBE"/>
              <w:top w:sz="1.5999999999994543" w:val="single" w:color="#D9D9D9"/>
              <w:end w:sz="1.6000000000001364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4.2 </w:t>
            </w:r>
          </w:p>
        </w:tc>
        <w:tc>
          <w:tcPr>
            <w:tcW w:type="dxa" w:w="622"/>
            <w:tcBorders>
              <w:start w:sz="1.6000000000001364" w:val="single" w:color="#D9D9D9"/>
              <w:top w:sz="1.5999999999994543" w:val="single" w:color="#D9D9D9"/>
              <w:end w:sz="2.399999999999636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11.5 </w:t>
            </w:r>
          </w:p>
        </w:tc>
        <w:tc>
          <w:tcPr>
            <w:tcW w:type="dxa" w:w="624"/>
            <w:tcBorders>
              <w:start w:sz="2.399999999999636" w:val="single" w:color="#D9D9D9"/>
              <w:top w:sz="1.5999999999994543" w:val="single" w:color="#D9D9D9"/>
              <w:end w:sz="2.400000000000091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8.3 </w:t>
            </w:r>
          </w:p>
        </w:tc>
        <w:tc>
          <w:tcPr>
            <w:tcW w:type="dxa" w:w="622"/>
            <w:tcBorders>
              <w:start w:sz="2.400000000000091" w:val="single" w:color="#D9D9D9"/>
              <w:top w:sz="1.5999999999994543" w:val="single" w:color="#D9D9D9"/>
              <w:end w:sz="5.599999999999909" w:val="single" w:color="#BEBEBE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2.1 </w:t>
            </w:r>
          </w:p>
        </w:tc>
        <w:tc>
          <w:tcPr>
            <w:tcW w:type="dxa" w:w="568"/>
            <w:tcBorders>
              <w:start w:sz="5.599999999999909" w:val="single" w:color="#BEBEBE"/>
              <w:top w:sz="1.5999999999994543" w:val="single" w:color="#D9D9D9"/>
              <w:end w:sz="1.6000000000003638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4.1 </w:t>
            </w:r>
          </w:p>
        </w:tc>
        <w:tc>
          <w:tcPr>
            <w:tcW w:type="dxa" w:w="570"/>
            <w:tcBorders>
              <w:start w:sz="1.6000000000003638" w:val="single" w:color="#D9D9D9"/>
              <w:top w:sz="1.5999999999994543" w:val="single" w:color="#D9D9D9"/>
              <w:end w:sz="5.599999999999909" w:val="single" w:color="#BEBEBE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(9.4) </w:t>
            </w:r>
          </w:p>
        </w:tc>
        <w:tc>
          <w:tcPr>
            <w:tcW w:type="dxa" w:w="736"/>
            <w:tcBorders>
              <w:start w:sz="5.599999999999909" w:val="single" w:color="#BEBEBE"/>
              <w:top w:sz="1.5999999999994543" w:val="single" w:color="#D9D9D9"/>
              <w:end w:sz="5.600000000000364" w:val="single" w:color="#BEBEBE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15.1 </w:t>
            </w:r>
          </w:p>
        </w:tc>
        <w:tc>
          <w:tcPr>
            <w:tcW w:type="dxa" w:w="704"/>
            <w:tcBorders>
              <w:start w:sz="5.600000000000364" w:val="single" w:color="#BEBEBE"/>
              <w:top w:sz="1.5999999999994543" w:val="single" w:color="#D9D9D9"/>
              <w:end w:sz="5.599999999999909" w:val="single" w:color="#BEBEBE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0.4 </w:t>
            </w:r>
          </w:p>
        </w:tc>
        <w:tc>
          <w:tcPr>
            <w:tcW w:type="dxa" w:w="546"/>
            <w:tcBorders>
              <w:start w:sz="5.599999999999909" w:val="single" w:color="#BEBEBE"/>
              <w:top w:sz="1.5999999999994543" w:val="single" w:color="#D9D9D9"/>
              <w:end w:sz="1.599999999999909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-1.1% </w:t>
            </w:r>
          </w:p>
        </w:tc>
        <w:tc>
          <w:tcPr>
            <w:tcW w:type="dxa" w:w="622"/>
            <w:tcBorders>
              <w:start w:sz="1.599999999999909" w:val="single" w:color="#D9D9D9"/>
              <w:top w:sz="1.5999999999994543" w:val="single" w:color="#D9D9D9"/>
              <w:end w:sz="5.600000000000364" w:val="single" w:color="#BEBEBE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0.6% </w:t>
            </w:r>
          </w:p>
        </w:tc>
        <w:tc>
          <w:tcPr>
            <w:tcW w:type="dxa" w:w="540"/>
            <w:tcBorders>
              <w:start w:sz="5.600000000000364" w:val="single" w:color="#BEBEBE"/>
              <w:top w:sz="1.5999999999994543" w:val="single" w:color="#D9D9D9"/>
              <w:end w:sz="2.399999999999636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-0.5% </w:t>
            </w:r>
          </w:p>
        </w:tc>
        <w:tc>
          <w:tcPr>
            <w:tcW w:type="dxa" w:w="710"/>
            <w:tcBorders>
              <w:start w:sz="2.399999999999636" w:val="single" w:color="#D9D9D9"/>
              <w:top w:sz="1.5999999999994543" w:val="single" w:color="#D9D9D9"/>
              <w:end w:sz="1.6000000000003638" w:val="single" w:color="#D9D9D9"/>
              <w:bottom w:sz="1.5999999999994543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(1.6) </w:t>
            </w:r>
          </w:p>
        </w:tc>
      </w:tr>
      <w:tr>
        <w:trPr>
          <w:trHeight w:hRule="exact" w:val="178"/>
        </w:trPr>
        <w:tc>
          <w:tcPr>
            <w:tcW w:type="dxa" w:w="928"/>
            <w:tcBorders>
              <w:start w:sz="1.6000000000000227" w:val="single" w:color="#D9D9D9"/>
              <w:top w:sz="1.5999999999994543" w:val="single" w:color="#D9D9D9"/>
              <w:end w:sz="5.600000000000023" w:val="single" w:color="#BEBEBE"/>
              <w:bottom w:sz="6.400000000000546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4/28/2021 </w:t>
            </w:r>
          </w:p>
        </w:tc>
        <w:tc>
          <w:tcPr>
            <w:tcW w:type="dxa" w:w="540"/>
            <w:tcBorders>
              <w:start w:sz="5.600000000000023" w:val="single" w:color="#BEBEBE"/>
              <w:top w:sz="1.5999999999994543" w:val="single" w:color="#D9D9D9"/>
              <w:end w:sz="2.3999999999999773" w:val="single" w:color="#D9D9D9"/>
              <w:bottom w:sz="6.400000000000546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2.8 </w:t>
            </w:r>
          </w:p>
        </w:tc>
        <w:tc>
          <w:tcPr>
            <w:tcW w:type="dxa" w:w="622"/>
            <w:tcBorders>
              <w:start w:sz="2.3999999999999773" w:val="single" w:color="#D9D9D9"/>
              <w:top w:sz="1.5999999999994543" w:val="single" w:color="#D9D9D9"/>
              <w:end w:sz="2.3999999999998636" w:val="single" w:color="#D9D9D9"/>
              <w:bottom w:sz="6.400000000000546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0.6 </w:t>
            </w:r>
          </w:p>
        </w:tc>
        <w:tc>
          <w:tcPr>
            <w:tcW w:type="dxa" w:w="620"/>
            <w:tcBorders>
              <w:start w:sz="2.3999999999998636" w:val="single" w:color="#D9D9D9"/>
              <w:top w:sz="1.5999999999994543" w:val="single" w:color="#D9D9D9"/>
              <w:end w:sz="1.599999999999909" w:val="single" w:color="#D9D9D9"/>
              <w:bottom w:sz="6.400000000000546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(0.3) </w:t>
            </w:r>
          </w:p>
        </w:tc>
        <w:tc>
          <w:tcPr>
            <w:tcW w:type="dxa" w:w="620"/>
            <w:tcBorders>
              <w:start w:sz="1.599999999999909" w:val="single" w:color="#D9D9D9"/>
              <w:top w:sz="1.5999999999994543" w:val="single" w:color="#D9D9D9"/>
              <w:end w:sz="5.600000000000136" w:val="single" w:color="#BEBEBE"/>
              <w:bottom w:sz="6.400000000000546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(0.3) </w:t>
            </w:r>
          </w:p>
        </w:tc>
        <w:tc>
          <w:tcPr>
            <w:tcW w:type="dxa" w:w="626"/>
            <w:tcBorders>
              <w:start w:sz="5.600000000000136" w:val="single" w:color="#BEBEBE"/>
              <w:top w:sz="1.5999999999994543" w:val="single" w:color="#D9D9D9"/>
              <w:end w:sz="1.6000000000001364" w:val="single" w:color="#D9D9D9"/>
              <w:bottom w:sz="6.400000000000546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(1.6) </w:t>
            </w:r>
          </w:p>
        </w:tc>
        <w:tc>
          <w:tcPr>
            <w:tcW w:type="dxa" w:w="622"/>
            <w:tcBorders>
              <w:start w:sz="1.6000000000001364" w:val="single" w:color="#D9D9D9"/>
              <w:top w:sz="1.5999999999994543" w:val="single" w:color="#D9D9D9"/>
              <w:end w:sz="2.399999999999636" w:val="single" w:color="#D9D9D9"/>
              <w:bottom w:sz="6.400000000000546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(3.1) </w:t>
            </w:r>
          </w:p>
        </w:tc>
        <w:tc>
          <w:tcPr>
            <w:tcW w:type="dxa" w:w="624"/>
            <w:tcBorders>
              <w:start w:sz="2.399999999999636" w:val="single" w:color="#D9D9D9"/>
              <w:top w:sz="1.5999999999994543" w:val="single" w:color="#D9D9D9"/>
              <w:end w:sz="2.400000000000091" w:val="single" w:color="#D9D9D9"/>
              <w:bottom w:sz="6.400000000000546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(1.2) </w:t>
            </w:r>
          </w:p>
        </w:tc>
        <w:tc>
          <w:tcPr>
            <w:tcW w:type="dxa" w:w="622"/>
            <w:tcBorders>
              <w:start w:sz="2.400000000000091" w:val="single" w:color="#D9D9D9"/>
              <w:top w:sz="1.5999999999994543" w:val="single" w:color="#D9D9D9"/>
              <w:end w:sz="5.599999999999909" w:val="single" w:color="#BEBEBE"/>
              <w:bottom w:sz="6.400000000000546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(0.5) </w:t>
            </w:r>
          </w:p>
        </w:tc>
        <w:tc>
          <w:tcPr>
            <w:tcW w:type="dxa" w:w="568"/>
            <w:tcBorders>
              <w:start w:sz="5.599999999999909" w:val="single" w:color="#BEBEBE"/>
              <w:top w:sz="1.5999999999994543" w:val="single" w:color="#D9D9D9"/>
              <w:end w:sz="1.6000000000003638" w:val="single" w:color="#D9D9D9"/>
              <w:bottom w:sz="6.400000000000546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0.3 </w:t>
            </w:r>
          </w:p>
        </w:tc>
        <w:tc>
          <w:tcPr>
            <w:tcW w:type="dxa" w:w="570"/>
            <w:tcBorders>
              <w:start w:sz="1.6000000000003638" w:val="single" w:color="#D9D9D9"/>
              <w:top w:sz="1.5999999999994543" w:val="single" w:color="#D9D9D9"/>
              <w:end w:sz="5.599999999999909" w:val="single" w:color="#BEBEBE"/>
              <w:bottom w:sz="6.400000000000546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2.5 </w:t>
            </w:r>
          </w:p>
        </w:tc>
        <w:tc>
          <w:tcPr>
            <w:tcW w:type="dxa" w:w="736"/>
            <w:tcBorders>
              <w:start w:sz="5.599999999999909" w:val="single" w:color="#BEBEBE"/>
              <w:top w:sz="1.5999999999994543" w:val="single" w:color="#D9D9D9"/>
              <w:end w:sz="5.600000000000364" w:val="single" w:color="#BEBEBE"/>
              <w:bottom w:sz="6.400000000000546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(3.0) </w:t>
            </w:r>
          </w:p>
        </w:tc>
        <w:tc>
          <w:tcPr>
            <w:tcW w:type="dxa" w:w="704"/>
            <w:tcBorders>
              <w:start w:sz="5.600000000000364" w:val="single" w:color="#BEBEBE"/>
              <w:top w:sz="1.5999999999994543" w:val="single" w:color="#D9D9D9"/>
              <w:end w:sz="5.599999999999909" w:val="single" w:color="#BEBEBE"/>
              <w:bottom w:sz="6.400000000000546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(0.1) </w:t>
            </w:r>
          </w:p>
        </w:tc>
        <w:tc>
          <w:tcPr>
            <w:tcW w:type="dxa" w:w="546"/>
            <w:tcBorders>
              <w:start w:sz="5.599999999999909" w:val="single" w:color="#BEBEBE"/>
              <w:top w:sz="1.5999999999994543" w:val="single" w:color="#D9D9D9"/>
              <w:end w:sz="1.599999999999909" w:val="single" w:color="#D9D9D9"/>
              <w:bottom w:sz="6.400000000000546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0.3% </w:t>
            </w:r>
          </w:p>
        </w:tc>
        <w:tc>
          <w:tcPr>
            <w:tcW w:type="dxa" w:w="622"/>
            <w:tcBorders>
              <w:start w:sz="1.599999999999909" w:val="single" w:color="#D9D9D9"/>
              <w:top w:sz="1.5999999999994543" w:val="single" w:color="#D9D9D9"/>
              <w:end w:sz="5.600000000000364" w:val="single" w:color="#BEBEBE"/>
              <w:bottom w:sz="6.400000000000546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-0.1% </w:t>
            </w:r>
          </w:p>
        </w:tc>
        <w:tc>
          <w:tcPr>
            <w:tcW w:type="dxa" w:w="540"/>
            <w:tcBorders>
              <w:start w:sz="5.600000000000364" w:val="single" w:color="#BEBEBE"/>
              <w:top w:sz="1.5999999999994543" w:val="single" w:color="#D9D9D9"/>
              <w:end w:sz="2.399999999999636" w:val="single" w:color="#D9D9D9"/>
              <w:bottom w:sz="6.400000000000546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-0.1% </w:t>
            </w:r>
          </w:p>
        </w:tc>
        <w:tc>
          <w:tcPr>
            <w:tcW w:type="dxa" w:w="710"/>
            <w:tcBorders>
              <w:start w:sz="2.399999999999636" w:val="single" w:color="#D9D9D9"/>
              <w:top w:sz="1.5999999999994543" w:val="single" w:color="#D9D9D9"/>
              <w:end w:sz="1.6000000000003638" w:val="single" w:color="#D9D9D9"/>
              <w:bottom w:sz="6.400000000000546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0.0 </w:t>
            </w:r>
          </w:p>
        </w:tc>
      </w:tr>
      <w:tr>
        <w:trPr>
          <w:trHeight w:hRule="exact" w:val="176"/>
        </w:trPr>
        <w:tc>
          <w:tcPr>
            <w:tcW w:type="dxa" w:w="928"/>
            <w:tcBorders>
              <w:start w:sz="1.6000000000000227" w:val="single" w:color="#D9D9D9"/>
              <w:top w:sz="6.400000000000546" w:val="single" w:color="#BEBEBE"/>
              <w:end w:sz="5.600000000000023" w:val="single" w:color="#BEBEBE"/>
              <w:bottom w:sz="2.4000000000005457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Avg Chg day </w:t>
            </w:r>
          </w:p>
        </w:tc>
        <w:tc>
          <w:tcPr>
            <w:tcW w:type="dxa" w:w="540"/>
            <w:tcBorders>
              <w:start w:sz="5.600000000000023" w:val="single" w:color="#BEBEBE"/>
              <w:top w:sz="6.400000000000546" w:val="single" w:color="#BEBEBE"/>
              <w:end w:sz="2.3999999999999773" w:val="single" w:color="#D9D9D9"/>
              <w:bottom w:sz="2.4000000000005457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(2.1) </w:t>
            </w:r>
          </w:p>
        </w:tc>
        <w:tc>
          <w:tcPr>
            <w:tcW w:type="dxa" w:w="622"/>
            <w:tcBorders>
              <w:start w:sz="2.3999999999999773" w:val="single" w:color="#D9D9D9"/>
              <w:top w:sz="6.400000000000546" w:val="single" w:color="#BEBEBE"/>
              <w:end w:sz="2.3999999999998636" w:val="single" w:color="#D9D9D9"/>
              <w:bottom w:sz="2.4000000000005457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(1.7) </w:t>
            </w:r>
          </w:p>
        </w:tc>
        <w:tc>
          <w:tcPr>
            <w:tcW w:type="dxa" w:w="620"/>
            <w:tcBorders>
              <w:start w:sz="2.3999999999998636" w:val="single" w:color="#D9D9D9"/>
              <w:top w:sz="6.400000000000546" w:val="single" w:color="#BEBEBE"/>
              <w:end w:sz="1.599999999999909" w:val="single" w:color="#D9D9D9"/>
              <w:bottom w:sz="2.4000000000005457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(1.6) </w:t>
            </w:r>
          </w:p>
        </w:tc>
        <w:tc>
          <w:tcPr>
            <w:tcW w:type="dxa" w:w="620"/>
            <w:tcBorders>
              <w:start w:sz="1.599999999999909" w:val="single" w:color="#D9D9D9"/>
              <w:top w:sz="6.400000000000546" w:val="single" w:color="#BEBEBE"/>
              <w:end w:sz="5.600000000000136" w:val="single" w:color="#BEBEBE"/>
              <w:bottom w:sz="2.4000000000005457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(0.9) </w:t>
            </w:r>
          </w:p>
        </w:tc>
        <w:tc>
          <w:tcPr>
            <w:tcW w:type="dxa" w:w="626"/>
            <w:tcBorders>
              <w:start w:sz="5.600000000000136" w:val="single" w:color="#BEBEBE"/>
              <w:top w:sz="6.400000000000546" w:val="single" w:color="#BEBEBE"/>
              <w:end w:sz="1.6000000000001364" w:val="single" w:color="#D9D9D9"/>
              <w:bottom w:sz="2.4000000000005457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(1.8) </w:t>
            </w:r>
          </w:p>
        </w:tc>
        <w:tc>
          <w:tcPr>
            <w:tcW w:type="dxa" w:w="622"/>
            <w:tcBorders>
              <w:start w:sz="1.6000000000001364" w:val="single" w:color="#D9D9D9"/>
              <w:top w:sz="6.400000000000546" w:val="single" w:color="#BEBEBE"/>
              <w:end w:sz="2.399999999999636" w:val="single" w:color="#D9D9D9"/>
              <w:bottom w:sz="2.4000000000005457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(2.5) </w:t>
            </w:r>
          </w:p>
        </w:tc>
        <w:tc>
          <w:tcPr>
            <w:tcW w:type="dxa" w:w="624"/>
            <w:tcBorders>
              <w:start w:sz="2.399999999999636" w:val="single" w:color="#D9D9D9"/>
              <w:top w:sz="6.400000000000546" w:val="single" w:color="#BEBEBE"/>
              <w:end w:sz="2.400000000000091" w:val="single" w:color="#D9D9D9"/>
              <w:bottom w:sz="2.4000000000005457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(2.7) </w:t>
            </w:r>
          </w:p>
        </w:tc>
        <w:tc>
          <w:tcPr>
            <w:tcW w:type="dxa" w:w="622"/>
            <w:tcBorders>
              <w:start w:sz="2.400000000000091" w:val="single" w:color="#D9D9D9"/>
              <w:top w:sz="6.400000000000546" w:val="single" w:color="#BEBEBE"/>
              <w:end w:sz="5.599999999999909" w:val="single" w:color="#BEBEBE"/>
              <w:bottom w:sz="2.4000000000005457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(2.8) </w:t>
            </w:r>
          </w:p>
        </w:tc>
        <w:tc>
          <w:tcPr>
            <w:tcW w:type="dxa" w:w="568"/>
            <w:tcBorders>
              <w:start w:sz="5.599999999999909" w:val="single" w:color="#BEBEBE"/>
              <w:top w:sz="6.400000000000546" w:val="single" w:color="#BEBEBE"/>
              <w:end w:sz="1.6000000000003638" w:val="single" w:color="#D9D9D9"/>
              <w:bottom w:sz="2.4000000000005457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(0.9) </w:t>
            </w:r>
          </w:p>
        </w:tc>
        <w:tc>
          <w:tcPr>
            <w:tcW w:type="dxa" w:w="570"/>
            <w:tcBorders>
              <w:start w:sz="1.6000000000003638" w:val="single" w:color="#D9D9D9"/>
              <w:top w:sz="6.400000000000546" w:val="single" w:color="#BEBEBE"/>
              <w:end w:sz="5.599999999999909" w:val="single" w:color="#BEBEBE"/>
              <w:bottom w:sz="2.4000000000005457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(0.3) </w:t>
            </w:r>
          </w:p>
        </w:tc>
        <w:tc>
          <w:tcPr>
            <w:tcW w:type="dxa" w:w="736"/>
            <w:tcBorders>
              <w:start w:sz="5.599999999999909" w:val="single" w:color="#BEBEBE"/>
              <w:top w:sz="6.400000000000546" w:val="single" w:color="#BEBEBE"/>
              <w:end w:sz="5.600000000000364" w:val="single" w:color="#BEBEBE"/>
              <w:bottom w:sz="2.4000000000005457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(1.8) </w:t>
            </w:r>
          </w:p>
        </w:tc>
        <w:tc>
          <w:tcPr>
            <w:tcW w:type="dxa" w:w="704"/>
            <w:tcBorders>
              <w:start w:sz="5.600000000000364" w:val="single" w:color="#BEBEBE"/>
              <w:top w:sz="6.400000000000546" w:val="single" w:color="#BEBEBE"/>
              <w:end w:sz="5.599999999999909" w:val="single" w:color="#BEBEBE"/>
              <w:bottom w:sz="2.4000000000005457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(0.7) </w:t>
            </w:r>
          </w:p>
        </w:tc>
        <w:tc>
          <w:tcPr>
            <w:tcW w:type="dxa" w:w="546"/>
            <w:tcBorders>
              <w:start w:sz="5.599999999999909" w:val="single" w:color="#BEBEBE"/>
              <w:top w:sz="6.400000000000546" w:val="single" w:color="#BEBEBE"/>
              <w:end w:sz="1.599999999999909" w:val="single" w:color="#D9D9D9"/>
              <w:bottom w:sz="2.4000000000005457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0.1% </w:t>
            </w:r>
          </w:p>
        </w:tc>
        <w:tc>
          <w:tcPr>
            <w:tcW w:type="dxa" w:w="622"/>
            <w:tcBorders>
              <w:start w:sz="1.599999999999909" w:val="single" w:color="#D9D9D9"/>
              <w:top w:sz="6.400000000000546" w:val="single" w:color="#BEBEBE"/>
              <w:end w:sz="5.600000000000364" w:val="single" w:color="#BEBEBE"/>
              <w:bottom w:sz="2.4000000000005457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-0.2% </w:t>
            </w:r>
          </w:p>
        </w:tc>
        <w:tc>
          <w:tcPr>
            <w:tcW w:type="dxa" w:w="540"/>
            <w:tcBorders>
              <w:start w:sz="5.600000000000364" w:val="single" w:color="#BEBEBE"/>
              <w:top w:sz="6.400000000000546" w:val="single" w:color="#BEBEBE"/>
              <w:end w:sz="2.399999999999636" w:val="single" w:color="#D9D9D9"/>
              <w:bottom w:sz="2.4000000000005457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-0.4% </w:t>
            </w:r>
          </w:p>
        </w:tc>
        <w:tc>
          <w:tcPr>
            <w:tcW w:type="dxa" w:w="710"/>
            <w:tcBorders>
              <w:start w:sz="2.399999999999636" w:val="single" w:color="#D9D9D9"/>
              <w:top w:sz="6.400000000000546" w:val="single" w:color="#BEBEBE"/>
              <w:end w:sz="1.6000000000003638" w:val="single" w:color="#D9D9D9"/>
              <w:bottom w:sz="2.4000000000005457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0.5 </w:t>
            </w:r>
          </w:p>
        </w:tc>
      </w:tr>
      <w:tr>
        <w:trPr>
          <w:trHeight w:hRule="exact" w:val="170"/>
        </w:trPr>
        <w:tc>
          <w:tcPr>
            <w:tcW w:type="dxa" w:w="928"/>
            <w:tcBorders>
              <w:start w:sz="1.6000000000000227" w:val="single" w:color="#D9D9D9"/>
              <w:top w:sz="2.4000000000005457" w:val="single" w:color="#D9D9D9"/>
              <w:end w:sz="5.600000000000023" w:val="single" w:color="#BEBEBE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Avg 1-day post </w:t>
            </w:r>
          </w:p>
        </w:tc>
        <w:tc>
          <w:tcPr>
            <w:tcW w:type="dxa" w:w="540"/>
            <w:tcBorders>
              <w:start w:sz="5.600000000000023" w:val="single" w:color="#BEBEBE"/>
              <w:top w:sz="2.4000000000005457" w:val="single" w:color="#D9D9D9"/>
              <w:end w:sz="2.3999999999999773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(1.5) </w:t>
            </w:r>
          </w:p>
        </w:tc>
        <w:tc>
          <w:tcPr>
            <w:tcW w:type="dxa" w:w="622"/>
            <w:tcBorders>
              <w:start w:sz="2.3999999999999773" w:val="single" w:color="#D9D9D9"/>
              <w:top w:sz="2.4000000000005457" w:val="single" w:color="#D9D9D9"/>
              <w:end w:sz="2.3999999999998636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(0.8) </w:t>
            </w:r>
          </w:p>
        </w:tc>
        <w:tc>
          <w:tcPr>
            <w:tcW w:type="dxa" w:w="620"/>
            <w:tcBorders>
              <w:start w:sz="2.3999999999998636" w:val="single" w:color="#D9D9D9"/>
              <w:top w:sz="2.4000000000005457" w:val="single" w:color="#D9D9D9"/>
              <w:end w:sz="1.599999999999909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(0.8) </w:t>
            </w:r>
          </w:p>
        </w:tc>
        <w:tc>
          <w:tcPr>
            <w:tcW w:type="dxa" w:w="620"/>
            <w:tcBorders>
              <w:start w:sz="1.599999999999909" w:val="single" w:color="#D9D9D9"/>
              <w:top w:sz="2.4000000000005457" w:val="single" w:color="#D9D9D9"/>
              <w:end w:sz="5.600000000000136" w:val="single" w:color="#BEBEBE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(0.6) </w:t>
            </w:r>
          </w:p>
        </w:tc>
        <w:tc>
          <w:tcPr>
            <w:tcW w:type="dxa" w:w="626"/>
            <w:tcBorders>
              <w:start w:sz="5.600000000000136" w:val="single" w:color="#BEBEBE"/>
              <w:top w:sz="2.4000000000005457" w:val="single" w:color="#D9D9D9"/>
              <w:end w:sz="1.6000000000001364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0.1 </w:t>
            </w:r>
          </w:p>
        </w:tc>
        <w:tc>
          <w:tcPr>
            <w:tcW w:type="dxa" w:w="622"/>
            <w:tcBorders>
              <w:start w:sz="1.6000000000001364" w:val="single" w:color="#D9D9D9"/>
              <w:top w:sz="2.4000000000005457" w:val="single" w:color="#D9D9D9"/>
              <w:end w:sz="2.399999999999636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1.0 </w:t>
            </w:r>
          </w:p>
        </w:tc>
        <w:tc>
          <w:tcPr>
            <w:tcW w:type="dxa" w:w="624"/>
            <w:tcBorders>
              <w:start w:sz="2.399999999999636" w:val="single" w:color="#D9D9D9"/>
              <w:top w:sz="2.4000000000005457" w:val="single" w:color="#D9D9D9"/>
              <w:end w:sz="2.400000000000091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1.2 </w:t>
            </w:r>
          </w:p>
        </w:tc>
        <w:tc>
          <w:tcPr>
            <w:tcW w:type="dxa" w:w="622"/>
            <w:tcBorders>
              <w:start w:sz="2.400000000000091" w:val="single" w:color="#D9D9D9"/>
              <w:top w:sz="2.4000000000005457" w:val="single" w:color="#D9D9D9"/>
              <w:end w:sz="5.599999999999909" w:val="single" w:color="#BEBEBE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1.0 </w:t>
            </w:r>
          </w:p>
        </w:tc>
        <w:tc>
          <w:tcPr>
            <w:tcW w:type="dxa" w:w="568"/>
            <w:tcBorders>
              <w:start w:sz="5.599999999999909" w:val="single" w:color="#BEBEBE"/>
              <w:top w:sz="2.4000000000005457" w:val="single" w:color="#D9D9D9"/>
              <w:end w:sz="1.6000000000003638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1.0 </w:t>
            </w:r>
          </w:p>
        </w:tc>
        <w:tc>
          <w:tcPr>
            <w:tcW w:type="dxa" w:w="570"/>
            <w:tcBorders>
              <w:start w:sz="1.6000000000003638" w:val="single" w:color="#D9D9D9"/>
              <w:top w:sz="2.4000000000005457" w:val="single" w:color="#D9D9D9"/>
              <w:end w:sz="5.599999999999909" w:val="single" w:color="#BEBEBE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(0.0) </w:t>
            </w:r>
          </w:p>
        </w:tc>
        <w:tc>
          <w:tcPr>
            <w:tcW w:type="dxa" w:w="736"/>
            <w:tcBorders>
              <w:start w:sz="5.599999999999909" w:val="single" w:color="#BEBEBE"/>
              <w:top w:sz="2.4000000000005457" w:val="single" w:color="#D9D9D9"/>
              <w:end w:sz="5.600000000000364" w:val="single" w:color="#BEBEBE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1.6 </w:t>
            </w:r>
          </w:p>
        </w:tc>
        <w:tc>
          <w:tcPr>
            <w:tcW w:type="dxa" w:w="704"/>
            <w:tcBorders>
              <w:start w:sz="5.600000000000364" w:val="single" w:color="#BEBEBE"/>
              <w:top w:sz="2.4000000000005457" w:val="single" w:color="#D9D9D9"/>
              <w:end w:sz="5.599999999999909" w:val="single" w:color="#BEBEBE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0.0 </w:t>
            </w:r>
          </w:p>
        </w:tc>
        <w:tc>
          <w:tcPr>
            <w:tcW w:type="dxa" w:w="546"/>
            <w:tcBorders>
              <w:start w:sz="5.599999999999909" w:val="single" w:color="#BEBEBE"/>
              <w:top w:sz="2.4000000000005457" w:val="single" w:color="#D9D9D9"/>
              <w:end w:sz="1.599999999999909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-0.1% </w:t>
            </w:r>
          </w:p>
        </w:tc>
        <w:tc>
          <w:tcPr>
            <w:tcW w:type="dxa" w:w="622"/>
            <w:tcBorders>
              <w:start w:sz="1.599999999999909" w:val="single" w:color="#D9D9D9"/>
              <w:top w:sz="2.4000000000005457" w:val="single" w:color="#D9D9D9"/>
              <w:end w:sz="5.600000000000364" w:val="single" w:color="#BEBEBE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0.0% </w:t>
            </w:r>
          </w:p>
        </w:tc>
        <w:tc>
          <w:tcPr>
            <w:tcW w:type="dxa" w:w="540"/>
            <w:tcBorders>
              <w:start w:sz="5.600000000000364" w:val="single" w:color="#BEBEBE"/>
              <w:top w:sz="2.4000000000005457" w:val="single" w:color="#D9D9D9"/>
              <w:end w:sz="2.399999999999636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0.0% </w:t>
            </w:r>
          </w:p>
        </w:tc>
        <w:tc>
          <w:tcPr>
            <w:tcW w:type="dxa" w:w="710"/>
            <w:tcBorders>
              <w:start w:sz="2.399999999999636" w:val="single" w:color="#D9D9D9"/>
              <w:top w:sz="2.4000000000005457" w:val="single" w:color="#D9D9D9"/>
              <w:end w:sz="1.6000000000003638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0.5 </w:t>
            </w:r>
          </w:p>
        </w:tc>
      </w:tr>
      <w:tr>
        <w:trPr>
          <w:trHeight w:hRule="exact" w:val="170"/>
        </w:trPr>
        <w:tc>
          <w:tcPr>
            <w:tcW w:type="dxa" w:w="928"/>
            <w:tcBorders>
              <w:start w:sz="1.6000000000000227" w:val="single" w:color="#D9D9D9"/>
              <w:top w:sz="1.6000000000003638" w:val="single" w:color="#D9D9D9"/>
              <w:end w:sz="5.600000000000023" w:val="single" w:color="#BEBEBE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Avg 5-day post </w:t>
            </w:r>
          </w:p>
        </w:tc>
        <w:tc>
          <w:tcPr>
            <w:tcW w:type="dxa" w:w="540"/>
            <w:tcBorders>
              <w:start w:sz="5.600000000000023" w:val="single" w:color="#BEBEBE"/>
              <w:top w:sz="1.6000000000003638" w:val="single" w:color="#D9D9D9"/>
              <w:end w:sz="2.3999999999999773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(0.7) </w:t>
            </w:r>
          </w:p>
        </w:tc>
        <w:tc>
          <w:tcPr>
            <w:tcW w:type="dxa" w:w="622"/>
            <w:tcBorders>
              <w:start w:sz="2.3999999999999773" w:val="single" w:color="#D9D9D9"/>
              <w:top w:sz="1.6000000000003638" w:val="single" w:color="#D9D9D9"/>
              <w:end w:sz="2.3999999999998636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(1.1) </w:t>
            </w:r>
          </w:p>
        </w:tc>
        <w:tc>
          <w:tcPr>
            <w:tcW w:type="dxa" w:w="620"/>
            <w:tcBorders>
              <w:start w:sz="2.3999999999998636" w:val="single" w:color="#D9D9D9"/>
              <w:top w:sz="1.6000000000003638" w:val="single" w:color="#D9D9D9"/>
              <w:end w:sz="1.599999999999909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(1.4) </w:t>
            </w:r>
          </w:p>
        </w:tc>
        <w:tc>
          <w:tcPr>
            <w:tcW w:type="dxa" w:w="620"/>
            <w:tcBorders>
              <w:start w:sz="1.599999999999909" w:val="single" w:color="#D9D9D9"/>
              <w:top w:sz="1.6000000000003638" w:val="single" w:color="#D9D9D9"/>
              <w:end w:sz="5.600000000000136" w:val="single" w:color="#BEBEBE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(3.6) </w:t>
            </w:r>
          </w:p>
        </w:tc>
        <w:tc>
          <w:tcPr>
            <w:tcW w:type="dxa" w:w="626"/>
            <w:tcBorders>
              <w:start w:sz="5.600000000000136" w:val="single" w:color="#BEBEBE"/>
              <w:top w:sz="1.6000000000003638" w:val="single" w:color="#D9D9D9"/>
              <w:end w:sz="1.6000000000001364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(2.9) </w:t>
            </w:r>
          </w:p>
        </w:tc>
        <w:tc>
          <w:tcPr>
            <w:tcW w:type="dxa" w:w="622"/>
            <w:tcBorders>
              <w:start w:sz="1.6000000000001364" w:val="single" w:color="#D9D9D9"/>
              <w:top w:sz="1.6000000000003638" w:val="single" w:color="#D9D9D9"/>
              <w:end w:sz="2.399999999999636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(2.4) </w:t>
            </w:r>
          </w:p>
        </w:tc>
        <w:tc>
          <w:tcPr>
            <w:tcW w:type="dxa" w:w="624"/>
            <w:tcBorders>
              <w:start w:sz="2.399999999999636" w:val="single" w:color="#D9D9D9"/>
              <w:top w:sz="1.6000000000003638" w:val="single" w:color="#D9D9D9"/>
              <w:end w:sz="2.400000000000091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(1.8) </w:t>
            </w:r>
          </w:p>
        </w:tc>
        <w:tc>
          <w:tcPr>
            <w:tcW w:type="dxa" w:w="622"/>
            <w:tcBorders>
              <w:start w:sz="2.400000000000091" w:val="single" w:color="#D9D9D9"/>
              <w:top w:sz="1.6000000000003638" w:val="single" w:color="#D9D9D9"/>
              <w:end w:sz="5.599999999999909" w:val="single" w:color="#BEBEBE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(1.6) </w:t>
            </w:r>
          </w:p>
        </w:tc>
        <w:tc>
          <w:tcPr>
            <w:tcW w:type="dxa" w:w="568"/>
            <w:tcBorders>
              <w:start w:sz="5.599999999999909" w:val="single" w:color="#BEBEBE"/>
              <w:top w:sz="1.6000000000003638" w:val="single" w:color="#D9D9D9"/>
              <w:end w:sz="1.6000000000003638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1.1 </w:t>
            </w:r>
          </w:p>
        </w:tc>
        <w:tc>
          <w:tcPr>
            <w:tcW w:type="dxa" w:w="570"/>
            <w:tcBorders>
              <w:start w:sz="1.6000000000003638" w:val="single" w:color="#D9D9D9"/>
              <w:top w:sz="1.6000000000003638" w:val="single" w:color="#D9D9D9"/>
              <w:end w:sz="5.599999999999909" w:val="single" w:color="#BEBEBE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0.8 </w:t>
            </w:r>
          </w:p>
        </w:tc>
        <w:tc>
          <w:tcPr>
            <w:tcW w:type="dxa" w:w="736"/>
            <w:tcBorders>
              <w:start w:sz="5.599999999999909" w:val="single" w:color="#BEBEBE"/>
              <w:top w:sz="1.6000000000003638" w:val="single" w:color="#D9D9D9"/>
              <w:end w:sz="5.600000000000364" w:val="single" w:color="#BEBEBE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(0.6) </w:t>
            </w:r>
          </w:p>
        </w:tc>
        <w:tc>
          <w:tcPr>
            <w:tcW w:type="dxa" w:w="704"/>
            <w:tcBorders>
              <w:start w:sz="5.600000000000364" w:val="single" w:color="#BEBEBE"/>
              <w:top w:sz="1.6000000000003638" w:val="single" w:color="#D9D9D9"/>
              <w:end w:sz="5.599999999999909" w:val="single" w:color="#BEBEBE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0.6 </w:t>
            </w:r>
          </w:p>
        </w:tc>
        <w:tc>
          <w:tcPr>
            <w:tcW w:type="dxa" w:w="546"/>
            <w:tcBorders>
              <w:start w:sz="5.599999999999909" w:val="single" w:color="#BEBEBE"/>
              <w:top w:sz="1.6000000000003638" w:val="single" w:color="#D9D9D9"/>
              <w:end w:sz="1.599999999999909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-0.2% </w:t>
            </w:r>
          </w:p>
        </w:tc>
        <w:tc>
          <w:tcPr>
            <w:tcW w:type="dxa" w:w="622"/>
            <w:tcBorders>
              <w:start w:sz="1.599999999999909" w:val="single" w:color="#D9D9D9"/>
              <w:top w:sz="1.6000000000003638" w:val="single" w:color="#D9D9D9"/>
              <w:end w:sz="5.600000000000364" w:val="single" w:color="#BEBEBE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-0.1% </w:t>
            </w:r>
          </w:p>
        </w:tc>
        <w:tc>
          <w:tcPr>
            <w:tcW w:type="dxa" w:w="540"/>
            <w:tcBorders>
              <w:start w:sz="5.600000000000364" w:val="single" w:color="#BEBEBE"/>
              <w:top w:sz="1.6000000000003638" w:val="single" w:color="#D9D9D9"/>
              <w:end w:sz="2.399999999999636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-0.6% </w:t>
            </w:r>
          </w:p>
        </w:tc>
        <w:tc>
          <w:tcPr>
            <w:tcW w:type="dxa" w:w="710"/>
            <w:tcBorders>
              <w:start w:sz="2.399999999999636" w:val="single" w:color="#D9D9D9"/>
              <w:top w:sz="1.6000000000003638" w:val="single" w:color="#D9D9D9"/>
              <w:end w:sz="1.6000000000003638" w:val="single" w:color="#D9D9D9"/>
              <w:bottom w:sz="1.6000000000003638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6D6D6D"/>
                <w:sz w:val="12"/>
              </w:rPr>
              <w:t xml:space="preserve">3.7 </w:t>
            </w:r>
          </w:p>
        </w:tc>
      </w:tr>
    </w:tbl>
    <w:p>
      <w:pPr>
        <w:autoSpaceDN w:val="0"/>
        <w:autoSpaceDE w:val="0"/>
        <w:widowControl/>
        <w:spacing w:line="233" w:lineRule="auto" w:before="92" w:after="192"/>
        <w:ind w:left="150" w:right="0" w:firstLine="0"/>
        <w:jc w:val="left"/>
      </w:pPr>
      <w:r>
        <w:rPr>
          <w:rFonts w:ascii="Arial" w:hAnsi="Arial" w:eastAsia="Arial"/>
          <w:b/>
          <w:i w:val="0"/>
          <w:color w:val="6D6D6D"/>
          <w:sz w:val="8"/>
        </w:rPr>
        <w:t xml:space="preserve">Source: Bloomberg and MUFG U.S. Macro Strategy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304800</wp:posOffset>
            </wp:positionV>
            <wp:extent cx="7366000" cy="12319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66000" cy="123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type w:val="continuous"/>
          <w:pgSz w:w="12240" w:h="15840"/>
          <w:pgMar w:top="338" w:right="520" w:bottom="344" w:left="750" w:header="720" w:footer="720" w:gutter="0"/>
          <w:cols w:space="720" w:num="1" w:equalWidth="0">
            <w:col w:w="10970" w:space="0"/>
            <w:col w:w="10970" w:space="0"/>
            <w:col w:w="5264" w:space="0"/>
            <w:col w:w="5706" w:space="0"/>
            <w:col w:w="109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8" w:right="2234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4"/>
        </w:rPr>
        <w:t xml:space="preserve">DESK STRATEGY: MARKET VIEWS </w:t>
      </w:r>
      <w:r>
        <w:br/>
      </w:r>
      <w:r>
        <w:rPr>
          <w:rFonts w:ascii="ArialMT" w:hAnsi="ArialMT" w:eastAsia="ArialMT"/>
          <w:b w:val="0"/>
          <w:i w:val="0"/>
          <w:color w:val="6D6D6D"/>
          <w:sz w:val="14"/>
        </w:rPr>
        <w:t>©2021 Mitsubishi UFJ Financial Group, Inc. All</w:t>
      </w:r>
      <w:r>
        <w:rPr>
          <w:spacing w:val="-4.705882352941177"/>
          <w:rFonts w:ascii="ArialMT" w:hAnsi="ArialMT" w:eastAsia="ArialMT"/>
          <w:b w:val="0"/>
          <w:i w:val="0"/>
          <w:color w:val="6D6D6D"/>
          <w:sz w:val="14"/>
        </w:rPr>
        <w:t xml:space="preserve"> rights reserved.</w:t>
      </w:r>
    </w:p>
    <w:p>
      <w:pPr>
        <w:sectPr>
          <w:type w:val="continuous"/>
          <w:pgSz w:w="12240" w:h="15840"/>
          <w:pgMar w:top="338" w:right="520" w:bottom="344" w:left="750" w:header="720" w:footer="720" w:gutter="0"/>
          <w:cols w:space="720" w:num="2" w:equalWidth="0">
            <w:col w:w="6292" w:space="0"/>
            <w:col w:w="4678" w:space="0"/>
            <w:col w:w="10970" w:space="0"/>
            <w:col w:w="10970" w:space="0"/>
            <w:col w:w="5264" w:space="0"/>
            <w:col w:w="5706" w:space="0"/>
            <w:col w:w="109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33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341119" cy="359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1119" cy="359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2240" w:h="15840"/>
          <w:pgMar w:top="338" w:right="520" w:bottom="344" w:left="750" w:header="720" w:footer="720" w:gutter="0"/>
          <w:cols w:space="720" w:num="2" w:equalWidth="0">
            <w:col w:w="6292" w:space="0"/>
            <w:col w:w="4678" w:space="0"/>
            <w:col w:w="10970" w:space="0"/>
            <w:col w:w="10970" w:space="0"/>
            <w:col w:w="5264" w:space="0"/>
            <w:col w:w="5706" w:space="0"/>
            <w:col w:w="109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4"/>
        <w:ind w:left="0" w:right="0"/>
      </w:pPr>
    </w:p>
    <w:p>
      <w:pPr>
        <w:autoSpaceDN w:val="0"/>
        <w:autoSpaceDE w:val="0"/>
        <w:widowControl/>
        <w:spacing w:line="235" w:lineRule="auto" w:before="182" w:after="0"/>
        <w:ind w:left="96" w:right="0" w:firstLine="0"/>
        <w:jc w:val="left"/>
      </w:pPr>
      <w:r>
        <w:rPr>
          <w:rFonts w:ascii="Arial" w:hAnsi="Arial" w:eastAsia="Arial"/>
          <w:b/>
          <w:i w:val="0"/>
          <w:color w:val="FF0000"/>
          <w:sz w:val="18"/>
        </w:rPr>
        <w:t xml:space="preserve">FED SEP VIEWS: ALL ABOUT THE DOTS &amp; HOW THEY MARK-TO-MARKET WHAT FEELS LIKE PERSISTENT INFLATION </w:t>
      </w:r>
    </w:p>
    <w:p>
      <w:pPr>
        <w:autoSpaceDN w:val="0"/>
        <w:autoSpaceDE w:val="0"/>
        <w:widowControl/>
        <w:spacing w:line="259" w:lineRule="auto" w:before="134" w:after="0"/>
        <w:ind w:left="96" w:right="260" w:firstLine="0"/>
        <w:jc w:val="left"/>
      </w:pPr>
      <w:r>
        <w:rPr>
          <w:rFonts w:ascii="Arial" w:hAnsi="Arial" w:eastAsia="Arial"/>
          <w:b w:val="0"/>
          <w:i/>
          <w:color w:val="6D6D6D"/>
          <w:sz w:val="18"/>
        </w:rPr>
        <w:t xml:space="preserve">The Dots: 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Although there has been much consternation over the Fed’s tapering plans all year long, if one goes back and looks at 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the largest contributor of rate moves at the recent Fed meetings it was actually the lifting of the ‘23 dots (to suggest 2 hikes) that 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were updated at the June meeting that led to major rate market moves, especially in the belly. </w:t>
      </w:r>
      <w:r>
        <w:rPr>
          <w:u w:val="single" w:color="5a5a5a"/>
          <w:rFonts w:ascii="ArialMT" w:hAnsi="ArialMT" w:eastAsia="ArialMT"/>
          <w:b w:val="0"/>
          <w:i w:val="0"/>
          <w:color w:val="6D6D6D"/>
          <w:sz w:val="18"/>
        </w:rPr>
        <w:t>At the September meeting we will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 </w:t>
      </w:r>
      <w:r>
        <w:rPr>
          <w:u w:val="single" w:color="5a5a5a"/>
          <w:rFonts w:ascii="ArialMT" w:hAnsi="ArialMT" w:eastAsia="ArialMT"/>
          <w:b w:val="0"/>
          <w:i w:val="0"/>
          <w:color w:val="6D6D6D"/>
          <w:sz w:val="18"/>
        </w:rPr>
        <w:t>get updates for all the future terminal rate (median dots) forecast as well as the introduction of the 2024 rate expectations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.  I </w:t>
      </w:r>
      <w:r>
        <w:rPr>
          <w:spacing w:val="-11.428571428571427"/>
          <w:rFonts w:ascii="ArialMT" w:hAnsi="ArialMT" w:eastAsia="ArialMT"/>
          <w:b w:val="0"/>
          <w:i w:val="0"/>
          <w:color w:val="6D6D6D"/>
          <w:sz w:val="18"/>
        </w:rPr>
        <w:t xml:space="preserve">do not 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think there is major changes done to the 2023 dots so </w:t>
      </w:r>
      <w:r>
        <w:rPr>
          <w:u w:val="single" w:color="5a5a5a"/>
          <w:rFonts w:ascii="ArialMT" w:hAnsi="ArialMT" w:eastAsia="ArialMT"/>
          <w:b w:val="0"/>
          <w:i w:val="0"/>
          <w:color w:val="6D6D6D"/>
          <w:sz w:val="18"/>
        </w:rPr>
        <w:t>I am focusing on the 2022 and the new 2024 dots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. Before I go there, don’t 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you find it interesting that the long-run dots cloud looks like an upside down arrow, maybe a sign of what is yet to come? I digress. </w:t>
      </w:r>
    </w:p>
    <w:p>
      <w:pPr>
        <w:autoSpaceDN w:val="0"/>
        <w:autoSpaceDE w:val="0"/>
        <w:widowControl/>
        <w:spacing w:line="257" w:lineRule="auto" w:before="146" w:after="0"/>
        <w:ind w:left="96" w:right="240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8"/>
        </w:rPr>
        <w:t>It’s a close call on the 2022 dots, but as our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 </w:t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2" w:history="1">
          <w:r>
            <w:rPr>
              <w:rStyle w:val="Hyperlink"/>
            </w:rPr>
            <w:t>fx strategists suggest</w:t>
          </w:r>
        </w:hyperlink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 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it would only take 3 FOMC members to raise their dots for the 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median dot to go to one hike in 2022. Given the clustering of forecasts in 2023, its possible that a similar grouping is formed for 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2024 and that would put the 2024 dot closer to 1.125%, suggesting two more hikes then. This would be suggestive of a </w:t>
      </w:r>
      <w:r>
        <w:rPr>
          <w:spacing w:val="-6.666666666666666"/>
          <w:rFonts w:ascii="ArialMT" w:hAnsi="ArialMT" w:eastAsia="ArialMT"/>
          <w:b w:val="0"/>
          <w:i w:val="0"/>
          <w:color w:val="6D6D6D"/>
          <w:sz w:val="18"/>
        </w:rPr>
        <w:t xml:space="preserve">proper rate 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hiking campaign of 2 hikes per year for two years running. </w:t>
      </w:r>
      <w:r>
        <w:rPr>
          <w:u w:val="single" w:color="5a5a5a"/>
          <w:rFonts w:ascii="ArialMT" w:hAnsi="ArialMT" w:eastAsia="ArialMT"/>
          <w:b w:val="0"/>
          <w:i w:val="0"/>
          <w:color w:val="6D6D6D"/>
          <w:sz w:val="18"/>
        </w:rPr>
        <w:t>If the broader FOMC committee wants to deliver a dovish taper I think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 </w:t>
      </w:r>
      <w:r>
        <w:rPr>
          <w:u w:val="single" w:color="5a5a5a"/>
          <w:rFonts w:ascii="ArialMT" w:hAnsi="ArialMT" w:eastAsia="ArialMT"/>
          <w:b w:val="0"/>
          <w:i w:val="0"/>
          <w:color w:val="6D6D6D"/>
          <w:sz w:val="18"/>
        </w:rPr>
        <w:t>they would only project 1 hike in 2024 and again no hikes in 2022 just yet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 as they can always raise the dot estimates next year. </w:t>
      </w:r>
    </w:p>
    <w:p>
      <w:pPr>
        <w:autoSpaceDN w:val="0"/>
        <w:tabs>
          <w:tab w:pos="5644" w:val="left"/>
        </w:tabs>
        <w:autoSpaceDE w:val="0"/>
        <w:widowControl/>
        <w:spacing w:line="235" w:lineRule="auto" w:before="248" w:after="48"/>
        <w:ind w:left="134" w:right="0" w:firstLine="0"/>
        <w:jc w:val="left"/>
      </w:pPr>
      <w:r>
        <w:rPr>
          <w:rFonts w:ascii="Arial" w:hAnsi="Arial" w:eastAsia="Arial"/>
          <w:b/>
          <w:i w:val="0"/>
          <w:color w:val="6D6D6D"/>
          <w:sz w:val="18"/>
        </w:rPr>
        <w:t xml:space="preserve">The dots are back in focus: watch the 2022 &amp; 2024 moves </w:t>
      </w:r>
      <w:r>
        <w:tab/>
      </w:r>
      <w:r>
        <w:rPr>
          <w:rFonts w:ascii="Arial" w:hAnsi="Arial" w:eastAsia="Arial"/>
          <w:b/>
          <w:i w:val="0"/>
          <w:color w:val="6D6D6D"/>
          <w:sz w:val="18"/>
        </w:rPr>
        <w:t xml:space="preserve">Forwards 1M terminal rates and their spread to the dots </w:t>
      </w:r>
    </w:p>
    <w:p>
      <w:pPr>
        <w:sectPr>
          <w:pgSz w:w="12240" w:h="15840"/>
          <w:pgMar w:top="396" w:right="646" w:bottom="432" w:left="812" w:header="720" w:footer="720" w:gutter="0"/>
          <w:cols w:space="720" w:num="1" w:equalWidth="0">
            <w:col w:w="10782" w:space="0"/>
            <w:col w:w="6292" w:space="0"/>
            <w:col w:w="4678" w:space="0"/>
            <w:col w:w="10970" w:space="0"/>
            <w:col w:w="10970" w:space="0"/>
            <w:col w:w="5264" w:space="0"/>
            <w:col w:w="5706" w:space="0"/>
            <w:col w:w="10970" w:space="0"/>
          </w:cols>
          <w:docGrid w:linePitch="360"/>
        </w:sectPr>
      </w:pPr>
    </w:p>
    <w:p>
      <w:pPr>
        <w:autoSpaceDN w:val="0"/>
        <w:tabs>
          <w:tab w:pos="5188" w:val="left"/>
        </w:tabs>
        <w:autoSpaceDE w:val="0"/>
        <w:widowControl/>
        <w:spacing w:line="240" w:lineRule="auto" w:before="106" w:after="0"/>
        <w:ind w:left="114" w:right="22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32150" cy="18503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185038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27000" cy="12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96" w:right="646" w:bottom="432" w:left="812" w:header="720" w:footer="720" w:gutter="0"/>
          <w:cols w:space="720" w:num="2" w:equalWidth="0">
            <w:col w:w="5410" w:space="0"/>
            <w:col w:w="5372" w:space="0"/>
            <w:col w:w="10782" w:space="0"/>
            <w:col w:w="6292" w:space="0"/>
            <w:col w:w="4678" w:space="0"/>
            <w:col w:w="10970" w:space="0"/>
            <w:col w:w="10970" w:space="0"/>
            <w:col w:w="5264" w:space="0"/>
            <w:col w:w="5706" w:space="0"/>
            <w:col w:w="109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64" w:after="234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33420" cy="19011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3420" cy="190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2240" w:h="15840"/>
          <w:pgMar w:top="396" w:right="646" w:bottom="432" w:left="812" w:header="720" w:footer="720" w:gutter="0"/>
          <w:cols w:space="720" w:num="2" w:equalWidth="0">
            <w:col w:w="5410" w:space="0"/>
            <w:col w:w="5372" w:space="0"/>
            <w:col w:w="10782" w:space="0"/>
            <w:col w:w="6292" w:space="0"/>
            <w:col w:w="4678" w:space="0"/>
            <w:col w:w="10970" w:space="0"/>
            <w:col w:w="10970" w:space="0"/>
            <w:col w:w="5264" w:space="0"/>
            <w:col w:w="5706" w:space="0"/>
            <w:col w:w="10970" w:space="0"/>
          </w:cols>
          <w:docGrid w:linePitch="360"/>
        </w:sectPr>
      </w:pPr>
    </w:p>
    <w:p>
      <w:pPr>
        <w:autoSpaceDN w:val="0"/>
        <w:tabs>
          <w:tab w:pos="5548" w:val="left"/>
        </w:tabs>
        <w:autoSpaceDE w:val="0"/>
        <w:widowControl/>
        <w:spacing w:line="233" w:lineRule="auto" w:before="0" w:after="0"/>
        <w:ind w:left="114" w:right="0" w:firstLine="0"/>
        <w:jc w:val="left"/>
      </w:pPr>
      <w:r>
        <w:rPr>
          <w:rFonts w:ascii="Arial" w:hAnsi="Arial" w:eastAsia="Arial"/>
          <w:b w:val="0"/>
          <w:i/>
          <w:color w:val="6D6D6D"/>
          <w:sz w:val="14"/>
        </w:rPr>
        <w:t xml:space="preserve">Source: Bloomberg DOTS, MUFG US Macro Strategy </w:t>
      </w:r>
      <w:r>
        <w:tab/>
      </w:r>
      <w:r>
        <w:rPr>
          <w:rFonts w:ascii="Arial" w:hAnsi="Arial" w:eastAsia="Arial"/>
          <w:b w:val="0"/>
          <w:i/>
          <w:color w:val="6D6D6D"/>
          <w:sz w:val="14"/>
        </w:rPr>
        <w:t xml:space="preserve">Source: Bloomberg, MUFG US Macro Strategy </w:t>
      </w:r>
    </w:p>
    <w:p>
      <w:pPr>
        <w:autoSpaceDN w:val="0"/>
        <w:autoSpaceDE w:val="0"/>
        <w:widowControl/>
        <w:spacing w:line="233" w:lineRule="auto" w:before="90" w:after="0"/>
        <w:ind w:left="96" w:right="0" w:firstLine="0"/>
        <w:jc w:val="left"/>
      </w:pPr>
      <w:r>
        <w:rPr>
          <w:rFonts w:ascii="Arial" w:hAnsi="Arial" w:eastAsia="Arial"/>
          <w:b/>
          <w:i w:val="0"/>
          <w:color w:val="FF0000"/>
          <w:sz w:val="18"/>
        </w:rPr>
        <w:t xml:space="preserve">FED BALANCE-SHEET POLICY OUTLOOK: TAPERING IS IN THE AIR, MAYBE JUST GUIDANCE OR THEY FINALLY DO IT! </w:t>
      </w:r>
    </w:p>
    <w:p>
      <w:pPr>
        <w:autoSpaceDN w:val="0"/>
        <w:autoSpaceDE w:val="0"/>
        <w:widowControl/>
        <w:spacing w:line="262" w:lineRule="auto" w:before="134" w:after="0"/>
        <w:ind w:left="96" w:right="212" w:firstLine="0"/>
        <w:jc w:val="left"/>
      </w:pPr>
      <w:r>
        <w:rPr>
          <w:rFonts w:ascii="Arial" w:hAnsi="Arial" w:eastAsia="Arial"/>
          <w:b w:val="0"/>
          <w:i/>
          <w:color w:val="6D6D6D"/>
          <w:sz w:val="18"/>
        </w:rPr>
        <w:t>Taper time: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 This will likely go down as the most well televised change in Fed policy in history. So </w:t>
      </w:r>
      <w:r>
        <w:rPr>
          <w:u w:val="single" w:color="5a5a5a"/>
          <w:rFonts w:ascii="ArialMT" w:hAnsi="ArialMT" w:eastAsia="ArialMT"/>
          <w:b w:val="0"/>
          <w:i w:val="0"/>
          <w:color w:val="6D6D6D"/>
          <w:sz w:val="18"/>
        </w:rPr>
        <w:t>kudos for the Fed in their attempt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 </w:t>
      </w:r>
      <w:r>
        <w:rPr>
          <w:u w:val="single" w:color="5a5a5a"/>
          <w:rFonts w:ascii="ArialMT" w:hAnsi="ArialMT" w:eastAsia="ArialMT"/>
          <w:b w:val="0"/>
          <w:i w:val="0"/>
          <w:color w:val="6D6D6D"/>
          <w:sz w:val="18"/>
        </w:rPr>
        <w:t>at making tapering a non-event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. That said its always easier to talk about taking action versus delivering on it. </w:t>
      </w:r>
      <w:r>
        <w:rPr>
          <w:u w:val="single" w:color="5a5a5a"/>
          <w:rFonts w:ascii="ArialMT" w:hAnsi="ArialMT" w:eastAsia="ArialMT"/>
          <w:b w:val="0"/>
          <w:i w:val="0"/>
          <w:color w:val="6D6D6D"/>
          <w:sz w:val="18"/>
        </w:rPr>
        <w:t>I still am of the view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 </w:t>
      </w:r>
      <w:r>
        <w:rPr>
          <w:u w:val="single" w:color="5a5a5a"/>
          <w:rFonts w:ascii="ArialMT" w:hAnsi="ArialMT" w:eastAsia="ArialMT"/>
          <w:b w:val="0"/>
          <w:i w:val="0"/>
          <w:color w:val="6D6D6D"/>
          <w:sz w:val="18"/>
        </w:rPr>
        <w:t>that all this marginal excess liquidity has boosted risk assets and we will only know the counterfactual once they get at least half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 </w:t>
      </w:r>
      <w:r>
        <w:rPr>
          <w:u w:val="single" w:color="5a5a5a"/>
          <w:rFonts w:ascii="ArialMT" w:hAnsi="ArialMT" w:eastAsia="ArialMT"/>
          <w:b w:val="0"/>
          <w:i w:val="0"/>
          <w:color w:val="6D6D6D"/>
          <w:sz w:val="18"/>
        </w:rPr>
        <w:t>way through the tapering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. Also as I have said before, each meeting now is live until we get the taper, so its always possible </w:t>
      </w:r>
      <w:r>
        <w:rPr>
          <w:spacing w:val="-8.88888888888889"/>
          <w:rFonts w:ascii="ArialMT" w:hAnsi="ArialMT" w:eastAsia="ArialMT"/>
          <w:b w:val="0"/>
          <w:i w:val="0"/>
          <w:color w:val="6D6D6D"/>
          <w:sz w:val="18"/>
        </w:rPr>
        <w:t xml:space="preserve">that the 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FOMC gives us enough information at the September meeting that it ends up being the tapering announcement. Alternatively, 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which is </w:t>
      </w:r>
      <w:r>
        <w:rPr>
          <w:u w:val="single" w:color="5a5a5a"/>
          <w:rFonts w:ascii="ArialMT" w:hAnsi="ArialMT" w:eastAsia="ArialMT"/>
          <w:b w:val="0"/>
          <w:i w:val="0"/>
          <w:color w:val="6D6D6D"/>
          <w:sz w:val="18"/>
        </w:rPr>
        <w:t>my base case, they give guidance but buy optionality to deliver the final plans at either the November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 (my base </w:t>
      </w:r>
      <w:r>
        <w:rPr>
          <w:spacing w:val="-7.272727272727273"/>
          <w:rFonts w:ascii="ArialMT" w:hAnsi="ArialMT" w:eastAsia="ArialMT"/>
          <w:b w:val="0"/>
          <w:i w:val="0"/>
          <w:color w:val="6D6D6D"/>
          <w:sz w:val="18"/>
        </w:rPr>
        <w:t xml:space="preserve">case given </w:t>
      </w:r>
      <w:r>
        <w:rPr>
          <w:rFonts w:ascii="ArialMT" w:hAnsi="ArialMT" w:eastAsia="ArialMT"/>
          <w:b w:val="0"/>
          <w:i w:val="0"/>
          <w:color w:val="6D6D6D"/>
          <w:sz w:val="18"/>
        </w:rPr>
        <w:t>the OMOs calendar) or December meeting or in their parlance “sometime before year-end”</w:t>
      </w:r>
      <w:r>
        <w:rPr>
          <w:u w:val="single" w:color="5a5a5a"/>
          <w:rFonts w:ascii="ArialMT" w:hAnsi="ArialMT" w:eastAsia="ArialMT"/>
          <w:b w:val="0"/>
          <w:i w:val="0"/>
          <w:color w:val="6D6D6D"/>
          <w:sz w:val="18"/>
        </w:rPr>
        <w:t xml:space="preserve"> starting in November with $15 bn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 </w:t>
      </w:r>
      <w:r>
        <w:rPr>
          <w:u w:val="single" w:color="5a5a5a"/>
          <w:rFonts w:ascii="ArialMT" w:hAnsi="ArialMT" w:eastAsia="ArialMT"/>
          <w:b w:val="0"/>
          <w:i w:val="0"/>
          <w:color w:val="6D6D6D"/>
          <w:sz w:val="18"/>
        </w:rPr>
        <w:t>proportional monthly decline would have them wrap up taper by summer 2022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.  However if there was a material slowing of the 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economy or some other exogenous event, I am of the view they could let MBS taper continue (given they own so much of that </w:t>
      </w:r>
      <w:r>
        <w:rPr>
          <w:rFonts w:ascii="ArialMT" w:hAnsi="ArialMT" w:eastAsia="ArialMT"/>
          <w:b w:val="0"/>
          <w:i w:val="0"/>
          <w:color w:val="6D6D6D"/>
          <w:sz w:val="18"/>
        </w:rPr>
        <w:t xml:space="preserve">market) and keep buying USTs at a smaller scale. This 2-stage tapering of pausing/restarting would give them more flexibility. </w:t>
      </w:r>
    </w:p>
    <w:p>
      <w:pPr>
        <w:autoSpaceDN w:val="0"/>
        <w:tabs>
          <w:tab w:pos="5564" w:val="left"/>
        </w:tabs>
        <w:autoSpaceDE w:val="0"/>
        <w:widowControl/>
        <w:spacing w:line="235" w:lineRule="auto" w:before="248" w:after="48"/>
        <w:ind w:left="134" w:right="0" w:firstLine="0"/>
        <w:jc w:val="left"/>
      </w:pPr>
      <w:r>
        <w:rPr>
          <w:rFonts w:ascii="Arial" w:hAnsi="Arial" w:eastAsia="Arial"/>
          <w:b/>
          <w:i w:val="0"/>
          <w:color w:val="6D6D6D"/>
          <w:sz w:val="18"/>
        </w:rPr>
        <w:t xml:space="preserve">Fed Ownership of UST vs MBS (% of overall marketplace) </w:t>
      </w:r>
      <w:r>
        <w:tab/>
      </w:r>
      <w:r>
        <w:rPr>
          <w:rFonts w:ascii="Arial" w:hAnsi="Arial" w:eastAsia="Arial"/>
          <w:b/>
          <w:i w:val="0"/>
          <w:color w:val="6D6D6D"/>
          <w:sz w:val="18"/>
        </w:rPr>
        <w:t xml:space="preserve">Fed Tapering: Start in November, keep flexibility to pause </w:t>
      </w:r>
    </w:p>
    <w:p>
      <w:pPr>
        <w:sectPr>
          <w:type w:val="continuous"/>
          <w:pgSz w:w="12240" w:h="15840"/>
          <w:pgMar w:top="396" w:right="646" w:bottom="432" w:left="812" w:header="720" w:footer="720" w:gutter="0"/>
          <w:cols w:space="720" w:num="1" w:equalWidth="0">
            <w:col w:w="10782" w:space="0"/>
            <w:col w:w="5410" w:space="0"/>
            <w:col w:w="5372" w:space="0"/>
            <w:col w:w="10782" w:space="0"/>
            <w:col w:w="6292" w:space="0"/>
            <w:col w:w="4678" w:space="0"/>
            <w:col w:w="10970" w:space="0"/>
            <w:col w:w="10970" w:space="0"/>
            <w:col w:w="5264" w:space="0"/>
            <w:col w:w="5706" w:space="0"/>
            <w:col w:w="10970" w:space="0"/>
          </w:cols>
          <w:docGrid w:linePitch="360"/>
        </w:sectPr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915" w:type="dxa"/>
      </w:tblPr>
      <w:tblGrid>
        <w:gridCol w:w="2695"/>
        <w:gridCol w:w="2695"/>
        <w:gridCol w:w="2695"/>
        <w:gridCol w:w="2695"/>
      </w:tblGrid>
      <w:tr>
        <w:trPr>
          <w:trHeight w:hRule="exact" w:val="256"/>
        </w:trPr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9"/>
              </w:rPr>
              <w:t>40.00%</w:t>
            </w:r>
          </w:p>
        </w:tc>
        <w:tc>
          <w:tcPr>
            <w:tcW w:type="dxa" w:w="1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auto" w:before="90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9"/>
              </w:rPr>
              <w:t xml:space="preserve">QE1 End </w:t>
            </w:r>
          </w:p>
        </w:tc>
        <w:tc>
          <w:tcPr>
            <w:tcW w:type="dxa" w:w="1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82" w:after="0"/>
              <w:ind w:left="0" w:right="3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9"/>
              </w:rPr>
              <w:t xml:space="preserve">QE3 End </w:t>
            </w:r>
          </w:p>
        </w:tc>
        <w:tc>
          <w:tcPr>
            <w:tcW w:type="dxa" w:w="1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92" w:after="0"/>
              <w:ind w:left="0" w:right="8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9"/>
              </w:rPr>
              <w:t>QT</w:t>
            </w:r>
          </w:p>
        </w:tc>
      </w:tr>
    </w:tbl>
    <w:p>
      <w:pPr>
        <w:autoSpaceDN w:val="0"/>
        <w:autoSpaceDE w:val="0"/>
        <w:widowControl/>
        <w:spacing w:line="170" w:lineRule="auto" w:before="82" w:after="0"/>
        <w:ind w:left="1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9"/>
        </w:rPr>
        <w:t>35.00%</w:t>
      </w:r>
    </w:p>
    <w:p>
      <w:pPr>
        <w:autoSpaceDN w:val="0"/>
        <w:autoSpaceDE w:val="0"/>
        <w:widowControl/>
        <w:spacing w:line="175" w:lineRule="auto" w:before="220" w:after="0"/>
        <w:ind w:left="1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9"/>
        </w:rPr>
        <w:t>30.00%</w:t>
      </w:r>
    </w:p>
    <w:p>
      <w:pPr>
        <w:autoSpaceDN w:val="0"/>
        <w:autoSpaceDE w:val="0"/>
        <w:widowControl/>
        <w:spacing w:line="175" w:lineRule="auto" w:before="220" w:after="0"/>
        <w:ind w:left="1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9"/>
        </w:rPr>
        <w:t>25.00%</w:t>
      </w:r>
    </w:p>
    <w:p>
      <w:pPr>
        <w:autoSpaceDN w:val="0"/>
        <w:autoSpaceDE w:val="0"/>
        <w:widowControl/>
        <w:spacing w:line="170" w:lineRule="auto" w:before="220" w:after="0"/>
        <w:ind w:left="1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9"/>
        </w:rPr>
        <w:t>20.00%</w:t>
      </w:r>
    </w:p>
    <w:p>
      <w:pPr>
        <w:autoSpaceDN w:val="0"/>
        <w:autoSpaceDE w:val="0"/>
        <w:widowControl/>
        <w:spacing w:line="175" w:lineRule="auto" w:before="220" w:after="0"/>
        <w:ind w:left="1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9"/>
        </w:rPr>
        <w:t>15.00%</w:t>
      </w:r>
    </w:p>
    <w:p>
      <w:pPr>
        <w:autoSpaceDN w:val="0"/>
        <w:autoSpaceDE w:val="0"/>
        <w:widowControl/>
        <w:spacing w:line="175" w:lineRule="auto" w:before="220" w:after="0"/>
        <w:ind w:left="1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9"/>
        </w:rPr>
        <w:t>10.00%</w:t>
      </w:r>
    </w:p>
    <w:p>
      <w:pPr>
        <w:autoSpaceDN w:val="0"/>
        <w:autoSpaceDE w:val="0"/>
        <w:widowControl/>
        <w:spacing w:line="170" w:lineRule="auto" w:before="220" w:after="0"/>
        <w:ind w:left="17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9"/>
        </w:rPr>
        <w:t>5.00%</w:t>
      </w:r>
    </w:p>
    <w:p>
      <w:pPr>
        <w:autoSpaceDN w:val="0"/>
        <w:autoSpaceDE w:val="0"/>
        <w:widowControl/>
        <w:spacing w:line="175" w:lineRule="auto" w:before="220" w:after="12"/>
        <w:ind w:left="17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9"/>
        </w:rPr>
        <w:t>0.00%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.00000000000003" w:type="dxa"/>
      </w:tblPr>
      <w:tblGrid>
        <w:gridCol w:w="829"/>
        <w:gridCol w:w="829"/>
        <w:gridCol w:w="829"/>
        <w:gridCol w:w="829"/>
        <w:gridCol w:w="829"/>
        <w:gridCol w:w="829"/>
        <w:gridCol w:w="829"/>
        <w:gridCol w:w="829"/>
        <w:gridCol w:w="829"/>
        <w:gridCol w:w="829"/>
        <w:gridCol w:w="829"/>
        <w:gridCol w:w="829"/>
        <w:gridCol w:w="829"/>
      </w:tblGrid>
      <w:tr>
        <w:trPr>
          <w:trHeight w:hRule="exact" w:val="116"/>
        </w:trPr>
        <w:tc>
          <w:tcPr>
            <w:tcW w:type="dxa" w:w="4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auto" w:before="12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9"/>
              </w:rPr>
              <w:t xml:space="preserve">2009 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auto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9"/>
              </w:rPr>
              <w:t xml:space="preserve">2010 </w:t>
            </w:r>
          </w:p>
        </w:tc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auto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9"/>
              </w:rPr>
              <w:t xml:space="preserve">2011 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auto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9"/>
              </w:rPr>
              <w:t xml:space="preserve">2012 </w:t>
            </w:r>
          </w:p>
        </w:tc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auto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9"/>
              </w:rPr>
              <w:t xml:space="preserve">2013 </w:t>
            </w:r>
          </w:p>
        </w:tc>
        <w:tc>
          <w:tcPr>
            <w:tcW w:type="dxa" w:w="3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auto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9"/>
              </w:rPr>
              <w:t xml:space="preserve">2014 </w:t>
            </w:r>
          </w:p>
        </w:tc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auto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9"/>
              </w:rPr>
              <w:t xml:space="preserve">2015 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auto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9"/>
              </w:rPr>
              <w:t xml:space="preserve">2016 </w:t>
            </w:r>
          </w:p>
        </w:tc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auto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9"/>
              </w:rPr>
              <w:t xml:space="preserve">2017 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auto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9"/>
              </w:rPr>
              <w:t xml:space="preserve">2018 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auto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9"/>
              </w:rPr>
              <w:t xml:space="preserve">2019 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auto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9"/>
              </w:rPr>
              <w:t xml:space="preserve">2020 </w:t>
            </w:r>
          </w:p>
        </w:tc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auto" w:before="12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9"/>
              </w:rPr>
              <w:t>2021</w:t>
            </w:r>
          </w:p>
        </w:tc>
      </w:tr>
      <w:tr>
        <w:trPr>
          <w:trHeight w:hRule="exact" w:val="88"/>
        </w:trPr>
        <w:tc>
          <w:tcPr>
            <w:tcW w:type="dxa" w:w="829"/>
            <w:vMerge/>
            <w:tcBorders/>
          </w:tcPr>
          <w:p/>
        </w:tc>
        <w:tc>
          <w:tcPr>
            <w:tcW w:type="dxa" w:w="177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28" w:after="0"/>
              <w:ind w:left="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9"/>
              </w:rPr>
              <w:t xml:space="preserve">Fed MBS Holdings % of Barclays Index </w:t>
            </w:r>
          </w:p>
        </w:tc>
        <w:tc>
          <w:tcPr>
            <w:tcW w:type="dxa" w:w="263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2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9"/>
              </w:rPr>
              <w:t>Fed UST Holdings % of Marketable Debt Outstanding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396" w:right="646" w:bottom="432" w:left="812" w:header="720" w:footer="720" w:gutter="0"/>
          <w:cols w:space="720" w:num="2" w:equalWidth="0">
            <w:col w:w="5308" w:space="0"/>
            <w:col w:w="5474" w:space="0"/>
            <w:col w:w="10782" w:space="0"/>
            <w:col w:w="5410" w:space="0"/>
            <w:col w:w="5372" w:space="0"/>
            <w:col w:w="10782" w:space="0"/>
            <w:col w:w="6292" w:space="0"/>
            <w:col w:w="4678" w:space="0"/>
            <w:col w:w="10970" w:space="0"/>
            <w:col w:w="10970" w:space="0"/>
            <w:col w:w="5264" w:space="0"/>
            <w:col w:w="5706" w:space="0"/>
            <w:col w:w="109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68" w:after="246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25800" cy="17627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762759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7048500</wp:posOffset>
            </wp:positionV>
            <wp:extent cx="2921000" cy="17399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739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type w:val="nextColumn"/>
          <w:pgSz w:w="12240" w:h="15840"/>
          <w:pgMar w:top="396" w:right="646" w:bottom="432" w:left="812" w:header="720" w:footer="720" w:gutter="0"/>
          <w:cols w:space="720" w:num="2" w:equalWidth="0">
            <w:col w:w="5308" w:space="0"/>
            <w:col w:w="5474" w:space="0"/>
            <w:col w:w="10782" w:space="0"/>
            <w:col w:w="5410" w:space="0"/>
            <w:col w:w="5372" w:space="0"/>
            <w:col w:w="10782" w:space="0"/>
            <w:col w:w="6292" w:space="0"/>
            <w:col w:w="4678" w:space="0"/>
            <w:col w:w="10970" w:space="0"/>
            <w:col w:w="10970" w:space="0"/>
            <w:col w:w="5264" w:space="0"/>
            <w:col w:w="5706" w:space="0"/>
            <w:col w:w="1097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594"/>
        <w:gridCol w:w="3594"/>
        <w:gridCol w:w="3594"/>
      </w:tblGrid>
      <w:tr>
        <w:trPr>
          <w:trHeight w:hRule="exact" w:val="348"/>
        </w:trPr>
        <w:tc>
          <w:tcPr>
            <w:tcW w:type="dxa" w:w="4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6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6D6D6D"/>
                <w:sz w:val="14"/>
              </w:rPr>
              <w:t xml:space="preserve">Source: Bloomberg, MUFG US Macro Strategy </w:t>
            </w:r>
          </w:p>
        </w:tc>
        <w:tc>
          <w:tcPr>
            <w:tcW w:type="dxa" w:w="47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6D6D6D"/>
                <w:sz w:val="14"/>
              </w:rPr>
              <w:t xml:space="preserve">Source: Bloomberg, MUFG US Macro Strategy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0" w:after="0"/>
              <w:ind w:left="0" w:right="1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6D6D6D"/>
                <w:sz w:val="14"/>
              </w:rPr>
              <w:t xml:space="preserve">2 </w:t>
            </w:r>
          </w:p>
        </w:tc>
      </w:tr>
      <w:tr>
        <w:trPr>
          <w:trHeight w:hRule="exact" w:val="352"/>
        </w:trPr>
        <w:tc>
          <w:tcPr>
            <w:tcW w:type="dxa" w:w="4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2" w:after="0"/>
              <w:ind w:left="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D6D6D"/>
                <w:sz w:val="14"/>
              </w:rPr>
              <w:t xml:space="preserve">DESK STRATEGY: MARKET VIEWS </w:t>
            </w:r>
          </w:p>
        </w:tc>
        <w:tc>
          <w:tcPr>
            <w:tcW w:type="dxa" w:w="3594"/>
            <w:vMerge/>
            <w:tcBorders/>
          </w:tcPr>
          <w:p/>
        </w:tc>
        <w:tc>
          <w:tcPr>
            <w:tcW w:type="dxa" w:w="3594"/>
            <w:vMerge/>
            <w:tcBorders/>
          </w:tcPr>
          <w:p/>
        </w:tc>
      </w:tr>
      <w:tr>
        <w:trPr>
          <w:trHeight w:hRule="exact" w:val="138"/>
        </w:trPr>
        <w:tc>
          <w:tcPr>
            <w:tcW w:type="dxa" w:w="4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D6D6D"/>
                <w:sz w:val="14"/>
              </w:rPr>
              <w:t>©2021 Mitsubishi UFJ Financial Group, Inc. All rights reserved.</w:t>
            </w:r>
          </w:p>
        </w:tc>
        <w:tc>
          <w:tcPr>
            <w:tcW w:type="dxa" w:w="3594"/>
            <w:vMerge/>
            <w:tcBorders/>
          </w:tcPr>
          <w:p/>
        </w:tc>
        <w:tc>
          <w:tcPr>
            <w:tcW w:type="dxa" w:w="359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396" w:right="646" w:bottom="432" w:left="812" w:header="720" w:footer="720" w:gutter="0"/>
          <w:cols w:space="720" w:num="1" w:equalWidth="0">
            <w:col w:w="10782" w:space="0"/>
            <w:col w:w="5308" w:space="0"/>
            <w:col w:w="5474" w:space="0"/>
            <w:col w:w="10782" w:space="0"/>
            <w:col w:w="5410" w:space="0"/>
            <w:col w:w="5372" w:space="0"/>
            <w:col w:w="10782" w:space="0"/>
            <w:col w:w="6292" w:space="0"/>
            <w:col w:w="4678" w:space="0"/>
            <w:col w:w="10970" w:space="0"/>
            <w:col w:w="10970" w:space="0"/>
            <w:col w:w="5264" w:space="0"/>
            <w:col w:w="5706" w:space="0"/>
            <w:col w:w="109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4"/>
        <w:ind w:left="0" w:right="0"/>
      </w:pPr>
    </w:p>
    <w:p>
      <w:pPr>
        <w:autoSpaceDN w:val="0"/>
        <w:autoSpaceDE w:val="0"/>
        <w:widowControl/>
        <w:spacing w:line="233" w:lineRule="auto" w:before="14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30"/>
        </w:rPr>
        <w:t xml:space="preserve">Notice to Recipients </w:t>
      </w:r>
    </w:p>
    <w:p>
      <w:pPr>
        <w:autoSpaceDN w:val="0"/>
        <w:autoSpaceDE w:val="0"/>
        <w:widowControl/>
        <w:spacing w:line="259" w:lineRule="auto" w:before="194" w:after="0"/>
        <w:ind w:left="0" w:right="242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The information herein provided is for information purposes only, and is not to be used or considered as investment research, a proposal or the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solicitation of an offer to sell or to buy or subscribe for securities or other financial instruments. Neither this nor any other communication prepared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by MUFG Bank, Ltd. (“MUFG Bank”), MUFG Union Bank, N.A., MUFG Securities Americas Inc., or other MUFG Group Company (collectively,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"MUFG") is or should be construed as investment advice, a recommendation or proposal to enter into a particular transaction or pursue a particular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strategy, or any statement as to the likelihood that a particular transaction or strategy will be effective in light of your business objectives or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operations. Before entering into any particular transaction, you are advised to obtain such independent financial, legal, accounting and </w:t>
      </w:r>
      <w:r>
        <w:rPr>
          <w:spacing w:val="-6.153846153846154"/>
          <w:rFonts w:ascii="ArialMT" w:hAnsi="ArialMT" w:eastAsia="ArialMT"/>
          <w:b w:val="0"/>
          <w:i w:val="0"/>
          <w:color w:val="6D6D6D"/>
          <w:sz w:val="16"/>
        </w:rPr>
        <w:t xml:space="preserve">other advice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as may be appropriate under the circumstances. In any event, any decision to enter into a transaction will be yours alone, not based </w:t>
      </w:r>
      <w:r>
        <w:rPr>
          <w:spacing w:val="-5.333333333333333"/>
          <w:rFonts w:ascii="ArialMT" w:hAnsi="ArialMT" w:eastAsia="ArialMT"/>
          <w:b w:val="0"/>
          <w:i w:val="0"/>
          <w:color w:val="6D6D6D"/>
          <w:sz w:val="16"/>
        </w:rPr>
        <w:t xml:space="preserve">on information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prepared or provided by MUFG. MUFG hereby disclaims any responsibility to you concerning the characterization or identification of terms,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conditions, and legal or accounting or other issues or risks that may arise in connection with any particular transaction or business strategy. </w:t>
      </w:r>
    </w:p>
    <w:p>
      <w:pPr>
        <w:autoSpaceDN w:val="0"/>
        <w:autoSpaceDE w:val="0"/>
        <w:widowControl/>
        <w:spacing w:line="259" w:lineRule="auto" w:before="144" w:after="0"/>
        <w:ind w:left="0" w:right="224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Certain information contained in this presentation has been obtained or derived from third party sources and such information is believed to be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correct and reliable but has not been independently verified.  While MUFG believes that factual statements herein and any assumptions on which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information herein are based, are in each case accurate, MUFG makes no representation or warranty regarding such accuracy and shall not be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responsible for any inaccuracy in such statements or assumptions. Note that MUFG may have issued, and may in the future issue, other reports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that are inconsistent with or that reach conclusions different from the information set forth herein. Such other reports, if any, reflect the different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assumptions, views and/or analytical methods of the analysts who prepared them, and MUFG is under no obligation to ensure that such other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reports are brought to your attention.  Furthermore, the information may not be current due to, among other things, changes in the </w:t>
      </w:r>
      <w:r>
        <w:rPr>
          <w:spacing w:val="-4.444444444444445"/>
          <w:rFonts w:ascii="ArialMT" w:hAnsi="ArialMT" w:eastAsia="ArialMT"/>
          <w:b w:val="0"/>
          <w:i w:val="0"/>
          <w:color w:val="6D6D6D"/>
          <w:sz w:val="16"/>
        </w:rPr>
        <w:t xml:space="preserve">financial markets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or economic environment and MUFG has no obligation to update any such information contained in this presentation.  This presentation is not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intended to forecast or predict future events. Past performance is not a guarantee or indication of future results. Any prices provided herein (other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than those identified as being historical) are indicative only and do not represent firm quotes as to either price or size. </w:t>
      </w:r>
    </w:p>
    <w:p>
      <w:pPr>
        <w:autoSpaceDN w:val="0"/>
        <w:autoSpaceDE w:val="0"/>
        <w:widowControl/>
        <w:spacing w:line="257" w:lineRule="auto" w:before="142" w:after="0"/>
        <w:ind w:left="0" w:right="254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The MUFG logo and name is a service mark of Mitsubishi UFJ Financial Group, Inc., and may be used by it or other Group companies </w:t>
      </w:r>
      <w:r>
        <w:rPr>
          <w:spacing w:val="-6.153846153846154"/>
          <w:rFonts w:ascii="ArialMT" w:hAnsi="ArialMT" w:eastAsia="ArialMT"/>
          <w:b w:val="0"/>
          <w:i w:val="0"/>
          <w:color w:val="6D6D6D"/>
          <w:sz w:val="16"/>
        </w:rPr>
        <w:t xml:space="preserve">for branding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or marketing purposes. Group companies include MUFG Bank, MUFG Americas Capital Leasing &amp; Finance, LLC, Mitsubishi UFJ Trust and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Banking Corporation, MUFG Securities Americas Inc., and MUFG Union Bank, N.A. ("MUB”). Corporate or commercial lending or deposit activities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are performed by banking affiliates of MUFG, including, in the United States, MUFG Bank and MUB. </w:t>
      </w:r>
    </w:p>
    <w:p>
      <w:pPr>
        <w:autoSpaceDN w:val="0"/>
        <w:autoSpaceDE w:val="0"/>
        <w:widowControl/>
        <w:spacing w:line="259" w:lineRule="auto" w:before="140" w:after="3088"/>
        <w:ind w:left="0" w:right="278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This indicative financing proposal is provided for discussion purposes only and does not constitute, nor should it be construed as, a </w:t>
      </w:r>
      <w:r>
        <w:rPr>
          <w:spacing w:val="-5.7142857142857135"/>
          <w:rFonts w:ascii="ArialMT" w:hAnsi="ArialMT" w:eastAsia="ArialMT"/>
          <w:b w:val="0"/>
          <w:i w:val="0"/>
          <w:color w:val="6D6D6D"/>
          <w:sz w:val="16"/>
        </w:rPr>
        <w:t xml:space="preserve">commitment to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provide any financing or any assurance that the financing described herein may be available. The terms and conditions of such financing must be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fully negotiated and contained in definitive documentation duly authorized, executed and delivered by all parties. In addition, the delivery of a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commitment would be subject to, among other things, (i) [MUFG BANK’s][MUB’s] satisfaction with the results of its legal, technical, environmental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and business due diligence, (ii) final internal approvals by [MUFG BANK][MUB], (iii) no material adverse change in the financial condition or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otherwise of the relevant parties, (iv) no material adverse change or disruption in the relevant financial markets and (v) other </w:t>
      </w:r>
      <w:r>
        <w:rPr>
          <w:spacing w:val="-3.6363636363636367"/>
          <w:rFonts w:ascii="ArialMT" w:hAnsi="ArialMT" w:eastAsia="ArialMT"/>
          <w:b w:val="0"/>
          <w:i w:val="0"/>
          <w:color w:val="6D6D6D"/>
          <w:sz w:val="16"/>
        </w:rPr>
        <w:t xml:space="preserve">customary conditions,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including then current market conditions. This indicative financing proposal is confidential and may not be disclosed or released to any other party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without the prior written consent of [MUFG BANK][MUB]. MUFG BANK is NOT a member of the FDIC and its deposit products are NOT </w:t>
      </w:r>
      <w:r>
        <w:rPr>
          <w:spacing w:val="-7.272727272727273"/>
          <w:rFonts w:ascii="ArialMT" w:hAnsi="ArialMT" w:eastAsia="ArialMT"/>
          <w:b w:val="0"/>
          <w:i w:val="0"/>
          <w:color w:val="6D6D6D"/>
          <w:sz w:val="16"/>
        </w:rPr>
        <w:t xml:space="preserve">insured by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the FDIC or by any other government agency. MUB is a member of the FDIC and its deposit products are insured up to applicable </w:t>
      </w:r>
      <w:r>
        <w:rPr>
          <w:spacing w:val="-5.333333333333333"/>
          <w:rFonts w:ascii="ArialMT" w:hAnsi="ArialMT" w:eastAsia="ArialMT"/>
          <w:b w:val="0"/>
          <w:i w:val="0"/>
          <w:color w:val="6D6D6D"/>
          <w:sz w:val="16"/>
        </w:rPr>
        <w:t xml:space="preserve">limits. FLOES™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is a service mark of MUFG Securities Americas Inc.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43"/>
        <w:gridCol w:w="5343"/>
      </w:tblGrid>
      <w:tr>
        <w:trPr>
          <w:trHeight w:hRule="exact" w:val="3388"/>
        </w:trPr>
        <w:tc>
          <w:tcPr>
            <w:tcW w:type="dxa" w:w="7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90" w:after="0"/>
              <w:ind w:left="0" w:right="323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D6D6D"/>
                <w:sz w:val="14"/>
              </w:rPr>
              <w:t xml:space="preserve">DESK STRATEGY: MARKET VIEWS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6D6D6D"/>
                <w:sz w:val="14"/>
              </w:rPr>
              <w:t>©2021 Mitsubishi UFJ Financial Group, Inc. All</w:t>
            </w:r>
            <w:r>
              <w:rPr>
                <w:spacing w:val="-4.705882352941177"/>
                <w:rFonts w:ascii="ArialMT" w:hAnsi="ArialMT" w:eastAsia="ArialMT"/>
                <w:b w:val="0"/>
                <w:i w:val="0"/>
                <w:color w:val="6D6D6D"/>
                <w:sz w:val="14"/>
              </w:rPr>
              <w:t xml:space="preserve"> rights reserved.</w:t>
            </w:r>
          </w:p>
        </w:tc>
        <w:tc>
          <w:tcPr>
            <w:tcW w:type="dxa" w:w="3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90" w:after="0"/>
              <w:ind w:left="0" w:right="1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6D6D6D"/>
                <w:sz w:val="14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96" w:right="646" w:bottom="432" w:left="908" w:header="720" w:footer="720" w:gutter="0"/>
          <w:cols w:space="720" w:num="1" w:equalWidth="0">
            <w:col w:w="10686" w:space="0"/>
            <w:col w:w="10782" w:space="0"/>
            <w:col w:w="5308" w:space="0"/>
            <w:col w:w="5474" w:space="0"/>
            <w:col w:w="10782" w:space="0"/>
            <w:col w:w="5410" w:space="0"/>
            <w:col w:w="5372" w:space="0"/>
            <w:col w:w="10782" w:space="0"/>
            <w:col w:w="6292" w:space="0"/>
            <w:col w:w="4678" w:space="0"/>
            <w:col w:w="10970" w:space="0"/>
            <w:col w:w="10970" w:space="0"/>
            <w:col w:w="5264" w:space="0"/>
            <w:col w:w="5706" w:space="0"/>
            <w:col w:w="109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4"/>
        <w:ind w:left="0" w:right="0"/>
      </w:pPr>
    </w:p>
    <w:p>
      <w:pPr>
        <w:autoSpaceDN w:val="0"/>
        <w:autoSpaceDE w:val="0"/>
        <w:widowControl/>
        <w:spacing w:line="233" w:lineRule="auto" w:before="14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30"/>
        </w:rPr>
        <w:t xml:space="preserve">International Disclaimer </w:t>
      </w:r>
    </w:p>
    <w:p>
      <w:pPr>
        <w:autoSpaceDN w:val="0"/>
        <w:autoSpaceDE w:val="0"/>
        <w:widowControl/>
        <w:spacing w:line="233" w:lineRule="auto" w:before="19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This report has been prepared by a subsidiary of Mitsubishi UFJ Financial Group, Inc. (“MUFG”) which carries on a securities related business. </w:t>
      </w:r>
    </w:p>
    <w:p>
      <w:pPr>
        <w:autoSpaceDN w:val="0"/>
        <w:autoSpaceDE w:val="0"/>
        <w:widowControl/>
        <w:spacing w:line="233" w:lineRule="auto" w:before="1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Legal entities and branches </w:t>
      </w:r>
    </w:p>
    <w:p>
      <w:pPr>
        <w:autoSpaceDN w:val="0"/>
        <w:autoSpaceDE w:val="0"/>
        <w:widowControl/>
        <w:spacing w:line="262" w:lineRule="auto" w:before="142" w:after="0"/>
        <w:ind w:left="0" w:right="228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The securities related businesses within MUFG (together referred to in this presentation as “MUFG Securities”) are: (1) MUFG </w:t>
      </w:r>
      <w:r>
        <w:rPr>
          <w:spacing w:val="-5.0"/>
          <w:rFonts w:ascii="ArialMT" w:hAnsi="ArialMT" w:eastAsia="ArialMT"/>
          <w:b w:val="0"/>
          <w:i w:val="0"/>
          <w:color w:val="6D6D6D"/>
          <w:sz w:val="16"/>
        </w:rPr>
        <w:t xml:space="preserve">SECURITIES EMEA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PLC (“MUS(EMEA)”) which is authorised in the United Kingdom by the Prudential Regulation Authority (“PRA”) and regulated by the Financial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Conduct Authority (“FCA”) and the PRA (FS Registration Number 124512). MUS(EMEA) has a branch office that is registered at Level 3, East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Wing, The Gate, Dubai International Financial Centre, PO Box 506894, Dubai, UAE (“Dubai Branch”). The Dubai Branch is authorised to </w:t>
      </w:r>
      <w:r>
        <w:rPr>
          <w:spacing w:val="-7.272727272727273"/>
          <w:rFonts w:ascii="ArialMT" w:hAnsi="ArialMT" w:eastAsia="ArialMT"/>
          <w:b w:val="0"/>
          <w:i w:val="0"/>
          <w:color w:val="6D6D6D"/>
          <w:sz w:val="16"/>
        </w:rPr>
        <w:t xml:space="preserve">operate in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the Dubai International Financial Centre (“DIFC”) as a Non-DIFC Entity (Commercial License Number CL1656) and is regulated by the Dubai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Financial Services Authority (Reference Number F002623); (2) MUFG SECURITIES AMERICAS INC. (“MUSA”) which is registered in the United </w:t>
      </w:r>
      <w:r>
        <w:rPr>
          <w:rFonts w:ascii="ArialMT" w:hAnsi="ArialMT" w:eastAsia="ArialMT"/>
          <w:b w:val="0"/>
          <w:i w:val="0"/>
          <w:color w:val="6D6D6D"/>
          <w:sz w:val="16"/>
        </w:rPr>
        <w:t>States with the Securities and Exchange Commission (“SEC”) and regulated by the Financial Industry Regulatory Authority (“FINRA”) (SEC# 8-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43026; CRD# 19685); (3) MUFG SECURITIES (CANADA), LTD. (“MUS(CAN)”) which is registered in Canada with the Ontario Securities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Commission (“OSC”) and regulated by the Investment Industry Regulatory Organization of Canada (“IIROC”) and registered in the United States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with the SEC, regulated by FINRA (SEC# 8-69693; CRD# 281904); (4) MUFG SECURITIES ASIA LIMITED (“MUS(ASIA)”) which is </w:t>
      </w:r>
      <w:r>
        <w:rPr>
          <w:spacing w:val="-5.0"/>
          <w:rFonts w:ascii="ArialMT" w:hAnsi="ArialMT" w:eastAsia="ArialMT"/>
          <w:b w:val="0"/>
          <w:i w:val="0"/>
          <w:color w:val="6D6D6D"/>
          <w:sz w:val="16"/>
        </w:rPr>
        <w:t xml:space="preserve">incorporated in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Hong Kong, licensed under the Hong Kong Securities and Futures Ordinance and regulated by the Hong Kong Securities and Futures Commission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(Central Entity Number AAA889). MUS(ASIA) has an office in Australia, MUFG SECURITIES ASIA LIMITED ARBN No. 169 329 453, which is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registered at Suite 16 &amp; 52, Level 36 Gateway, One Macquarie Place, Sydney, Australia. In respect of the financial services provided to wholesale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clients in Australia, MUS(ASIA), MUS(EMEA), MUSA and MUFG SECURITIES ASIA (SINGAPORE) LIMITED (“MUS(SPR)”) are each exempt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from the requirement to hold an Australian financial services licence under the Corporations Act 2001 (“Corporations Act”) under the Australian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Securities and Investments Commission (“ASIC”) Class Order Exemption CO 03/1099, CO 03/1103, CO 03/1100 and CO 03/1102, respectively.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Each of MUS(ASIA), MUS(EMEA), MUSA and MUS(SPR) are regulated under the laws of Hong Kong, the United Kingdom, the United States and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Singapore respectively, which differ from Australian laws; and (5) MUS(SPR) which is licensed as an approved merchant bank by the Monetary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Authority of Singapore. </w:t>
      </w:r>
    </w:p>
    <w:p>
      <w:pPr>
        <w:autoSpaceDN w:val="0"/>
        <w:autoSpaceDE w:val="0"/>
        <w:widowControl/>
        <w:spacing w:line="230" w:lineRule="auto" w:before="46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General disclosures </w:t>
      </w:r>
    </w:p>
    <w:p>
      <w:pPr>
        <w:autoSpaceDN w:val="0"/>
        <w:autoSpaceDE w:val="0"/>
        <w:widowControl/>
        <w:spacing w:line="257" w:lineRule="auto" w:before="142" w:after="0"/>
        <w:ind w:left="0" w:right="458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This presentation is for information purposes only and should not be construed as investment research or a solicitation of any offer to buy </w:t>
      </w:r>
      <w:r>
        <w:rPr>
          <w:spacing w:val="-10.0"/>
          <w:rFonts w:ascii="ArialMT" w:hAnsi="ArialMT" w:eastAsia="ArialMT"/>
          <w:b w:val="0"/>
          <w:i w:val="0"/>
          <w:color w:val="6D6D6D"/>
          <w:sz w:val="16"/>
        </w:rPr>
        <w:t xml:space="preserve">or sell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any security, commodity, futures contract or related derivative (hereafter “instrument”) or to participate in any trading strategy. This presentation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does not constitute a personal recommendation and does not take into account the individual financial circumstances, needs or objectives </w:t>
      </w:r>
      <w:r>
        <w:rPr>
          <w:spacing w:val="-11.428571428571427"/>
          <w:rFonts w:ascii="ArialMT" w:hAnsi="ArialMT" w:eastAsia="ArialMT"/>
          <w:b w:val="0"/>
          <w:i w:val="0"/>
          <w:color w:val="6D6D6D"/>
          <w:sz w:val="16"/>
        </w:rPr>
        <w:t xml:space="preserve">of the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recipients. Recipients should therefore seek their own financial, legal, tax or other advice before deciding to invest in any of the instruments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mentioned in this presentation. </w:t>
      </w:r>
    </w:p>
    <w:p>
      <w:pPr>
        <w:autoSpaceDN w:val="0"/>
        <w:autoSpaceDE w:val="0"/>
        <w:widowControl/>
        <w:spacing w:line="257" w:lineRule="auto" w:before="464" w:after="0"/>
        <w:ind w:left="0" w:right="572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Certain information contained in this presentation has been obtained or derived from third party sources and such information is believed to be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correct and reliable but has not been independently verified. MUFG Securities does not make any guarantee, representation, warranty or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undertaking, express or implied, as to the fairness, accuracy, reliability, completeness, adequacy or appropriateness of any information or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comments contained in this presentation.  Furthermore the information may not be current due to, among other things, changes in </w:t>
      </w:r>
      <w:r>
        <w:rPr>
          <w:spacing w:val="-5.7142857142857135"/>
          <w:rFonts w:ascii="ArialMT" w:hAnsi="ArialMT" w:eastAsia="ArialMT"/>
          <w:b w:val="0"/>
          <w:i w:val="0"/>
          <w:color w:val="6D6D6D"/>
          <w:sz w:val="16"/>
        </w:rPr>
        <w:t xml:space="preserve">the financial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markets or economic environment.  MUFG Securities has no obligation to update any such information contained in this presentation. </w:t>
      </w:r>
    </w:p>
    <w:p>
      <w:pPr>
        <w:autoSpaceDN w:val="0"/>
        <w:autoSpaceDE w:val="0"/>
        <w:widowControl/>
        <w:spacing w:line="247" w:lineRule="auto" w:before="466" w:after="0"/>
        <w:ind w:left="0" w:right="280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This presentation is not intended to forecast or predict future events.  Past performance is not a guarantee or indication of future results.  Any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prices provided herein (other than those identified as being historical) are indicative only and do not represent firm quotes as to either price </w:t>
      </w:r>
      <w:r>
        <w:rPr>
          <w:spacing w:val="-8.88888888888889"/>
          <w:rFonts w:ascii="ArialMT" w:hAnsi="ArialMT" w:eastAsia="ArialMT"/>
          <w:b w:val="0"/>
          <w:i w:val="0"/>
          <w:color w:val="6D6D6D"/>
          <w:sz w:val="16"/>
        </w:rPr>
        <w:t xml:space="preserve">or size. </w:t>
      </w:r>
    </w:p>
    <w:p>
      <w:pPr>
        <w:autoSpaceDN w:val="0"/>
        <w:autoSpaceDE w:val="0"/>
        <w:widowControl/>
        <w:spacing w:line="254" w:lineRule="auto" w:before="144" w:after="0"/>
        <w:ind w:left="0" w:right="324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This presentation is proprietary to MUFG Securities and may not be quoted, circulated or otherwise referred to without our prior written consent.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Notwithstanding this, MUFG Securities shall not be liable in any manner whatsoever for any consequences or loss (including but not limited </w:t>
      </w:r>
      <w:r>
        <w:rPr>
          <w:spacing w:val="-11.428571428571427"/>
          <w:rFonts w:ascii="ArialMT" w:hAnsi="ArialMT" w:eastAsia="ArialMT"/>
          <w:b w:val="0"/>
          <w:i w:val="0"/>
          <w:color w:val="6D6D6D"/>
          <w:sz w:val="16"/>
        </w:rPr>
        <w:t xml:space="preserve">to any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direct, indirect or consequential loss, loss of profits and damages) arising from any reliance on or usage of this presentation and accepts no legal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responsibility to any investor who directly or indirectly receives this material. </w:t>
      </w:r>
    </w:p>
    <w:p>
      <w:pPr>
        <w:autoSpaceDN w:val="0"/>
        <w:autoSpaceDE w:val="0"/>
        <w:widowControl/>
        <w:spacing w:line="233" w:lineRule="auto" w:before="46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Country and region specific disclosures </w:t>
      </w:r>
    </w:p>
    <w:p>
      <w:pPr>
        <w:autoSpaceDN w:val="0"/>
        <w:autoSpaceDE w:val="0"/>
        <w:widowControl/>
        <w:spacing w:line="247" w:lineRule="auto" w:before="144" w:after="0"/>
        <w:ind w:left="0" w:right="396" w:firstLine="0"/>
        <w:jc w:val="center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This presentation is not directed to, or intended for distribution to or use by, any person or entity who is a citizen or resident of or is located </w:t>
      </w:r>
      <w:r>
        <w:rPr>
          <w:spacing w:val="-11.428571428571427"/>
          <w:rFonts w:ascii="ArialMT" w:hAnsi="ArialMT" w:eastAsia="ArialMT"/>
          <w:b w:val="0"/>
          <w:i w:val="0"/>
          <w:color w:val="6D6D6D"/>
          <w:sz w:val="16"/>
        </w:rPr>
        <w:t xml:space="preserve">in any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locality, state, country or other jurisdiction where such distribution, publication, availability or use would be contrary to any law, regulation or rule. </w:t>
      </w:r>
    </w:p>
    <w:p>
      <w:pPr>
        <w:autoSpaceDN w:val="0"/>
        <w:autoSpaceDE w:val="0"/>
        <w:widowControl/>
        <w:spacing w:line="233" w:lineRule="auto" w:before="1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In this regard, please note the following in relation to the jurisdictions in which MUFG Securities has a local presence: </w:t>
      </w:r>
    </w:p>
    <w:p>
      <w:pPr>
        <w:autoSpaceDN w:val="0"/>
        <w:autoSpaceDE w:val="0"/>
        <w:widowControl/>
        <w:spacing w:line="257" w:lineRule="auto" w:before="466" w:after="386"/>
        <w:ind w:left="0" w:right="334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United Kingdom / European Economic Area (EEA):  This presentation is intended for distribution to a “professional client” or </w:t>
      </w:r>
      <w:r>
        <w:rPr>
          <w:spacing w:val="-3.333333333333333"/>
          <w:rFonts w:ascii="ArialMT" w:hAnsi="ArialMT" w:eastAsia="ArialMT"/>
          <w:b w:val="0"/>
          <w:i w:val="0"/>
          <w:color w:val="6D6D6D"/>
          <w:sz w:val="16"/>
        </w:rPr>
        <w:t xml:space="preserve">“eligible counterparty”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as those terms are defined in the rules of the FCA and PRA. In other EEA countries, this presentation is intended only for persons regarded as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professional investors (or equivalent) in their home jurisdiction. This presentation has been prepared in accordance with MUS(EMEA)’s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organisational and administrative arrangements for managing conflicts of interest.  Such arrangements include policies which set out guidelines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relating to the production of research including (but not limited to) restrictions on access to information, personal dealing and inducements.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43"/>
        <w:gridCol w:w="5343"/>
      </w:tblGrid>
      <w:tr>
        <w:trPr>
          <w:trHeight w:hRule="exact" w:val="684"/>
        </w:trPr>
        <w:tc>
          <w:tcPr>
            <w:tcW w:type="dxa" w:w="7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6" w:after="0"/>
              <w:ind w:left="0" w:right="323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D6D6D"/>
                <w:sz w:val="14"/>
              </w:rPr>
              <w:t xml:space="preserve">DESK STRATEGY: MARKET VIEWS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6D6D6D"/>
                <w:sz w:val="14"/>
              </w:rPr>
              <w:t>©2021 Mitsubishi UFJ Financial Group, Inc. All</w:t>
            </w:r>
            <w:r>
              <w:rPr>
                <w:spacing w:val="-4.705882352941177"/>
                <w:rFonts w:ascii="ArialMT" w:hAnsi="ArialMT" w:eastAsia="ArialMT"/>
                <w:b w:val="0"/>
                <w:i w:val="0"/>
                <w:color w:val="6D6D6D"/>
                <w:sz w:val="14"/>
              </w:rPr>
              <w:t xml:space="preserve"> rights reserved.</w:t>
            </w:r>
          </w:p>
        </w:tc>
        <w:tc>
          <w:tcPr>
            <w:tcW w:type="dxa" w:w="3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6" w:after="0"/>
              <w:ind w:left="0" w:right="1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6D6D6D"/>
                <w:sz w:val="14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96" w:right="646" w:bottom="432" w:left="908" w:header="720" w:footer="720" w:gutter="0"/>
          <w:cols w:space="720" w:num="1" w:equalWidth="0">
            <w:col w:w="10686" w:space="0"/>
            <w:col w:w="10686" w:space="0"/>
            <w:col w:w="10782" w:space="0"/>
            <w:col w:w="5308" w:space="0"/>
            <w:col w:w="5474" w:space="0"/>
            <w:col w:w="10782" w:space="0"/>
            <w:col w:w="5410" w:space="0"/>
            <w:col w:w="5372" w:space="0"/>
            <w:col w:w="10782" w:space="0"/>
            <w:col w:w="6292" w:space="0"/>
            <w:col w:w="4678" w:space="0"/>
            <w:col w:w="10970" w:space="0"/>
            <w:col w:w="10970" w:space="0"/>
            <w:col w:w="5264" w:space="0"/>
            <w:col w:w="5706" w:space="0"/>
            <w:col w:w="109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4"/>
        <w:ind w:left="0" w:right="0"/>
      </w:pPr>
    </w:p>
    <w:p>
      <w:pPr>
        <w:autoSpaceDN w:val="0"/>
        <w:autoSpaceDE w:val="0"/>
        <w:widowControl/>
        <w:spacing w:line="247" w:lineRule="auto" w:before="138" w:after="0"/>
        <w:ind w:left="0" w:right="228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United States of America: This presentation, when distributed by MUSA, is intended for Institutional Investors (“Institutional Accounts” as </w:t>
      </w:r>
      <w:r>
        <w:rPr>
          <w:spacing w:val="-7.272727272727273"/>
          <w:rFonts w:ascii="ArialMT" w:hAnsi="ArialMT" w:eastAsia="ArialMT"/>
          <w:b w:val="0"/>
          <w:i w:val="0"/>
          <w:color w:val="6D6D6D"/>
          <w:sz w:val="16"/>
        </w:rPr>
        <w:t xml:space="preserve">defined by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FINRA Rule 4512(c)).  When distributed by a non-US affiliate of MUSA, this presentation is intended for distribution solely to “major U.S. </w:t>
      </w:r>
    </w:p>
    <w:p>
      <w:pPr>
        <w:autoSpaceDN w:val="0"/>
        <w:autoSpaceDE w:val="0"/>
        <w:widowControl/>
        <w:spacing w:line="233" w:lineRule="auto" w:before="2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institutional investors” or “U.S. institutional investors” pursuant to Rule 15a-6 under the U.S. Securities Exchange Act of 1934, as amended. </w:t>
      </w:r>
    </w:p>
    <w:p>
      <w:pPr>
        <w:autoSpaceDN w:val="0"/>
        <w:autoSpaceDE w:val="0"/>
        <w:widowControl/>
        <w:spacing w:line="254" w:lineRule="auto" w:before="22" w:after="0"/>
        <w:ind w:left="0" w:right="316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Securities referenced in this presentation may have been underwritten by MUSA and/or its affiliates.  Nothing in this presentation should be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considered an offer or solicitation of an offer to buy or sell securities or any other financial product or a commitment of any kind with respect </w:t>
      </w:r>
      <w:r>
        <w:rPr>
          <w:spacing w:val="-11.428571428571427"/>
          <w:rFonts w:ascii="ArialMT" w:hAnsi="ArialMT" w:eastAsia="ArialMT"/>
          <w:b w:val="0"/>
          <w:i w:val="0"/>
          <w:color w:val="6D6D6D"/>
          <w:sz w:val="16"/>
        </w:rPr>
        <w:t xml:space="preserve">to any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transaction. </w:t>
      </w:r>
    </w:p>
    <w:p>
      <w:pPr>
        <w:autoSpaceDN w:val="0"/>
        <w:autoSpaceDE w:val="0"/>
        <w:widowControl/>
        <w:spacing w:line="254" w:lineRule="auto" w:before="142" w:after="0"/>
        <w:ind w:left="0" w:right="736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IRS Circular 230 Disclosure:  MUFG Securities does not provide tax advice.  Accordingly, any discussion of U.S. tax matters </w:t>
      </w:r>
      <w:r>
        <w:rPr>
          <w:spacing w:val="-5.0"/>
          <w:rFonts w:ascii="ArialMT" w:hAnsi="ArialMT" w:eastAsia="ArialMT"/>
          <w:b w:val="0"/>
          <w:i w:val="0"/>
          <w:color w:val="6D6D6D"/>
          <w:sz w:val="16"/>
        </w:rPr>
        <w:t xml:space="preserve">included herein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(including any attachments) is not intended or written to be used, and cannot be used, in connection with the promotion, marketing or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recommendation by anyone not affiliated with MUSA of any of the matters addressed herein or for the purpose of avoiding U.S. tax-related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penalties. </w:t>
      </w:r>
    </w:p>
    <w:p>
      <w:pPr>
        <w:autoSpaceDN w:val="0"/>
        <w:autoSpaceDE w:val="0"/>
        <w:widowControl/>
        <w:spacing w:line="247" w:lineRule="auto" w:before="466" w:after="0"/>
        <w:ind w:left="0" w:right="694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Hong Kong: This presentation is only intended for distribution to a “professional investor” as that term is defined in the Securities </w:t>
      </w:r>
      <w:r>
        <w:rPr>
          <w:spacing w:val="-6.666666666666666"/>
          <w:rFonts w:ascii="ArialMT" w:hAnsi="ArialMT" w:eastAsia="ArialMT"/>
          <w:b w:val="0"/>
          <w:i w:val="0"/>
          <w:color w:val="6D6D6D"/>
          <w:sz w:val="16"/>
        </w:rPr>
        <w:t xml:space="preserve">and Futures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Ordinance and should not be passed onto any other person. </w:t>
      </w:r>
    </w:p>
    <w:p>
      <w:pPr>
        <w:autoSpaceDN w:val="0"/>
        <w:autoSpaceDE w:val="0"/>
        <w:widowControl/>
        <w:spacing w:line="259" w:lineRule="auto" w:before="466" w:after="0"/>
        <w:ind w:left="0" w:right="272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Singapore: This presentation is only intended for distribution to an "institutional investor", "accredited investor" or "expert investor" as those terms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are defined under regulation 2 of the Financial Advisers Regulation. It is solely for the use of such investors and shall not be </w:t>
      </w:r>
      <w:r>
        <w:rPr>
          <w:spacing w:val="-3.333333333333333"/>
          <w:rFonts w:ascii="ArialMT" w:hAnsi="ArialMT" w:eastAsia="ArialMT"/>
          <w:b w:val="0"/>
          <w:i w:val="0"/>
          <w:color w:val="6D6D6D"/>
          <w:sz w:val="16"/>
        </w:rPr>
        <w:t xml:space="preserve">distributed, forwarded,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passed on or disseminated to any other person. Investors should note that, as a result of exemptions that apply when this presentation is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distributed to "accredited investors" and "expert investors", MUS(SPR) is exempt from complying with certain requirements under the Financial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Advisers Act, including section 25 of the Financial Advisers Act (which requires a financial adviser to disclose all material information on certain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investment products), section 27 (which requires a financial adviser to have a reasonable basis for making recommendations on investments) and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section 36 (which requires a financial adviser to disclose any interests that it holds in securities that it recommends). </w:t>
      </w:r>
    </w:p>
    <w:p>
      <w:pPr>
        <w:autoSpaceDN w:val="0"/>
        <w:autoSpaceDE w:val="0"/>
        <w:widowControl/>
        <w:spacing w:line="257" w:lineRule="auto" w:before="464" w:after="0"/>
        <w:ind w:left="0" w:right="234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>Japan: This Note, when distributed by MUFG Securities affiliates located outside of Japan, is intended for distribution in accordance with Article 58-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2 of the Financial Instruments Exchange Act 1948 (“FIEA”) i) to a “Financial Instruments Business Operator” engaged in “Securities-Related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Business” as defined in the FIEA or ii)  to the government, the Bank of Japan, a qualified financial institution defined in Article 209 of the Cabinet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Office Ordinance Concerning Financial Instruments Business, Etc., or an Investment Manager. When distributed by Mitsubishi UFJ </w:t>
      </w:r>
      <w:r>
        <w:rPr>
          <w:spacing w:val="-5.333333333333333"/>
          <w:rFonts w:ascii="ArialMT" w:hAnsi="ArialMT" w:eastAsia="ArialMT"/>
          <w:b w:val="0"/>
          <w:i w:val="0"/>
          <w:color w:val="6D6D6D"/>
          <w:sz w:val="16"/>
        </w:rPr>
        <w:t xml:space="preserve">Morgan Stanley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Securities Co., Ltd., this Note is intended for distribution to a “Professional Investor (tokutei-toushika)” as defined in the FIEA. </w:t>
      </w:r>
    </w:p>
    <w:p>
      <w:pPr>
        <w:autoSpaceDN w:val="0"/>
        <w:autoSpaceDE w:val="0"/>
        <w:widowControl/>
        <w:spacing w:line="254" w:lineRule="auto" w:before="462" w:after="0"/>
        <w:ind w:left="0" w:right="634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United Arab Emirates: This presentation is only intended for distribution to a “Professional Client” or “Market Counterparty” as those </w:t>
      </w:r>
      <w:r>
        <w:rPr>
          <w:spacing w:val="-8.0"/>
          <w:rFonts w:ascii="ArialMT" w:hAnsi="ArialMT" w:eastAsia="ArialMT"/>
          <w:b w:val="0"/>
          <w:i w:val="0"/>
          <w:color w:val="6D6D6D"/>
          <w:sz w:val="16"/>
        </w:rPr>
        <w:t xml:space="preserve">terms are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defined under the rules of the Dubai Financial Services Authority and only a person meeting the criteria for these terms should act upon this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presentation. </w:t>
      </w:r>
    </w:p>
    <w:p>
      <w:pPr>
        <w:autoSpaceDN w:val="0"/>
        <w:autoSpaceDE w:val="0"/>
        <w:widowControl/>
        <w:spacing w:line="254" w:lineRule="auto" w:before="142" w:after="0"/>
        <w:ind w:left="0" w:right="300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Australia: This presentation is only intended for distribution to persons in Australia who are sophisticated or professional investors for </w:t>
      </w:r>
      <w:r>
        <w:rPr>
          <w:spacing w:val="-6.153846153846154"/>
          <w:rFonts w:ascii="ArialMT" w:hAnsi="ArialMT" w:eastAsia="ArialMT"/>
          <w:b w:val="0"/>
          <w:i w:val="0"/>
          <w:color w:val="6D6D6D"/>
          <w:sz w:val="16"/>
        </w:rPr>
        <w:t xml:space="preserve">the purposes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of section 708 of the Corporations Act of Australia (“Corporations Act”), and are wholesale clients for the purposes of section 761G of the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Corporations Act. This Note is not intended to be distributed or passed on, directly or indirectly, to any other class of persons in Australia. </w:t>
      </w:r>
    </w:p>
    <w:p>
      <w:pPr>
        <w:autoSpaceDN w:val="0"/>
        <w:autoSpaceDE w:val="0"/>
        <w:widowControl/>
        <w:spacing w:line="257" w:lineRule="auto" w:before="466" w:after="2108"/>
        <w:ind w:left="0" w:right="218" w:firstLine="0"/>
        <w:jc w:val="left"/>
      </w:pP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Other jurisdictions: MUFG Securities also relies on local registrations or regulatory exemptions in order to undertake certain securities business in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other countries. In Thailand, MUS(EMEA) has a derivatives dealer registration with the Securities and Exchange Commission, Thailand. </w:t>
      </w:r>
      <w:r>
        <w:rPr>
          <w:spacing w:val="-7.272727272727273"/>
          <w:rFonts w:ascii="ArialMT" w:hAnsi="ArialMT" w:eastAsia="ArialMT"/>
          <w:b w:val="0"/>
          <w:i w:val="0"/>
          <w:color w:val="6D6D6D"/>
          <w:sz w:val="16"/>
        </w:rPr>
        <w:t xml:space="preserve">In Canada,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MUS(EMEA) and MUSA each operate under an international dealer exemption registered with the securities regulators. MUS(EMEA) operates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under the exemption in Alberta, Quebec, Ontario, British Columbia and Manitoba. MUSA operates under the exemption in all Canadian Provinces </w:t>
      </w:r>
      <w:r>
        <w:rPr>
          <w:rFonts w:ascii="ArialMT" w:hAnsi="ArialMT" w:eastAsia="ArialMT"/>
          <w:b w:val="0"/>
          <w:i w:val="0"/>
          <w:color w:val="6D6D6D"/>
          <w:sz w:val="16"/>
        </w:rPr>
        <w:t xml:space="preserve">and Territories.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43"/>
        <w:gridCol w:w="5343"/>
      </w:tblGrid>
      <w:tr>
        <w:trPr>
          <w:trHeight w:hRule="exact" w:val="2404"/>
        </w:trPr>
        <w:tc>
          <w:tcPr>
            <w:tcW w:type="dxa" w:w="7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06" w:after="0"/>
              <w:ind w:left="0" w:right="323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D6D6D"/>
                <w:sz w:val="14"/>
              </w:rPr>
              <w:t xml:space="preserve">DESK STRATEGY: MARKET VIEWS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6D6D6D"/>
                <w:sz w:val="14"/>
              </w:rPr>
              <w:t>©2021 Mitsubishi UFJ Financial Group, Inc. All</w:t>
            </w:r>
            <w:r>
              <w:rPr>
                <w:spacing w:val="-4.705882352941177"/>
                <w:rFonts w:ascii="ArialMT" w:hAnsi="ArialMT" w:eastAsia="ArialMT"/>
                <w:b w:val="0"/>
                <w:i w:val="0"/>
                <w:color w:val="6D6D6D"/>
                <w:sz w:val="14"/>
              </w:rPr>
              <w:t xml:space="preserve"> rights reserved.</w:t>
            </w:r>
          </w:p>
        </w:tc>
        <w:tc>
          <w:tcPr>
            <w:tcW w:type="dxa" w:w="3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06" w:after="0"/>
              <w:ind w:left="0" w:right="1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6D6D6D"/>
                <w:sz w:val="14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96" w:right="646" w:bottom="432" w:left="908" w:header="720" w:footer="720" w:gutter="0"/>
          <w:cols w:space="720" w:num="1" w:equalWidth="0">
            <w:col w:w="10686" w:space="0"/>
            <w:col w:w="10686" w:space="0"/>
            <w:col w:w="10686" w:space="0"/>
            <w:col w:w="10782" w:space="0"/>
            <w:col w:w="5308" w:space="0"/>
            <w:col w:w="5474" w:space="0"/>
            <w:col w:w="10782" w:space="0"/>
            <w:col w:w="5410" w:space="0"/>
            <w:col w:w="5372" w:space="0"/>
            <w:col w:w="10782" w:space="0"/>
            <w:col w:w="6292" w:space="0"/>
            <w:col w:w="4678" w:space="0"/>
            <w:col w:w="10970" w:space="0"/>
            <w:col w:w="10970" w:space="0"/>
            <w:col w:w="5264" w:space="0"/>
            <w:col w:w="5706" w:space="0"/>
            <w:col w:w="109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</w:p>
    <w:p>
      <w:pPr>
        <w:autoSpaceDN w:val="0"/>
        <w:autoSpaceDE w:val="0"/>
        <w:widowControl/>
        <w:spacing w:line="2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51.9999999999999" w:type="dxa"/>
      </w:tblPr>
      <w:tblGrid>
        <w:gridCol w:w="4509"/>
        <w:gridCol w:w="4509"/>
      </w:tblGrid>
      <w:tr>
        <w:trPr>
          <w:trHeight w:hRule="exact" w:val="490"/>
        </w:trPr>
        <w:tc>
          <w:tcPr>
            <w:tcW w:type="dxa" w:w="39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8" w:after="0"/>
              <w:ind w:left="352" w:right="0" w:firstLine="0"/>
              <w:jc w:val="left"/>
            </w:pPr>
            <w:r>
              <w:rPr>
                <w:w w:val="102.84974575042725"/>
                <w:rFonts w:ascii="SEB SansSerif" w:hAnsi="SEB SansSerif" w:eastAsia="SEB SansSerif"/>
                <w:b w:val="0"/>
                <w:i w:val="0"/>
                <w:color w:val="444444"/>
                <w:sz w:val="16"/>
              </w:rPr>
              <w:t xml:space="preserve">Macro &amp; FICC Research </w:t>
            </w:r>
          </w:p>
        </w:tc>
        <w:tc>
          <w:tcPr>
            <w:tcW w:type="dxa" w:w="43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8" w:after="0"/>
              <w:ind w:left="0" w:right="352" w:firstLine="0"/>
              <w:jc w:val="right"/>
            </w:pPr>
            <w:r>
              <w:rPr>
                <w:w w:val="102.84974575042725"/>
                <w:rFonts w:ascii="SEB SansSerif" w:hAnsi="SEB SansSerif" w:eastAsia="SEB SansSerif"/>
                <w:b w:val="0"/>
                <w:i w:val="0"/>
                <w:color w:val="444444"/>
                <w:sz w:val="16"/>
              </w:rPr>
              <w:t>Published: 2021�09�23 07�29</w:t>
            </w:r>
          </w:p>
        </w:tc>
      </w:tr>
      <w:tr>
        <w:trPr>
          <w:trHeight w:hRule="exact" w:val="1470"/>
        </w:trPr>
        <w:tc>
          <w:tcPr>
            <w:tcW w:type="dxa" w:w="39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352" w:right="0" w:firstLine="0"/>
              <w:jc w:val="left"/>
            </w:pPr>
            <w:r>
              <w:rPr>
                <w:rFonts w:ascii="SEB SansSerif" w:hAnsi="SEB SansSerif" w:eastAsia="SEB SansSerif"/>
                <w:b/>
                <w:i w:val="0"/>
                <w:color w:val="212121"/>
                <w:sz w:val="33"/>
              </w:rPr>
              <w:t>Nordic Alert</w:t>
            </w:r>
          </w:p>
        </w:tc>
        <w:tc>
          <w:tcPr>
            <w:tcW w:type="dxa" w:w="43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35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83589" cy="78359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589" cy="783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00" w:after="0"/>
        <w:ind w:left="746" w:right="1026" w:firstLine="0"/>
        <w:jc w:val="left"/>
      </w:pPr>
      <w:r>
        <w:rPr>
          <w:w w:val="97.95214335123697"/>
          <w:rFonts w:ascii="SEB SansSerif" w:hAnsi="SEB SansSerif" w:eastAsia="SEB SansSerif"/>
          <w:b/>
          <w:i w:val="0"/>
          <w:color w:val="212121"/>
          <w:sz w:val="21"/>
        </w:rPr>
        <w:t xml:space="preserve">Fed signals tapering decision in November – Norges Bank expected to </w:t>
      </w:r>
      <w:r>
        <w:rPr>
          <w:spacing w:val="-7.272727272727273"/>
          <w:w w:val="97.95214335123697"/>
          <w:rFonts w:ascii="SEB SansSerif" w:hAnsi="SEB SansSerif" w:eastAsia="SEB SansSerif"/>
          <w:b/>
          <w:i w:val="0"/>
          <w:color w:val="212121"/>
          <w:sz w:val="21"/>
        </w:rPr>
        <w:t xml:space="preserve">hike rates </w:t>
      </w:r>
      <w:r>
        <w:rPr>
          <w:w w:val="97.95214335123697"/>
          <w:rFonts w:ascii="SEB SansSerif" w:hAnsi="SEB SansSerif" w:eastAsia="SEB SansSerif"/>
          <w:b/>
          <w:i w:val="0"/>
          <w:color w:val="212121"/>
          <w:sz w:val="21"/>
        </w:rPr>
        <w:t>today</w:t>
      </w:r>
    </w:p>
    <w:p>
      <w:pPr>
        <w:autoSpaceDN w:val="0"/>
        <w:autoSpaceDE w:val="0"/>
        <w:widowControl/>
        <w:spacing w:line="240" w:lineRule="auto" w:before="156" w:after="0"/>
        <w:ind w:left="746" w:right="0" w:firstLine="0"/>
        <w:jc w:val="left"/>
      </w:pPr>
      <w:r>
        <w:rPr>
          <w:w w:val="97.95214335123697"/>
          <w:rFonts w:ascii="SEB SansSerif" w:hAnsi="SEB SansSerif" w:eastAsia="SEB SansSerif"/>
          <w:b/>
          <w:i w:val="0"/>
          <w:color w:val="212121"/>
          <w:sz w:val="21"/>
        </w:rPr>
        <w:t>Global key stories</w:t>
      </w:r>
    </w:p>
    <w:p>
      <w:pPr>
        <w:autoSpaceDN w:val="0"/>
        <w:autoSpaceDE w:val="0"/>
        <w:widowControl/>
        <w:spacing w:line="286" w:lineRule="auto" w:before="186" w:after="0"/>
        <w:ind w:left="746" w:right="760" w:firstLine="0"/>
        <w:jc w:val="left"/>
      </w:pP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 xml:space="preserve">Yesterday’s FOMC meeting was slightly more hawkish than generally expected with the Fed now signalling a 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 xml:space="preserve">tapering decision at its 2�3 November meeting. Fed “dots” became more hawkish with half of the committee 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now seeing a first rate hike already next year and the median forecast suggesting that rates will move back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 xml:space="preserve">to the pre-pandemic levels of 1.75�2.00% by end�2024 (read more in our Fed review </w:t>
      </w:r>
      <w:r>
        <w:rPr>
          <w:w w:val="102.84974575042725"/>
          <w:rFonts w:ascii="SEB SansSerif" w:hAnsi="SEB SansSerif" w:eastAsia="SEB SansSerif"/>
          <w:b w:val="0"/>
          <w:i w:val="0"/>
          <w:color w:val="333333"/>
          <w:sz w:val="16"/>
        </w:rPr>
        <w:hyperlink r:id="rId19" w:history="1">
          <w:r>
            <w:rPr>
              <w:rStyle w:val="Hyperlink"/>
            </w:rPr>
            <w:t>here</w:t>
          </w:r>
        </w:hyperlink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 xml:space="preserve">). The implied 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probability for a 25bps rate hike by end�2022 priced by fed funds futures jumped from 75% to 95%, the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dollar gained slightly, and the 10y Treasury yield returned to pre-FOMC levels after an initial spike higher.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Interestingly, while the yield curve flattened, the market pricing for short rates for the coming 3�5 years did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 xml:space="preserve">not increase, meaning that the OIS market is pricing a faster pace of hikes in the beginning but no more hikes 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 xml:space="preserve">than before over a longer term. We have been arguing in SEB FI &amp; FX Strategy </w:t>
      </w:r>
      <w:r>
        <w:rPr>
          <w:w w:val="102.84974575042725"/>
          <w:rFonts w:ascii="SEB SansSerif" w:hAnsi="SEB SansSerif" w:eastAsia="SEB SansSerif"/>
          <w:b w:val="0"/>
          <w:i w:val="0"/>
          <w:color w:val="333333"/>
          <w:sz w:val="16"/>
        </w:rPr>
        <w:hyperlink r:id="rId20" w:history="1">
          <w:r>
            <w:rPr>
              <w:rStyle w:val="Hyperlink"/>
            </w:rPr>
            <w:t>reports</w:t>
          </w:r>
        </w:hyperlink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 xml:space="preserve"> that long term</w:t>
      </w:r>
      <w:r>
        <w:rPr>
          <w:spacing w:val="-8.0"/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 xml:space="preserve"> rate hike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expectations (terminal rate) are likely to rise meaningfully only when the growth anxiety fades and the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 xml:space="preserve">market sentiment turns better. With weaker macro data and China risk as headwinds, we think this will take 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some time and continue to target the 10y Treasury yield at 1.50% at the end of this year. US stock markets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advanced around 1% after four days of declines in major indices, and the US index futures are pointing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 xml:space="preserve">cautiously higher. Most Asian markets are edging higher this morning, aided by the PBoC’s liquidity injection 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and hopes that a disorderly collapse of Evergrande Group can be avoided. The company said that it has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resolved a domestic bond coupon payment due today and the imminent focus is now on a USD 83.5 million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 xml:space="preserve">coupon on a dollar bond also due today. According to media reports, Chinese authorities are preparing for a 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restructuring where the state may take over Evergrande and divide the company into three parts and merge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them with state-owned companies. According to Bloomberg, Evergrande Group has USD 669 million of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 xml:space="preserve">interest due in dollar bonds through the end of this year and USD 7.4bn in maturing dollar bonds in 2022. 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Today’s macro focus will be on PMI data for September and BOE’s rate decision.</w:t>
      </w:r>
    </w:p>
    <w:p>
      <w:pPr>
        <w:autoSpaceDN w:val="0"/>
        <w:autoSpaceDE w:val="0"/>
        <w:widowControl/>
        <w:spacing w:line="240" w:lineRule="auto" w:before="206" w:after="0"/>
        <w:ind w:left="746" w:right="0" w:firstLine="0"/>
        <w:jc w:val="left"/>
      </w:pPr>
      <w:r>
        <w:rPr>
          <w:w w:val="102.84974575042725"/>
          <w:rFonts w:ascii="SEB SansSerif" w:hAnsi="SEB SansSerif" w:eastAsia="SEB SansSerif"/>
          <w:b/>
          <w:i w:val="0"/>
          <w:color w:val="444444"/>
          <w:sz w:val="16"/>
        </w:rPr>
        <w:t xml:space="preserve">BOE moving towards the exit. 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The MPC is split but the balance is shifting towards a start of a normalization</w:t>
      </w:r>
    </w:p>
    <w:p>
      <w:pPr>
        <w:autoSpaceDN w:val="0"/>
        <w:autoSpaceDE w:val="0"/>
        <w:widowControl/>
        <w:spacing w:line="278" w:lineRule="auto" w:before="40" w:after="0"/>
        <w:ind w:left="746" w:right="930" w:firstLine="0"/>
        <w:jc w:val="left"/>
      </w:pP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process. BOE’s new Chief Economist Pill is known to be critical on a too extensive QE policy and Governor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 xml:space="preserve">Bailey has said that economic conditions to warrant a rate hike ware met already in August, despite a 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unanimous vote to keep rates unchanged. We believe that the MPC will decide to end asset purchases and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pave the way for a small rate hike in 2022. We expect a moderation of further sterling</w:t>
      </w:r>
      <w:r>
        <w:rPr>
          <w:spacing w:val="-3.8095238095238093"/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 xml:space="preserve"> appreciation, aiming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EUR/GBP at 0.84 and 0.81 in end�2021 and 2022, respectively.</w:t>
      </w:r>
    </w:p>
    <w:p>
      <w:pPr>
        <w:autoSpaceDN w:val="0"/>
        <w:autoSpaceDE w:val="0"/>
        <w:widowControl/>
        <w:spacing w:line="238" w:lineRule="auto" w:before="206" w:after="0"/>
        <w:ind w:left="746" w:right="0" w:firstLine="0"/>
        <w:jc w:val="left"/>
      </w:pPr>
      <w:r>
        <w:rPr>
          <w:w w:val="102.84974575042725"/>
          <w:rFonts w:ascii="SEB SansSerif" w:hAnsi="SEB SansSerif" w:eastAsia="SEB SansSerif"/>
          <w:b/>
          <w:i w:val="0"/>
          <w:color w:val="444444"/>
          <w:sz w:val="16"/>
        </w:rPr>
        <w:t>PMI-day.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 xml:space="preserve"> In the euro area, composite PMI took a small step lower in August as services joined the slight</w:t>
      </w:r>
    </w:p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decline in manufacturing but levels are still strong though for most components. For manufacturing, the major</w:t>
      </w:r>
    </w:p>
    <w:p>
      <w:pPr>
        <w:autoSpaceDN w:val="0"/>
        <w:autoSpaceDE w:val="0"/>
        <w:widowControl/>
        <w:spacing w:line="240" w:lineRule="auto" w:before="40" w:after="0"/>
        <w:ind w:left="746" w:right="0" w:firstLine="0"/>
        <w:jc w:val="left"/>
      </w:pP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four euro area economies’ production is still below, or close to pre-pandemic levels. For services, the outlook</w:t>
      </w:r>
    </w:p>
    <w:p>
      <w:pPr>
        <w:autoSpaceDN w:val="0"/>
        <w:autoSpaceDE w:val="0"/>
        <w:widowControl/>
        <w:spacing w:line="281" w:lineRule="auto" w:before="42" w:after="0"/>
        <w:ind w:left="746" w:right="782" w:firstLine="0"/>
        <w:jc w:val="left"/>
      </w:pP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is mixed. The summer has been a clear improvement compared to last year, but things are still not back to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 xml:space="preserve">normal and the Delta wave remains a headwind. In the US, sentiment indicators signal that </w:t>
      </w:r>
      <w:r>
        <w:rPr>
          <w:spacing w:val="-4.705882352941177"/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 xml:space="preserve">US manufacturing 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has lost some momentum recently but remain in clear expansionary territory with strong demand but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continued supply disturbances. Price indexes have remained elevated. Services PMI declined already in July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and is more at risk from the spread of the Delta variant. However, retail sales data for August suggest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consumers remain resilient. PMI services prices peaked in May but have remained high.</w:t>
      </w:r>
    </w:p>
    <w:p>
      <w:pPr>
        <w:autoSpaceDN w:val="0"/>
        <w:autoSpaceDE w:val="0"/>
        <w:widowControl/>
        <w:spacing w:line="240" w:lineRule="auto" w:before="174" w:after="0"/>
        <w:ind w:left="746" w:right="0" w:firstLine="0"/>
        <w:jc w:val="left"/>
      </w:pPr>
      <w:r>
        <w:rPr>
          <w:w w:val="97.95214335123697"/>
          <w:rFonts w:ascii="SEB SansSerif" w:hAnsi="SEB SansSerif" w:eastAsia="SEB SansSerif"/>
          <w:b/>
          <w:i w:val="0"/>
          <w:color w:val="212121"/>
          <w:sz w:val="21"/>
        </w:rPr>
        <w:t>Nordic key stories</w:t>
      </w:r>
    </w:p>
    <w:p>
      <w:pPr>
        <w:autoSpaceDN w:val="0"/>
        <w:autoSpaceDE w:val="0"/>
        <w:widowControl/>
        <w:spacing w:line="240" w:lineRule="auto" w:before="184" w:after="0"/>
        <w:ind w:left="746" w:right="0" w:firstLine="0"/>
        <w:jc w:val="left"/>
      </w:pPr>
      <w:r>
        <w:rPr>
          <w:w w:val="102.84974575042725"/>
          <w:rFonts w:ascii="SEB SansSerif" w:hAnsi="SEB SansSerif" w:eastAsia="SEB SansSerif"/>
          <w:b/>
          <w:i w:val="0"/>
          <w:color w:val="444444"/>
          <w:sz w:val="16"/>
        </w:rPr>
        <w:t xml:space="preserve">Norges Bank: Rate hike and slightly higher rate path. 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Norges Bank is widely expected to hike the policy</w:t>
      </w:r>
    </w:p>
    <w:p>
      <w:pPr>
        <w:autoSpaceDN w:val="0"/>
        <w:autoSpaceDE w:val="0"/>
        <w:widowControl/>
        <w:spacing w:line="240" w:lineRule="auto" w:before="42" w:after="0"/>
        <w:ind w:left="746" w:right="0" w:firstLine="0"/>
        <w:jc w:val="left"/>
      </w:pP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rate today by 25bps to 0.25% and strong economic developments suggest that also the rate path will be</w:t>
      </w:r>
    </w:p>
    <w:p>
      <w:pPr>
        <w:autoSpaceDN w:val="0"/>
        <w:autoSpaceDE w:val="0"/>
        <w:widowControl/>
        <w:spacing w:line="271" w:lineRule="auto" w:before="40" w:after="0"/>
        <w:ind w:left="746" w:right="834" w:firstLine="0"/>
        <w:jc w:val="left"/>
      </w:pP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revised somewhat higher. However, while lower unemployment and rising capacity constraints</w:t>
      </w:r>
      <w:r>
        <w:rPr>
          <w:spacing w:val="-6.153846153846154"/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 xml:space="preserve"> are expected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 xml:space="preserve">to push wages higher, the latest increase in electricity prices is a downside risk to domestic demand and 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could potentially become a factor that can affect the interest rate trajectory during next year. We think the</w:t>
      </w:r>
    </w:p>
    <w:p>
      <w:pPr>
        <w:sectPr>
          <w:pgSz w:w="11899" w:h="16838"/>
          <w:pgMar w:top="560" w:right="1440" w:bottom="0" w:left="1440" w:header="720" w:footer="720" w:gutter="0"/>
          <w:cols w:space="720" w:num="1" w:equalWidth="0">
            <w:col w:w="9020" w:space="0"/>
            <w:col w:w="10686" w:space="0"/>
            <w:col w:w="10686" w:space="0"/>
            <w:col w:w="10686" w:space="0"/>
            <w:col w:w="10782" w:space="0"/>
            <w:col w:w="5308" w:space="0"/>
            <w:col w:w="5474" w:space="0"/>
            <w:col w:w="10782" w:space="0"/>
            <w:col w:w="5410" w:space="0"/>
            <w:col w:w="5372" w:space="0"/>
            <w:col w:w="10782" w:space="0"/>
            <w:col w:w="6292" w:space="0"/>
            <w:col w:w="4678" w:space="0"/>
            <w:col w:w="10970" w:space="0"/>
            <w:col w:w="10970" w:space="0"/>
            <w:col w:w="5264" w:space="0"/>
            <w:col w:w="5706" w:space="0"/>
            <w:col w:w="10970" w:space="0"/>
          </w:cols>
          <w:docGrid w:linePitch="360"/>
        </w:sectPr>
      </w:pPr>
    </w:p>
    <w:p>
      <w:pPr>
        <w:autoSpaceDN w:val="0"/>
        <w:autoSpaceDE w:val="0"/>
        <w:widowControl/>
        <w:spacing w:line="-1345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14594" w:after="0"/>
        <w:ind w:left="0" w:right="0" w:firstLine="0"/>
        <w:jc w:val="center"/>
      </w:pP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positive factors dominate for now and stick to our forecast of a policy rate at 1.25% in end�2022 and 1.50%</w:t>
      </w:r>
    </w:p>
    <w:p>
      <w:pPr>
        <w:autoSpaceDN w:val="0"/>
        <w:autoSpaceDE w:val="0"/>
        <w:widowControl/>
        <w:spacing w:line="240" w:lineRule="auto" w:before="42" w:after="0"/>
        <w:ind w:left="746" w:right="0" w:firstLine="0"/>
        <w:jc w:val="left"/>
      </w:pP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in end�2023. After the market pricing turned more hawkish in recent weeks, we think the short end of the</w:t>
      </w:r>
    </w:p>
    <w:p>
      <w:pPr>
        <w:autoSpaceDN w:val="0"/>
        <w:autoSpaceDE w:val="0"/>
        <w:widowControl/>
        <w:spacing w:line="240" w:lineRule="auto" w:before="40" w:after="0"/>
        <w:ind w:left="746" w:right="0" w:firstLine="0"/>
        <w:jc w:val="left"/>
      </w:pP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NOK curve looks attractive to receive at these levels. Deteriorating risk appetite have stolen the limelight</w:t>
      </w:r>
    </w:p>
    <w:p>
      <w:pPr>
        <w:autoSpaceDN w:val="0"/>
        <w:autoSpaceDE w:val="0"/>
        <w:widowControl/>
        <w:spacing w:line="238" w:lineRule="auto" w:before="42" w:after="0"/>
        <w:ind w:left="746" w:right="0" w:firstLine="0"/>
        <w:jc w:val="left"/>
      </w:pP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 xml:space="preserve">from Norges Bank and pushed EUR/NOK clearly higher in recent days. Read more in </w:t>
      </w:r>
      <w:r>
        <w:rPr>
          <w:w w:val="102.84974575042725"/>
          <w:rFonts w:ascii="SEB SansSerif" w:hAnsi="SEB SansSerif" w:eastAsia="SEB SansSerif"/>
          <w:b w:val="0"/>
          <w:i w:val="0"/>
          <w:color w:val="333333"/>
          <w:sz w:val="16"/>
        </w:rPr>
        <w:hyperlink r:id="rId21" w:history="1">
          <w:r>
            <w:rPr>
              <w:rStyle w:val="Hyperlink"/>
            </w:rPr>
            <w:t>What’s up, Norway</w:t>
          </w:r>
        </w:hyperlink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.</w:t>
      </w:r>
    </w:p>
    <w:p>
      <w:pPr>
        <w:autoSpaceDN w:val="0"/>
        <w:autoSpaceDE w:val="0"/>
        <w:widowControl/>
        <w:spacing w:line="240" w:lineRule="auto" w:before="206" w:after="0"/>
        <w:ind w:left="746" w:right="0" w:firstLine="0"/>
        <w:jc w:val="left"/>
      </w:pPr>
      <w:r>
        <w:rPr>
          <w:w w:val="102.84974575042725"/>
          <w:rFonts w:ascii="SEB SansSerif" w:hAnsi="SEB SansSerif" w:eastAsia="SEB SansSerif"/>
          <w:b/>
          <w:i w:val="0"/>
          <w:color w:val="444444"/>
          <w:sz w:val="16"/>
        </w:rPr>
        <w:t>Risk/reward favours an upside in EUR/NOK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. Fully priced hike in the rates market and expectations on a</w:t>
      </w:r>
    </w:p>
    <w:p>
      <w:pPr>
        <w:autoSpaceDN w:val="0"/>
        <w:autoSpaceDE w:val="0"/>
        <w:widowControl/>
        <w:spacing w:line="276" w:lineRule="auto" w:before="42" w:after="0"/>
        <w:ind w:left="746" w:right="810" w:firstLine="0"/>
        <w:jc w:val="left"/>
      </w:pP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more hawkish rate path provides little room for a hawkish surprise and much more for a dovish one. Norges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 xml:space="preserve">Bank weekly flows show that foreigners have added plenty of NOK the past four weeks making </w:t>
      </w:r>
      <w:r>
        <w:rPr>
          <w:spacing w:val="-5.7142857142857135"/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 xml:space="preserve">positioning a 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bit more sensitive for an adverse move, i.e. higher EUR/NOK. Long-term drift is higher in EUR/NOK. October</w:t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seasonality for EUR/NOK points also higher as the currency pair has risen in October for five straight years.</w:t>
      </w:r>
    </w:p>
    <w:p>
      <w:pPr>
        <w:autoSpaceDN w:val="0"/>
        <w:autoSpaceDE w:val="0"/>
        <w:widowControl/>
        <w:spacing w:line="240" w:lineRule="auto" w:before="174" w:after="0"/>
        <w:ind w:left="746" w:right="0" w:firstLine="0"/>
        <w:jc w:val="left"/>
      </w:pPr>
      <w:r>
        <w:rPr>
          <w:w w:val="97.95214335123697"/>
          <w:rFonts w:ascii="SEB SansSerif" w:hAnsi="SEB SansSerif" w:eastAsia="SEB SansSerif"/>
          <w:b/>
          <w:i w:val="0"/>
          <w:color w:val="212121"/>
          <w:sz w:val="21"/>
        </w:rPr>
        <w:t>Today's key events</w:t>
      </w:r>
    </w:p>
    <w:p>
      <w:pPr>
        <w:autoSpaceDN w:val="0"/>
        <w:autoSpaceDE w:val="0"/>
        <w:widowControl/>
        <w:spacing w:line="240" w:lineRule="auto" w:before="184" w:after="0"/>
        <w:ind w:left="746" w:right="0" w:firstLine="0"/>
        <w:jc w:val="left"/>
      </w:pP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 xml:space="preserve">Chart package for the most important events this week </w:t>
      </w:r>
      <w:r>
        <w:rPr>
          <w:w w:val="102.84974575042725"/>
          <w:rFonts w:ascii="SEB SansSerif" w:hAnsi="SEB SansSerif" w:eastAsia="SEB SansSerif"/>
          <w:b w:val="0"/>
          <w:i w:val="0"/>
          <w:color w:val="333333"/>
          <w:sz w:val="16"/>
        </w:rPr>
        <w:hyperlink r:id="rId22" w:history="1">
          <w:r>
            <w:rPr>
              <w:rStyle w:val="Hyperlink"/>
            </w:rPr>
            <w:t>here</w:t>
          </w:r>
        </w:hyperlink>
      </w:r>
    </w:p>
    <w:p>
      <w:pPr>
        <w:autoSpaceDN w:val="0"/>
        <w:autoSpaceDE w:val="0"/>
        <w:widowControl/>
        <w:spacing w:line="240" w:lineRule="auto" w:before="186" w:after="0"/>
        <w:ind w:left="7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18660" cy="24688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4" w:after="0"/>
        <w:ind w:left="746" w:right="0" w:firstLine="0"/>
        <w:jc w:val="left"/>
      </w:pPr>
      <w:r>
        <w:rPr>
          <w:w w:val="97.95214335123697"/>
          <w:rFonts w:ascii="SEB SansSerif" w:hAnsi="SEB SansSerif" w:eastAsia="SEB SansSerif"/>
          <w:b/>
          <w:i w:val="0"/>
          <w:color w:val="212121"/>
          <w:sz w:val="21"/>
        </w:rPr>
        <w:t>Market data</w:t>
      </w:r>
    </w:p>
    <w:p>
      <w:pPr>
        <w:autoSpaceDN w:val="0"/>
        <w:autoSpaceDE w:val="0"/>
        <w:widowControl/>
        <w:spacing w:line="240" w:lineRule="auto" w:before="166" w:after="0"/>
        <w:ind w:left="7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72000" cy="12725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2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814" w:after="0"/>
        <w:ind w:left="828" w:right="6772" w:firstLine="0"/>
        <w:jc w:val="left"/>
      </w:pPr>
      <w:r>
        <w:rPr>
          <w:w w:val="102.84974575042725"/>
          <w:rFonts w:ascii="SEB SansSerif" w:hAnsi="SEB SansSerif" w:eastAsia="SEB SansSerif"/>
          <w:b/>
          <w:i w:val="0"/>
          <w:color w:val="444444"/>
          <w:sz w:val="16"/>
        </w:rPr>
        <w:t>Jussi Hiljanen</w:t>
      </w:r>
      <w:r>
        <w:br/>
      </w:r>
      <w:r>
        <w:rPr>
          <w:spacing w:val="-3.8095238095238093"/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jussi.hiljanen@seb.fi</w:t>
      </w:r>
      <w:r>
        <w:br/>
      </w:r>
      <w:r>
        <w:rPr>
          <w:w w:val="102.84974575042725"/>
          <w:rFonts w:ascii="SEB SansSerif" w:hAnsi="SEB SansSerif" w:eastAsia="SEB SansSerif"/>
          <w:b w:val="0"/>
          <w:i w:val="0"/>
          <w:color w:val="444444"/>
          <w:sz w:val="16"/>
        </w:rPr>
        <w:t>�46850623167</w:t>
      </w:r>
    </w:p>
    <w:sectPr w:rsidR="00FC693F" w:rsidRPr="0006063C" w:rsidSect="00034616">
      <w:pgSz w:w="11899" w:h="16838"/>
      <w:pgMar w:top="0" w:right="1440" w:bottom="1440" w:left="1440" w:header="720" w:footer="720" w:gutter="0"/>
      <w:cols w:space="720" w:num="1" w:equalWidth="0">
        <w:col w:w="9020" w:space="0"/>
        <w:col w:w="9020" w:space="0"/>
        <w:col w:w="10686" w:space="0"/>
        <w:col w:w="10686" w:space="0"/>
        <w:col w:w="10686" w:space="0"/>
        <w:col w:w="10782" w:space="0"/>
        <w:col w:w="5308" w:space="0"/>
        <w:col w:w="5474" w:space="0"/>
        <w:col w:w="10782" w:space="0"/>
        <w:col w:w="5410" w:space="0"/>
        <w:col w:w="5372" w:space="0"/>
        <w:col w:w="10782" w:space="0"/>
        <w:col w:w="6292" w:space="0"/>
        <w:col w:w="4678" w:space="0"/>
        <w:col w:w="10970" w:space="0"/>
        <w:col w:w="10970" w:space="0"/>
        <w:col w:w="5264" w:space="0"/>
        <w:col w:w="5706" w:space="0"/>
        <w:col w:w="1097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george.goncalves@mufgsecurities.co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market-research.bk.mufg.jp/distribution/46223_ext_01_en_0.pdf" TargetMode="Externa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s://research.sebgroup.com/macro-ficc/reports/19380" TargetMode="External"/><Relationship Id="rId20" Type="http://schemas.openxmlformats.org/officeDocument/2006/relationships/hyperlink" Target="https://research.sebgroup.com/macro-ficc/reports?nbRows=10&amp;language=English&amp;reportType=SEB%20FI%20%26%20FX%20Strategy" TargetMode="External"/><Relationship Id="rId21" Type="http://schemas.openxmlformats.org/officeDocument/2006/relationships/hyperlink" Target="https://research.sebgroup.com/macro-ficc/reports/19333" TargetMode="External"/><Relationship Id="rId22" Type="http://schemas.openxmlformats.org/officeDocument/2006/relationships/hyperlink" Target="https://research.sebgroup.com/api/attachments/kF2PZ56YCUiS6KgzXzZOEQ.pdf" TargetMode="External"/><Relationship Id="rId23" Type="http://schemas.openxmlformats.org/officeDocument/2006/relationships/image" Target="media/image9.png"/><Relationship Id="rId2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