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Helvetica" w:hAnsi="Helvetica"/>
          <w:b/>
          <w:color w:val="112A40"/>
          <w:sz w:val="30"/>
        </w:rPr>
        <w:t>FPPN : note interne sur l'entretien provisions</w:t>
      </w:r>
    </w:p>
    <w:p>
      <w:r>
        <w:rPr>
          <w:b/>
          <w:i w:val="0"/>
        </w:rPr>
        <w:t>Document interne Adenka. Confidentiel. Ne pas diffuser au client.</w:t>
      </w:r>
    </w:p>
    <w:p>
      <w:r>
        <w:rPr>
          <w:b w:val="0"/>
          <w:i w:val="0"/>
        </w:rPr>
        <w:t>Entretien du 19 octobre 2026, à 16h, avec M. Koffi, chef comptable. Participants Adenka : Issa Bamba et Jean-Noël Sialou.</w:t>
      </w:r>
    </w:p>
    <w:p>
      <w:r>
        <w:rPr>
          <w:b w:val="0"/>
          <w:i/>
        </w:rPr>
        <w:t>Objet : consigner, de façon factuelle et neutre, les éléments sensibles relevés pendant l'entretien et non repris tels quels dans le compte rendu destiné au client.</w:t>
      </w:r>
    </w:p>
    <w:p>
      <w:r>
        <w:rPr>
          <w:rFonts w:ascii="Helvetica" w:hAnsi="Helvetica"/>
          <w:b/>
          <w:color w:val="EFAC62"/>
          <w:sz w:val="24"/>
        </w:rPr>
        <w:t>1. Provisions héritées</w:t>
      </w:r>
    </w:p>
    <w:p>
      <w:pPr>
        <w:pStyle w:val="ListBullet"/>
      </w:pPr>
      <w:r>
        <w:t>Les provisions maladie (2 867 602 878 FCFA) et obsèques (1 961 695 412 FCFA) auraient été passées vers 2004, avant le PCMS, selon une méthode de l'époque, en fin d'année après les travaux du commissaire aux comptes.</w:t>
      </w:r>
    </w:p>
    <w:p>
      <w:pPr>
        <w:pStyle w:val="ListBullet"/>
      </w:pPr>
      <w:r>
        <w:t>Plusieurs tentatives d'annulation n'ont pas abouti. Les archives auraient été perdues lors d'un sinistre en 2010.</w:t>
      </w:r>
    </w:p>
    <w:p>
      <w:pPr>
        <w:pStyle w:val="ListBullet"/>
      </w:pPr>
      <w:r>
        <w:t>Personne ne peut aujourd'hui justifier ces montants. Leur reprise ou leur maintien a un effet direct sur le résultat et les fonds propres.</w:t>
      </w:r>
    </w:p>
    <w:p>
      <w:r>
        <w:rPr>
          <w:rFonts w:ascii="Helvetica" w:hAnsi="Helvetica"/>
          <w:b/>
          <w:color w:val="EFAC62"/>
          <w:sz w:val="24"/>
        </w:rPr>
        <w:t>2. Absence de provision maladie</w:t>
      </w:r>
    </w:p>
    <w:p>
      <w:pPr>
        <w:pStyle w:val="ListBullet"/>
      </w:pPr>
      <w:r>
        <w:t>Le FPPN ne calcule aucune provision maladie. Les factures reçues jusqu'en mars de l'année suivante sont rattachées à l'exercice ; les soins facturés plus tard ne sont couverts par rien.</w:t>
      </w:r>
    </w:p>
    <w:p>
      <w:r>
        <w:rPr>
          <w:rFonts w:ascii="Helvetica" w:hAnsi="Helvetica"/>
          <w:b/>
          <w:color w:val="EFAC62"/>
          <w:sz w:val="24"/>
        </w:rPr>
        <w:t>3. Allocations décès</w:t>
      </w:r>
    </w:p>
    <w:p>
      <w:pPr>
        <w:pStyle w:val="ListBullet"/>
      </w:pPr>
      <w:r>
        <w:t>Le calcul de fin d'année dépend d'une liste transmise par la direction du personnel à l'informaticien, puis au chef comptable. Le compte où il est passé n'a pas été précisé.</w:t>
      </w:r>
    </w:p>
    <w:p>
      <w:pPr>
        <w:pStyle w:val="ListBullet"/>
      </w:pPr>
      <w:r>
        <w:t>Le pointage était fait auparavant par M. Soumahoro ; selon l'interlocuteur, le dossier lui a été retiré (transcription peu lisible, à confirmer).</w:t>
      </w:r>
    </w:p>
    <w:p>
      <w:pPr>
        <w:pStyle w:val="ListBullet"/>
      </w:pPr>
      <w:r>
        <w:t>Le département qui devrait traiter les dossiers d'allocation ne fonctionne pas actuellement ; la comptabilité supplée.</w:t>
      </w:r>
    </w:p>
    <w:p>
      <w:pPr>
        <w:pStyle w:val="ListBullet"/>
      </w:pPr>
      <w:r>
        <w:t>Les décès de conjoints et d'enfants ne sont connus que s'ils sont déclarés ; les délégués présents dans les préfectures doivent relayer l'information.</w:t>
      </w:r>
    </w:p>
    <w:p>
      <w:r>
        <w:rPr>
          <w:rFonts w:ascii="Helvetica" w:hAnsi="Helvetica"/>
          <w:b/>
          <w:color w:val="EFAC62"/>
          <w:sz w:val="24"/>
        </w:rPr>
        <w:t>4. Gestion déléguée et reclassement</w:t>
      </w:r>
    </w:p>
    <w:p>
      <w:pPr>
        <w:pStyle w:val="ListBullet"/>
      </w:pPr>
      <w:r>
        <w:t>En 2013, faute de pouvoir gérer les allocations sans accumuler de dette, le FPPN aurait confié la garantie à LMAI, puis à Sanlam, avant de la reprendre en interne au même barème.</w:t>
      </w:r>
    </w:p>
    <w:p>
      <w:pPr>
        <w:pStyle w:val="ListBullet"/>
      </w:pPr>
      <w:r>
        <w:t>Le reclassement des provisions du compte 19 vers le compte 158 aurait été fait à la demande de l'AIRMS ; la date et le courrier sont à obtenir.</w:t>
      </w:r>
    </w:p>
    <w:p>
      <w:r>
        <w:rPr>
          <w:rFonts w:ascii="Helvetica" w:hAnsi="Helvetica"/>
          <w:b/>
          <w:color w:val="EFAC62"/>
          <w:sz w:val="24"/>
        </w:rPr>
        <w:t>5. Points d'attention pour l'équipe</w:t>
      </w:r>
    </w:p>
    <w:p>
      <w:pPr>
        <w:pStyle w:val="ListBullet"/>
      </w:pPr>
      <w:r>
        <w:t>Ces propos émanent d'une seule personne. Ils doivent être recoupés avec les documents demandés, la direction générale et le commissaire aux comptes.</w:t>
      </w:r>
    </w:p>
    <w:p>
      <w:pPr>
        <w:pStyle w:val="ListBullet"/>
      </w:pPr>
      <w:r>
        <w:t>Ne pas reprendre ces éléments dans un document destiné au client sans validation de la direction de mission, en particulier sur l'origine des provisions et le retrait du dossier décès.</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