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BE068" w14:textId="6EA0D547" w:rsidR="0021184D" w:rsidRPr="00AA366B" w:rsidRDefault="00C22430" w:rsidP="00982CCB">
      <w:pPr>
        <w:rPr>
          <w:b/>
          <w:kern w:val="36"/>
          <w:sz w:val="40"/>
          <w:szCs w:val="40"/>
        </w:rPr>
      </w:pPr>
      <w:r w:rsidRPr="00AA366B">
        <w:rPr>
          <w:rFonts w:eastAsia="Calibri"/>
          <w:noProof/>
        </w:rPr>
        <mc:AlternateContent>
          <mc:Choice Requires="wps">
            <w:drawing>
              <wp:anchor distT="0" distB="0" distL="114300" distR="114300" simplePos="0" relativeHeight="251658243" behindDoc="0" locked="0" layoutInCell="1" allowOverlap="1" wp14:anchorId="026DE20C" wp14:editId="2B22E47A">
                <wp:simplePos x="0" y="0"/>
                <wp:positionH relativeFrom="margin">
                  <wp:posOffset>-495300</wp:posOffset>
                </wp:positionH>
                <wp:positionV relativeFrom="page">
                  <wp:align>top</wp:align>
                </wp:positionV>
                <wp:extent cx="7610475" cy="11727180"/>
                <wp:effectExtent l="0" t="0" r="28575" b="26670"/>
                <wp:wrapNone/>
                <wp:docPr id="829031439" name="Rectangle 1">
                  <a:extLst xmlns:a="http://schemas.openxmlformats.org/drawingml/2006/main">
                    <a:ext uri="{FF2B5EF4-FFF2-40B4-BE49-F238E27FC236}">
                      <a16:creationId xmlns:a16="http://schemas.microsoft.com/office/drawing/2014/main" id="{15034F6A-A373-4142-A313-D79ED513E829}"/>
                    </a:ext>
                  </a:extLst>
                </wp:docPr>
                <wp:cNvGraphicFramePr/>
                <a:graphic xmlns:a="http://schemas.openxmlformats.org/drawingml/2006/main">
                  <a:graphicData uri="http://schemas.microsoft.com/office/word/2010/wordprocessingShape">
                    <wps:wsp>
                      <wps:cNvSpPr/>
                      <wps:spPr>
                        <a:xfrm>
                          <a:off x="0" y="0"/>
                          <a:ext cx="7610475" cy="11727180"/>
                        </a:xfrm>
                        <a:prstGeom prst="rect">
                          <a:avLst/>
                        </a:prstGeom>
                        <a:solidFill>
                          <a:sysClr val="windowText" lastClr="000000"/>
                        </a:solidFill>
                        <a:ln w="12700" cap="flat" cmpd="sng" algn="ctr">
                          <a:solidFill>
                            <a:sysClr val="windowText" lastClr="000000">
                              <a:shade val="15000"/>
                            </a:sys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52AF2C12" id="Rectangle 1" o:spid="_x0000_s1026" style="position:absolute;margin-left:-39pt;margin-top:0;width:599.25pt;height:923.4pt;z-index:251658242;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" fillcolor="windowText" strokeweight="1pt">
                <w10:wrap anchorx="margin" anchory="page"/>
              </v:rect>
            </w:pict>
          </mc:Fallback>
        </mc:AlternateContent>
      </w:r>
      <w:r w:rsidR="00232458">
        <w:rPr>
          <w:noProof/>
          <w14:ligatures w14:val="standardContextual"/>
        </w:rPr>
        <mc:AlternateContent>
          <mc:Choice Requires="wps">
            <w:drawing>
              <wp:anchor distT="0" distB="0" distL="114300" distR="114300" simplePos="0" relativeHeight="251658279" behindDoc="0" locked="0" layoutInCell="1" allowOverlap="1" wp14:anchorId="64A982D2" wp14:editId="7C8B2D91">
                <wp:simplePos x="0" y="0"/>
                <wp:positionH relativeFrom="column">
                  <wp:posOffset>3912073</wp:posOffset>
                </wp:positionH>
                <wp:positionV relativeFrom="paragraph">
                  <wp:posOffset>0</wp:posOffset>
                </wp:positionV>
                <wp:extent cx="2920365" cy="1409700"/>
                <wp:effectExtent l="0" t="0" r="0" b="0"/>
                <wp:wrapNone/>
                <wp:docPr id="12" name="Rectangle 11"/>
                <wp:cNvGraphicFramePr/>
                <a:graphic xmlns:a="http://schemas.openxmlformats.org/drawingml/2006/main">
                  <a:graphicData uri="http://schemas.microsoft.com/office/word/2010/wordprocessingShape">
                    <wps:wsp>
                      <wps:cNvSpPr/>
                      <wps:spPr>
                        <a:xfrm>
                          <a:off x="0" y="0"/>
                          <a:ext cx="2920365" cy="1409700"/>
                        </a:xfrm>
                        <a:prstGeom prst="rect">
                          <a:avLst/>
                        </a:prstGeom>
                      </wps:spPr>
                      <wps:txbx>
                        <w:txbxContent>
                          <w:p w14:paraId="2EAED1C4" w14:textId="511003E9" w:rsidR="0063550D" w:rsidRPr="00232458" w:rsidRDefault="0063550D" w:rsidP="000F5AE5">
                            <w:pPr>
                              <w:pStyle w:val="NoSpacing"/>
                              <w:jc w:val="left"/>
                              <w:rPr>
                                <w:color w:val="FFFFFF" w:themeColor="background1"/>
                                <w:sz w:val="18"/>
                                <w:szCs w:val="18"/>
                              </w:rPr>
                            </w:pPr>
                            <w:r w:rsidRPr="00232458">
                              <w:rPr>
                                <w:color w:val="FFFFFF" w:themeColor="background1"/>
                                <w:sz w:val="18"/>
                                <w:szCs w:val="18"/>
                              </w:rPr>
                              <w:t>SA au Capital de 100 millions FCFA Immeuble le 24, 3e étage</w:t>
                            </w:r>
                            <w:r w:rsidR="000F5AE5" w:rsidRPr="00232458">
                              <w:rPr>
                                <w:color w:val="FFFFFF" w:themeColor="background1"/>
                                <w:sz w:val="18"/>
                                <w:szCs w:val="18"/>
                              </w:rPr>
                              <w:br/>
                              <w:t>B</w:t>
                            </w:r>
                            <w:r w:rsidRPr="00232458">
                              <w:rPr>
                                <w:color w:val="FFFFFF" w:themeColor="background1"/>
                                <w:sz w:val="18"/>
                                <w:szCs w:val="18"/>
                              </w:rPr>
                              <w:t xml:space="preserve">oulevard Clozel, Plateau, Abidjan </w:t>
                            </w:r>
                            <w:r w:rsidR="000F5AE5" w:rsidRPr="00232458">
                              <w:rPr>
                                <w:color w:val="FFFFFF" w:themeColor="background1"/>
                                <w:sz w:val="18"/>
                                <w:szCs w:val="18"/>
                              </w:rPr>
                              <w:br/>
                            </w:r>
                            <w:r w:rsidRPr="00232458">
                              <w:rPr>
                                <w:color w:val="FFFFFF" w:themeColor="background1"/>
                                <w:sz w:val="18"/>
                                <w:szCs w:val="18"/>
                              </w:rPr>
                              <w:t>06 BPM 459 Abidjan 06, Côte d’ivoire</w:t>
                            </w:r>
                            <w:r w:rsidR="000F5AE5" w:rsidRPr="00232458">
                              <w:rPr>
                                <w:color w:val="FFFFFF" w:themeColor="background1"/>
                                <w:sz w:val="18"/>
                                <w:szCs w:val="18"/>
                              </w:rPr>
                              <w:br/>
                            </w:r>
                            <w:r w:rsidRPr="00232458">
                              <w:rPr>
                                <w:color w:val="FFFFFF" w:themeColor="background1"/>
                                <w:sz w:val="18"/>
                                <w:szCs w:val="18"/>
                              </w:rPr>
                              <w:t>NCC : 2404702K</w:t>
                            </w:r>
                            <w:r w:rsidR="000F5AE5" w:rsidRPr="00232458">
                              <w:rPr>
                                <w:color w:val="FFFFFF" w:themeColor="background1"/>
                                <w:sz w:val="18"/>
                                <w:szCs w:val="18"/>
                              </w:rPr>
                              <w:br/>
                            </w:r>
                            <w:r w:rsidRPr="00232458">
                              <w:rPr>
                                <w:color w:val="FFFFFF" w:themeColor="background1"/>
                                <w:sz w:val="18"/>
                                <w:szCs w:val="18"/>
                              </w:rPr>
                              <w:t xml:space="preserve">RCCM : CI-ABJ-03-2024-B14-00114 </w:t>
                            </w:r>
                            <w:r w:rsidR="000F5AE5" w:rsidRPr="00232458">
                              <w:rPr>
                                <w:color w:val="FFFFFF" w:themeColor="background1"/>
                                <w:sz w:val="18"/>
                                <w:szCs w:val="18"/>
                              </w:rPr>
                              <w:br/>
                            </w:r>
                            <w:r w:rsidRPr="00232458">
                              <w:rPr>
                                <w:color w:val="FFFFFF" w:themeColor="background1"/>
                                <w:sz w:val="18"/>
                                <w:szCs w:val="18"/>
                              </w:rPr>
                              <w:t xml:space="preserve">Tel (225) 27 20 33 90 90 </w:t>
                            </w:r>
                            <w:r w:rsidR="000F5AE5" w:rsidRPr="00232458">
                              <w:rPr>
                                <w:color w:val="FFFFFF" w:themeColor="background1"/>
                                <w:sz w:val="18"/>
                                <w:szCs w:val="18"/>
                              </w:rPr>
                              <w:br/>
                            </w:r>
                            <w:r w:rsidRPr="00232458">
                              <w:rPr>
                                <w:color w:val="FFFFFF" w:themeColor="background1"/>
                                <w:sz w:val="18"/>
                                <w:szCs w:val="18"/>
                              </w:rPr>
                              <w:t>www.adenka.ci</w:t>
                            </w:r>
                          </w:p>
                        </w:txbxContent>
                      </wps:txbx>
                      <wps:bodyPr wrap="square">
                        <a:noAutofit/>
                      </wps:bodyPr>
                    </wps:wsp>
                  </a:graphicData>
                </a:graphic>
                <wp14:sizeRelH relativeFrom="margin">
                  <wp14:pctWidth>0</wp14:pctWidth>
                </wp14:sizeRelH>
                <wp14:sizeRelV relativeFrom="margin">
                  <wp14:pctHeight>0</wp14:pctHeight>
                </wp14:sizeRelV>
              </wp:anchor>
            </w:drawing>
          </mc:Choice>
          <mc:Fallback>
            <w:pict>
              <v:rect w14:anchorId="64A982D2" id="Rectangle 11" o:spid="_x0000_s1026" style="position:absolute;left:0;text-align:left;margin-left:308.05pt;margin-top:0;width:229.95pt;height:111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" filled="f" stroked="f">
                <v:textbox>
                  <w:txbxContent>
                    <w:p w14:paraId="2EAED1C4" w14:textId="511003E9" w:rsidR="0063550D" w:rsidRPr="00232458" w:rsidRDefault="0063550D" w:rsidP="000F5AE5">
                      <w:pPr>
                        <w:pStyle w:val="NoSpacing"/>
                        <w:jc w:val="left"/>
                        <w:rPr>
                          <w:color w:val="FFFFFF" w:themeColor="background1"/>
                          <w:sz w:val="18"/>
                          <w:szCs w:val="18"/>
                        </w:rPr>
                      </w:pPr>
                      <w:r w:rsidRPr="00232458">
                        <w:rPr>
                          <w:color w:val="FFFFFF" w:themeColor="background1"/>
                          <w:sz w:val="18"/>
                          <w:szCs w:val="18"/>
                        </w:rPr>
                        <w:t>SA au Capital de 100 millions FCFA Immeuble le 24, 3e étage</w:t>
                      </w:r>
                      <w:r w:rsidR="000F5AE5" w:rsidRPr="00232458">
                        <w:rPr>
                          <w:color w:val="FFFFFF" w:themeColor="background1"/>
                          <w:sz w:val="18"/>
                          <w:szCs w:val="18"/>
                        </w:rPr>
                        <w:br/>
                        <w:t>B</w:t>
                      </w:r>
                      <w:r w:rsidRPr="00232458">
                        <w:rPr>
                          <w:color w:val="FFFFFF" w:themeColor="background1"/>
                          <w:sz w:val="18"/>
                          <w:szCs w:val="18"/>
                        </w:rPr>
                        <w:t xml:space="preserve">oulevard Clozel, Plateau, Abidjan </w:t>
                      </w:r>
                      <w:r w:rsidR="000F5AE5" w:rsidRPr="00232458">
                        <w:rPr>
                          <w:color w:val="FFFFFF" w:themeColor="background1"/>
                          <w:sz w:val="18"/>
                          <w:szCs w:val="18"/>
                        </w:rPr>
                        <w:br/>
                      </w:r>
                      <w:r w:rsidRPr="00232458">
                        <w:rPr>
                          <w:color w:val="FFFFFF" w:themeColor="background1"/>
                          <w:sz w:val="18"/>
                          <w:szCs w:val="18"/>
                        </w:rPr>
                        <w:t>06 BPM 459 Abidjan 06, Côte d’ivoire</w:t>
                      </w:r>
                      <w:r w:rsidR="000F5AE5" w:rsidRPr="00232458">
                        <w:rPr>
                          <w:color w:val="FFFFFF" w:themeColor="background1"/>
                          <w:sz w:val="18"/>
                          <w:szCs w:val="18"/>
                        </w:rPr>
                        <w:br/>
                      </w:r>
                      <w:r w:rsidRPr="00232458">
                        <w:rPr>
                          <w:color w:val="FFFFFF" w:themeColor="background1"/>
                          <w:sz w:val="18"/>
                          <w:szCs w:val="18"/>
                        </w:rPr>
                        <w:t>NCC : 2404702K</w:t>
                      </w:r>
                      <w:r w:rsidR="000F5AE5" w:rsidRPr="00232458">
                        <w:rPr>
                          <w:color w:val="FFFFFF" w:themeColor="background1"/>
                          <w:sz w:val="18"/>
                          <w:szCs w:val="18"/>
                        </w:rPr>
                        <w:br/>
                      </w:r>
                      <w:r w:rsidRPr="00232458">
                        <w:rPr>
                          <w:color w:val="FFFFFF" w:themeColor="background1"/>
                          <w:sz w:val="18"/>
                          <w:szCs w:val="18"/>
                        </w:rPr>
                        <w:t xml:space="preserve">RCCM : CI-ABJ-03-2024-B14-00114 </w:t>
                      </w:r>
                      <w:r w:rsidR="000F5AE5" w:rsidRPr="00232458">
                        <w:rPr>
                          <w:color w:val="FFFFFF" w:themeColor="background1"/>
                          <w:sz w:val="18"/>
                          <w:szCs w:val="18"/>
                        </w:rPr>
                        <w:br/>
                      </w:r>
                      <w:r w:rsidRPr="00232458">
                        <w:rPr>
                          <w:color w:val="FFFFFF" w:themeColor="background1"/>
                          <w:sz w:val="18"/>
                          <w:szCs w:val="18"/>
                        </w:rPr>
                        <w:t xml:space="preserve">Tel (225) 27 20 33 90 90 </w:t>
                      </w:r>
                      <w:r w:rsidR="000F5AE5" w:rsidRPr="00232458">
                        <w:rPr>
                          <w:color w:val="FFFFFF" w:themeColor="background1"/>
                          <w:sz w:val="18"/>
                          <w:szCs w:val="18"/>
                        </w:rPr>
                        <w:br/>
                      </w:r>
                      <w:r w:rsidRPr="00232458">
                        <w:rPr>
                          <w:color w:val="FFFFFF" w:themeColor="background1"/>
                          <w:sz w:val="18"/>
                          <w:szCs w:val="18"/>
                        </w:rPr>
                        <w:t>www.adenka.ci</w:t>
                      </w:r>
                    </w:p>
                  </w:txbxContent>
                </v:textbox>
              </v:rect>
            </w:pict>
          </mc:Fallback>
        </mc:AlternateContent>
      </w:r>
      <w:r w:rsidR="003837AF">
        <w:rPr>
          <w:noProof/>
          <w14:ligatures w14:val="standardContextual"/>
        </w:rPr>
        <mc:AlternateContent>
          <mc:Choice Requires="wps">
            <w:drawing>
              <wp:anchor distT="0" distB="0" distL="114300" distR="114300" simplePos="0" relativeHeight="251658258" behindDoc="0" locked="0" layoutInCell="1" allowOverlap="1" wp14:anchorId="15625106" wp14:editId="49B68465">
                <wp:simplePos x="0" y="0"/>
                <wp:positionH relativeFrom="margin">
                  <wp:align>left</wp:align>
                </wp:positionH>
                <wp:positionV relativeFrom="paragraph">
                  <wp:posOffset>8886586</wp:posOffset>
                </wp:positionV>
                <wp:extent cx="2042160" cy="574675"/>
                <wp:effectExtent l="0" t="0" r="15240" b="15875"/>
                <wp:wrapNone/>
                <wp:docPr id="214455296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2160" cy="574675"/>
                        </a:xfrm>
                        <a:prstGeom prst="rect">
                          <a:avLst/>
                        </a:prstGeom>
                        <a:noFill/>
                        <a:ln w="9525">
                          <a:solidFill>
                            <a:srgbClr val="000000"/>
                          </a:solidFill>
                          <a:miter lim="800000"/>
                          <a:headEnd/>
                          <a:tailEnd/>
                        </a:ln>
                      </wps:spPr>
                      <wps:txbx>
                        <w:txbxContent>
                          <w:p w14:paraId="3ADF71F1" w14:textId="5E70184B" w:rsidR="005F30A3" w:rsidRPr="0063550D" w:rsidRDefault="0063550D" w:rsidP="005F30A3">
                            <w:pPr>
                              <w:jc w:val="left"/>
                              <w:rPr>
                                <w:b/>
                                <w:bCs/>
                                <w:color w:val="FFFFFF" w:themeColor="background1"/>
                                <w:sz w:val="36"/>
                                <w:szCs w:val="36"/>
                              </w:rPr>
                            </w:pPr>
                            <w:r w:rsidRPr="0063550D">
                              <w:rPr>
                                <w:b/>
                                <w:bCs/>
                                <w:color w:val="FFFFFF" w:themeColor="background1"/>
                                <w:sz w:val="36"/>
                                <w:szCs w:val="36"/>
                              </w:rPr>
                              <w:t>Octobre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625106" id="_x0000_t202" coordsize="21600,21600" o:spt="202" path="m,l,21600r21600,l21600,xe">
                <v:stroke joinstyle="miter"/>
                <v:path gradientshapeok="t" o:connecttype="rect"/>
              </v:shapetype>
              <v:shape id="Zone de texte 2" o:spid="_x0000_s1027" type="#_x0000_t202" style="position:absolute;left:0;text-align:left;margin-left:0;margin-top:699.75pt;width:160.8pt;height:45.25pt;z-index:25165825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" filled="f">
                <v:textbox>
                  <w:txbxContent>
                    <w:p w14:paraId="3ADF71F1" w14:textId="5E70184B" w:rsidR="005F30A3" w:rsidRPr="0063550D" w:rsidRDefault="0063550D" w:rsidP="005F30A3">
                      <w:pPr>
                        <w:jc w:val="left"/>
                        <w:rPr>
                          <w:b/>
                          <w:bCs/>
                          <w:color w:val="FFFFFF" w:themeColor="background1"/>
                          <w:sz w:val="36"/>
                          <w:szCs w:val="36"/>
                        </w:rPr>
                      </w:pPr>
                      <w:r w:rsidRPr="0063550D">
                        <w:rPr>
                          <w:b/>
                          <w:bCs/>
                          <w:color w:val="FFFFFF" w:themeColor="background1"/>
                          <w:sz w:val="36"/>
                          <w:szCs w:val="36"/>
                        </w:rPr>
                        <w:t>Octobre 2026</w:t>
                      </w:r>
                    </w:p>
                  </w:txbxContent>
                </v:textbox>
                <w10:wrap anchorx="margin"/>
              </v:shape>
            </w:pict>
          </mc:Fallback>
        </mc:AlternateContent>
      </w:r>
      <w:r w:rsidR="003837AF">
        <w:rPr>
          <w:noProof/>
          <w14:ligatures w14:val="standardContextual"/>
        </w:rPr>
        <mc:AlternateContent>
          <mc:Choice Requires="wps">
            <w:drawing>
              <wp:anchor distT="0" distB="0" distL="114300" distR="114300" simplePos="0" relativeHeight="251658257" behindDoc="0" locked="0" layoutInCell="1" allowOverlap="1" wp14:anchorId="62CEB9C5" wp14:editId="6E4E0B33">
                <wp:simplePos x="0" y="0"/>
                <wp:positionH relativeFrom="margin">
                  <wp:align>left</wp:align>
                </wp:positionH>
                <wp:positionV relativeFrom="paragraph">
                  <wp:posOffset>8398598</wp:posOffset>
                </wp:positionV>
                <wp:extent cx="6964680" cy="574675"/>
                <wp:effectExtent l="0" t="0" r="26670" b="15875"/>
                <wp:wrapNone/>
                <wp:docPr id="159730476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64680" cy="574675"/>
                        </a:xfrm>
                        <a:prstGeom prst="rect">
                          <a:avLst/>
                        </a:prstGeom>
                        <a:noFill/>
                        <a:ln w="9525">
                          <a:solidFill>
                            <a:srgbClr val="000000"/>
                          </a:solidFill>
                          <a:miter lim="800000"/>
                          <a:headEnd/>
                          <a:tailEnd/>
                        </a:ln>
                      </wps:spPr>
                      <wps:txbx>
                        <w:txbxContent>
                          <w:p w14:paraId="51F74AB0" w14:textId="387257B3" w:rsidR="005F30A3" w:rsidRPr="003A63CB" w:rsidRDefault="005F30A3" w:rsidP="005F30A3">
                            <w:pPr>
                              <w:pStyle w:val="NormalWeb"/>
                              <w:jc w:val="left"/>
                              <w:rPr>
                                <w:rFonts w:ascii="Helvetica" w:hAnsi="Helvetica" w:cs="Helvetica"/>
                                <w:b/>
                                <w:color w:val="B84F08"/>
                                <w:sz w:val="40"/>
                                <w:szCs w:val="40"/>
                                <w:lang w:val="fr-CI"/>
                              </w:rPr>
                            </w:pPr>
                            <w:r w:rsidRPr="003A63CB">
                              <w:rPr>
                                <w:rFonts w:ascii="Helvetica" w:eastAsiaTheme="minorEastAsia" w:hAnsi="Helvetica" w:cs="Helvetica"/>
                                <w:b/>
                                <w:color w:val="B84F08"/>
                                <w:sz w:val="40"/>
                                <w:szCs w:val="40"/>
                                <w:lang w:val="fr-CI"/>
                              </w:rPr>
                              <w:t>Note de réunion</w:t>
                            </w:r>
                          </w:p>
                          <w:p w14:paraId="16F931A9" w14:textId="77777777" w:rsidR="005F30A3" w:rsidRPr="003837AF" w:rsidRDefault="005F30A3" w:rsidP="005F30A3">
                            <w:pPr>
                              <w:jc w:val="left"/>
                              <w:rPr>
                                <w:b/>
                                <w:color w:val="FFC000"/>
                                <w:sz w:val="40"/>
                                <w:szCs w:val="40"/>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62CEB9C5" id="_x0000_s1028" type="#_x0000_t202" style="position:absolute;left:0;text-align:left;margin-left:0;margin-top:661.3pt;width:548.4pt;height:45.25pt;z-index:251658257;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" filled="f">
                <v:textbox>
                  <w:txbxContent>
                    <w:p w14:paraId="51F74AB0" w14:textId="387257B3" w:rsidR="005F30A3" w:rsidRPr="003A63CB" w:rsidRDefault="005F30A3" w:rsidP="005F30A3">
                      <w:pPr>
                        <w:pStyle w:val="NormalWeb"/>
                        <w:jc w:val="left"/>
                        <w:rPr>
                          <w:rFonts w:ascii="Helvetica" w:hAnsi="Helvetica" w:cs="Helvetica"/>
                          <w:b/>
                          <w:color w:val="B84F08"/>
                          <w:sz w:val="40"/>
                          <w:szCs w:val="40"/>
                          <w:lang w:val="fr-CI"/>
                        </w:rPr>
                      </w:pPr>
                      <w:r w:rsidRPr="003A63CB">
                        <w:rPr>
                          <w:rFonts w:ascii="Helvetica" w:eastAsiaTheme="minorEastAsia" w:hAnsi="Helvetica" w:cs="Helvetica"/>
                          <w:b/>
                          <w:color w:val="B84F08"/>
                          <w:sz w:val="40"/>
                          <w:szCs w:val="40"/>
                          <w:lang w:val="fr-CI"/>
                        </w:rPr>
                        <w:t>Note de réunion</w:t>
                      </w:r>
                    </w:p>
                    <w:p w14:paraId="16F931A9" w14:textId="77777777" w:rsidR="005F30A3" w:rsidRPr="003837AF" w:rsidRDefault="005F30A3" w:rsidP="005F30A3">
                      <w:pPr>
                        <w:jc w:val="left"/>
                        <w:rPr>
                          <w:b/>
                          <w:color w:val="FFC000"/>
                          <w:sz w:val="40"/>
                          <w:szCs w:val="40"/>
                        </w:rPr>
                      </w:pPr>
                    </w:p>
                  </w:txbxContent>
                </v:textbox>
                <w10:wrap anchorx="margin"/>
              </v:shape>
            </w:pict>
          </mc:Fallback>
        </mc:AlternateContent>
      </w:r>
      <w:r w:rsidR="003837AF">
        <w:rPr>
          <w:noProof/>
          <w14:ligatures w14:val="standardContextual"/>
        </w:rPr>
        <mc:AlternateContent>
          <mc:Choice Requires="wps">
            <w:drawing>
              <wp:anchor distT="0" distB="0" distL="114300" distR="114300" simplePos="0" relativeHeight="251658271" behindDoc="0" locked="0" layoutInCell="1" allowOverlap="1" wp14:anchorId="3A4D8972" wp14:editId="3FF323AC">
                <wp:simplePos x="0" y="0"/>
                <wp:positionH relativeFrom="column">
                  <wp:posOffset>-176543</wp:posOffset>
                </wp:positionH>
                <wp:positionV relativeFrom="paragraph">
                  <wp:posOffset>2802048</wp:posOffset>
                </wp:positionV>
                <wp:extent cx="6964680" cy="3295392"/>
                <wp:effectExtent l="0" t="0" r="26670" b="19685"/>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64680" cy="3295392"/>
                        </a:xfrm>
                        <a:prstGeom prst="rect">
                          <a:avLst/>
                        </a:prstGeom>
                        <a:noFill/>
                        <a:ln w="9525">
                          <a:solidFill>
                            <a:srgbClr val="000000"/>
                          </a:solidFill>
                          <a:miter lim="800000"/>
                          <a:headEnd/>
                          <a:tailEnd/>
                        </a:ln>
                      </wps:spPr>
                      <wps:txbx>
                        <w:txbxContent>
                          <w:p w14:paraId="2DE01120" w14:textId="5D436776" w:rsidR="00B77556" w:rsidRPr="003837AF" w:rsidRDefault="00B77556" w:rsidP="005F30A3">
                            <w:pPr>
                              <w:pStyle w:val="NormalWeb"/>
                              <w:jc w:val="left"/>
                              <w:rPr>
                                <w:rFonts w:ascii="Helvetica" w:eastAsiaTheme="minorEastAsia" w:hAnsi="Helvetica" w:cs="Helvetica"/>
                                <w:b/>
                                <w:bCs/>
                                <w:color w:val="FFFFFF" w:themeColor="background1"/>
                                <w:sz w:val="72"/>
                                <w:szCs w:val="72"/>
                                <w:lang w:val="fr-CI"/>
                              </w:rPr>
                            </w:pPr>
                            <w:r w:rsidRPr="00D32BCF">
                              <w:rPr>
                                <w:rFonts w:ascii="Helvetica" w:eastAsiaTheme="minorEastAsia" w:hAnsi="Helvetica" w:cs="Helvetica"/>
                                <w:b/>
                                <w:bCs/>
                                <w:color w:val="FFFFFF" w:themeColor="background1"/>
                                <w:sz w:val="72"/>
                                <w:szCs w:val="72"/>
                                <w:lang w:val="fr-CI"/>
                              </w:rPr>
                              <w:t xml:space="preserve">POINT D'ÉTAPE DES TRAVAUX ACTUARIELS</w:t>
                            </w:r>
                          </w:p>
                          <w:p w14:paraId="2C32D6ED"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0D003451"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530D1C6F" w14:textId="77777777" w:rsidR="003837AF" w:rsidRDefault="003837AF" w:rsidP="005F30A3">
                            <w:pPr>
                              <w:pStyle w:val="NormalWeb"/>
                              <w:jc w:val="left"/>
                              <w:rPr>
                                <w:rFonts w:ascii="Helvetica" w:eastAsiaTheme="minorEastAsia" w:hAnsi="Helvetica" w:cs="Helvetica"/>
                                <w:b/>
                                <w:bCs/>
                                <w:color w:val="E97132" w:themeColor="accent2"/>
                                <w:sz w:val="40"/>
                                <w:szCs w:val="40"/>
                                <w:lang w:val="fr-CI"/>
                              </w:rPr>
                            </w:pPr>
                          </w:p>
                          <w:p w14:paraId="69CB7BF6" w14:textId="3908B474" w:rsidR="005F30A3" w:rsidRPr="003A63CB" w:rsidRDefault="00B77556" w:rsidP="005F30A3">
                            <w:pPr>
                              <w:pStyle w:val="NormalWeb"/>
                              <w:jc w:val="left"/>
                              <w:rPr>
                                <w:rFonts w:ascii="Helvetica" w:hAnsi="Helvetica" w:cs="Helvetica"/>
                                <w:b/>
                                <w:color w:val="FFFFFF" w:themeColor="background1"/>
                                <w:sz w:val="40"/>
                                <w:szCs w:val="40"/>
                                <w:lang w:val="fr-CI"/>
                              </w:rPr>
                            </w:pPr>
                            <w:r w:rsidRPr="003A63CB">
                              <w:rPr>
                                <w:rFonts w:ascii="Helvetica" w:eastAsiaTheme="minorEastAsia" w:hAnsi="Helvetica" w:cs="Helvetica"/>
                                <w:b/>
                                <w:color w:val="FFFFFF" w:themeColor="background1"/>
                                <w:sz w:val="40"/>
                                <w:szCs w:val="40"/>
                                <w:lang w:val="fr-CI"/>
                              </w:rPr>
                              <w:t>FPPN</w:t>
                            </w:r>
                          </w:p>
                          <w:p w14:paraId="2215AE94" w14:textId="0221E7EF" w:rsidR="005F30A3" w:rsidRPr="005F30A3" w:rsidRDefault="005F30A3" w:rsidP="005F30A3">
                            <w:pPr>
                              <w:jc w:val="left"/>
                              <w:rPr>
                                <w:b/>
                                <w:bCs/>
                                <w:color w:val="FFFFFF" w:themeColor="background1"/>
                                <w:sz w:val="56"/>
                                <w:szCs w:val="56"/>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3A4D8972" id="_x0000_s1029" type="#_x0000_t202" style="position:absolute;left:0;text-align:left;margin-left:-13.9pt;margin-top:220.65pt;width:548.4pt;height:259.5pt;z-index:251658271;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" filled="f">
                <v:textbox>
                  <w:txbxContent>
                    <w:p w14:paraId="2DE01120" w14:textId="5D436776" w:rsidR="00B77556" w:rsidRPr="003837AF" w:rsidRDefault="00B77556" w:rsidP="005F30A3">
                      <w:pPr>
                        <w:pStyle w:val="NormalWeb"/>
                        <w:jc w:val="left"/>
                        <w:rPr>
                          <w:rFonts w:ascii="Helvetica" w:eastAsiaTheme="minorEastAsia" w:hAnsi="Helvetica" w:cs="Helvetica"/>
                          <w:b/>
                          <w:bCs/>
                          <w:color w:val="FFFFFF" w:themeColor="background1"/>
                          <w:sz w:val="72"/>
                          <w:szCs w:val="72"/>
                          <w:lang w:val="fr-CI"/>
                        </w:rPr>
                      </w:pPr>
                      <w:r w:rsidRPr="00D32BCF">
                        <w:rPr>
                          <w:rFonts w:ascii="Helvetica" w:eastAsiaTheme="minorEastAsia" w:hAnsi="Helvetica" w:cs="Helvetica"/>
                          <w:b/>
                          <w:bCs/>
                          <w:color w:val="FFFFFF" w:themeColor="background1"/>
                          <w:sz w:val="72"/>
                          <w:szCs w:val="72"/>
                          <w:lang w:val="fr-CI"/>
                        </w:rPr>
                        <w:t xml:space="preserve">POINT D'ÉTAPE DES TRAVAUX ACTUARIELS</w:t>
                      </w:r>
                    </w:p>
                    <w:p w14:paraId="2C32D6ED"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0D003451" w14:textId="77777777" w:rsidR="00B77556" w:rsidRDefault="00B77556" w:rsidP="005F30A3">
                      <w:pPr>
                        <w:pStyle w:val="NormalWeb"/>
                        <w:jc w:val="left"/>
                        <w:rPr>
                          <w:rFonts w:ascii="Helvetica" w:eastAsiaTheme="minorEastAsia" w:hAnsi="Helvetica" w:cs="Helvetica"/>
                          <w:b/>
                          <w:bCs/>
                          <w:color w:val="FFFFFF" w:themeColor="background1"/>
                          <w:sz w:val="56"/>
                          <w:szCs w:val="56"/>
                          <w:lang w:val="fr-CI"/>
                        </w:rPr>
                      </w:pPr>
                    </w:p>
                    <w:p w14:paraId="530D1C6F" w14:textId="77777777" w:rsidR="003837AF" w:rsidRDefault="003837AF" w:rsidP="005F30A3">
                      <w:pPr>
                        <w:pStyle w:val="NormalWeb"/>
                        <w:jc w:val="left"/>
                        <w:rPr>
                          <w:rFonts w:ascii="Helvetica" w:eastAsiaTheme="minorEastAsia" w:hAnsi="Helvetica" w:cs="Helvetica"/>
                          <w:b/>
                          <w:bCs/>
                          <w:color w:val="E97132" w:themeColor="accent2"/>
                          <w:sz w:val="40"/>
                          <w:szCs w:val="40"/>
                          <w:lang w:val="fr-CI"/>
                        </w:rPr>
                      </w:pPr>
                    </w:p>
                    <w:p w14:paraId="69CB7BF6" w14:textId="3908B474" w:rsidR="005F30A3" w:rsidRPr="003A63CB" w:rsidRDefault="00B77556" w:rsidP="005F30A3">
                      <w:pPr>
                        <w:pStyle w:val="NormalWeb"/>
                        <w:jc w:val="left"/>
                        <w:rPr>
                          <w:rFonts w:ascii="Helvetica" w:hAnsi="Helvetica" w:cs="Helvetica"/>
                          <w:b/>
                          <w:color w:val="FFFFFF" w:themeColor="background1"/>
                          <w:sz w:val="40"/>
                          <w:szCs w:val="40"/>
                          <w:lang w:val="fr-CI"/>
                        </w:rPr>
                      </w:pPr>
                      <w:r w:rsidRPr="003A63CB">
                        <w:rPr>
                          <w:rFonts w:ascii="Helvetica" w:eastAsiaTheme="minorEastAsia" w:hAnsi="Helvetica" w:cs="Helvetica"/>
                          <w:b/>
                          <w:color w:val="FFFFFF" w:themeColor="background1"/>
                          <w:sz w:val="40"/>
                          <w:szCs w:val="40"/>
                          <w:lang w:val="fr-CI"/>
                        </w:rPr>
                        <w:t>FPPN</w:t>
                      </w:r>
                    </w:p>
                    <w:p w14:paraId="2215AE94" w14:textId="0221E7EF" w:rsidR="005F30A3" w:rsidRPr="005F30A3" w:rsidRDefault="005F30A3" w:rsidP="005F30A3">
                      <w:pPr>
                        <w:jc w:val="left"/>
                        <w:rPr>
                          <w:b/>
                          <w:bCs/>
                          <w:color w:val="FFFFFF" w:themeColor="background1"/>
                          <w:sz w:val="56"/>
                          <w:szCs w:val="56"/>
                        </w:rPr>
                      </w:pPr>
                    </w:p>
                  </w:txbxContent>
                </v:textbox>
              </v:shape>
            </w:pict>
          </mc:Fallback>
        </mc:AlternateContent>
      </w:r>
      <w:r w:rsidR="00B7131C" w:rsidRPr="00AA366B">
        <w:rPr>
          <w:noProof/>
        </w:rPr>
        <w:drawing>
          <wp:anchor distT="0" distB="0" distL="114300" distR="114300" simplePos="0" relativeHeight="251658268" behindDoc="0" locked="0" layoutInCell="1" allowOverlap="1" wp14:anchorId="0DEC0A8C" wp14:editId="2EE6107A">
            <wp:simplePos x="0" y="0"/>
            <wp:positionH relativeFrom="margin">
              <wp:align>left</wp:align>
            </wp:positionH>
            <wp:positionV relativeFrom="margin">
              <wp:align>top</wp:align>
            </wp:positionV>
            <wp:extent cx="2590800" cy="614680"/>
            <wp:effectExtent l="0" t="0" r="0" b="0"/>
            <wp:wrapNone/>
            <wp:docPr id="246454023" name="Image 23">
              <a:extLst xmlns:a="http://schemas.openxmlformats.org/drawingml/2006/main">
                <a:ext uri="{FF2B5EF4-FFF2-40B4-BE49-F238E27FC236}">
                  <a16:creationId xmlns:a16="http://schemas.microsoft.com/office/drawing/2014/main" id="{85B8DD99-990F-4649-B67D-96F3516835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14017" name="Image 527514017"/>
                    <pic:cNvPicPr/>
                  </pic:nvPicPr>
                  <pic:blipFill>
                    <a:blip r:embed="rId12">
                      <a:duotone>
                        <a:schemeClr val="bg2">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2590800" cy="614680"/>
                    </a:xfrm>
                    <a:prstGeom prst="rect">
                      <a:avLst/>
                    </a:prstGeom>
                  </pic:spPr>
                </pic:pic>
              </a:graphicData>
            </a:graphic>
            <wp14:sizeRelH relativeFrom="page">
              <wp14:pctWidth>0</wp14:pctWidth>
            </wp14:sizeRelH>
            <wp14:sizeRelV relativeFrom="page">
              <wp14:pctHeight>0</wp14:pctHeight>
            </wp14:sizeRelV>
          </wp:anchor>
        </w:drawing>
      </w:r>
      <w:r w:rsidR="00361B05" w:rsidRPr="00AA366B">
        <w:rPr>
          <w:noProof/>
        </w:rPr>
        <w:drawing>
          <wp:anchor distT="0" distB="0" distL="114300" distR="114300" simplePos="0" relativeHeight="251658245" behindDoc="0" locked="0" layoutInCell="1" allowOverlap="1" wp14:anchorId="6C4349CB" wp14:editId="2E229699">
            <wp:simplePos x="0" y="0"/>
            <wp:positionH relativeFrom="page">
              <wp:posOffset>-684530</wp:posOffset>
            </wp:positionH>
            <wp:positionV relativeFrom="paragraph">
              <wp:posOffset>1878965</wp:posOffset>
            </wp:positionV>
            <wp:extent cx="8293735" cy="7976235"/>
            <wp:effectExtent l="0" t="0" r="0" b="5715"/>
            <wp:wrapNone/>
            <wp:docPr id="1895204845"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8293735" cy="7976235"/>
                    </a:xfrm>
                    <a:prstGeom prst="rect">
                      <a:avLst/>
                    </a:prstGeom>
                  </pic:spPr>
                </pic:pic>
              </a:graphicData>
            </a:graphic>
            <wp14:sizeRelH relativeFrom="margin">
              <wp14:pctWidth>0</wp14:pctWidth>
            </wp14:sizeRelH>
            <wp14:sizeRelV relativeFrom="margin">
              <wp14:pctHeight>0</wp14:pctHeight>
            </wp14:sizeRelV>
          </wp:anchor>
        </w:drawing>
      </w:r>
      <w:r w:rsidR="006E4175" w:rsidRPr="00AA366B">
        <w:rPr>
          <w:noProof/>
        </w:rPr>
        <mc:AlternateContent>
          <mc:Choice Requires="wps">
            <w:drawing>
              <wp:anchor distT="0" distB="0" distL="114300" distR="114300" simplePos="0" relativeHeight="251658247" behindDoc="0" locked="0" layoutInCell="1" allowOverlap="1" wp14:anchorId="6AFB2247" wp14:editId="7FF83994">
                <wp:simplePos x="0" y="0"/>
                <wp:positionH relativeFrom="margin">
                  <wp:align>left</wp:align>
                </wp:positionH>
                <wp:positionV relativeFrom="paragraph">
                  <wp:posOffset>7531735</wp:posOffset>
                </wp:positionV>
                <wp:extent cx="5231218" cy="765544"/>
                <wp:effectExtent l="0" t="0" r="26670" b="15875"/>
                <wp:wrapNone/>
                <wp:docPr id="209815566" name="Zone de texte 7">
                  <a:extLst xmlns:a="http://schemas.openxmlformats.org/drawingml/2006/main">
                    <a:ext uri="{FF2B5EF4-FFF2-40B4-BE49-F238E27FC236}">
                      <a16:creationId xmlns:a16="http://schemas.microsoft.com/office/drawing/2014/main" id="{DE632AC5-CD51-4C5C-9CCB-0CF09FBAC3A4}"/>
                    </a:ext>
                  </a:extLst>
                </wp:docPr>
                <wp:cNvGraphicFramePr/>
                <a:graphic xmlns:a="http://schemas.openxmlformats.org/drawingml/2006/main">
                  <a:graphicData uri="http://schemas.microsoft.com/office/word/2010/wordprocessingShape">
                    <wps:wsp>
                      <wps:cNvSpPr txBox="1"/>
                      <wps:spPr>
                        <a:xfrm>
                          <a:off x="0" y="0"/>
                          <a:ext cx="5231218" cy="765544"/>
                        </a:xfrm>
                        <a:prstGeom prst="rect">
                          <a:avLst/>
                        </a:prstGeom>
                        <a:noFill/>
                        <a:ln w="6350">
                          <a:solidFill>
                            <a:prstClr val="black"/>
                          </a:solidFill>
                        </a:ln>
                      </wps:spPr>
                      <wps:txbx>
                        <w:txbxContent>
                          <w:p w14:paraId="2250314D" w14:textId="69828676" w:rsidR="008E1886" w:rsidRPr="00AA366B" w:rsidRDefault="008E1886" w:rsidP="00982CCB">
                            <w:r w:rsidRPr="00AA366B">
                              <w:t>Rapport</w:t>
                            </w:r>
                            <w:r w:rsidR="00484807" w:rsidRPr="00AA366B">
                              <w:t xml:space="preserve"/>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FB2247" id="Zone de texte 7" o:spid="_x0000_s1030" type="#_x0000_t202" style="position:absolute;left:0;text-align:left;margin-left:0;margin-top:593.05pt;width:411.9pt;height:60.3pt;z-index:251658247;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" filled="f" strokeweight=".5pt">
                <v:textbox>
                  <w:txbxContent>
                    <w:p w14:paraId="2250314D" w14:textId="69828676" w:rsidR="008E1886" w:rsidRPr="00AA366B" w:rsidRDefault="008E1886" w:rsidP="00982CCB">
                      <w:r w:rsidRPr="00AA366B">
                        <w:t>Rapport</w:t>
                      </w:r>
                      <w:r w:rsidR="00484807" w:rsidRPr="00AA366B">
                        <w:t xml:space="preserve"/>
                      </w:r>
                    </w:p>
                  </w:txbxContent>
                </v:textbox>
                <w10:wrap anchorx="margin"/>
              </v:shape>
            </w:pict>
          </mc:Fallback>
        </mc:AlternateContent>
      </w:r>
      <w:r w:rsidR="006E4175" w:rsidRPr="00AA366B">
        <w:rPr>
          <w:noProof/>
        </w:rPr>
        <mc:AlternateContent>
          <mc:Choice Requires="wps">
            <w:drawing>
              <wp:anchor distT="0" distB="0" distL="114300" distR="114300" simplePos="0" relativeHeight="251658248" behindDoc="0" locked="0" layoutInCell="1" allowOverlap="1" wp14:anchorId="38A4CCDE" wp14:editId="70C5E656">
                <wp:simplePos x="0" y="0"/>
                <wp:positionH relativeFrom="margin">
                  <wp:align>left</wp:align>
                </wp:positionH>
                <wp:positionV relativeFrom="paragraph">
                  <wp:posOffset>8114030</wp:posOffset>
                </wp:positionV>
                <wp:extent cx="2838893" cy="552893"/>
                <wp:effectExtent l="0" t="0" r="19050" b="19050"/>
                <wp:wrapNone/>
                <wp:docPr id="1452213972" name="Zone de texte 8">
                  <a:extLst xmlns:a="http://schemas.openxmlformats.org/drawingml/2006/main">
                    <a:ext uri="{FF2B5EF4-FFF2-40B4-BE49-F238E27FC236}">
                      <a16:creationId xmlns:a16="http://schemas.microsoft.com/office/drawing/2014/main" id="{CD9B45CA-AC2D-4642-869A-DF1E480132C7}"/>
                    </a:ext>
                  </a:extLst>
                </wp:docPr>
                <wp:cNvGraphicFramePr/>
                <a:graphic xmlns:a="http://schemas.openxmlformats.org/drawingml/2006/main">
                  <a:graphicData uri="http://schemas.microsoft.com/office/word/2010/wordprocessingShape">
                    <wps:wsp>
                      <wps:cNvSpPr txBox="1"/>
                      <wps:spPr>
                        <a:xfrm>
                          <a:off x="0" y="0"/>
                          <a:ext cx="2838893" cy="552893"/>
                        </a:xfrm>
                        <a:prstGeom prst="rect">
                          <a:avLst/>
                        </a:prstGeom>
                        <a:noFill/>
                        <a:ln w="6350">
                          <a:solidFill>
                            <a:prstClr val="black"/>
                          </a:solidFill>
                        </a:ln>
                      </wps:spPr>
                      <wps:txbx>
                        <w:txbxContent>
                          <w:p w14:paraId="36E9AAB6" w14:textId="3EB9BEEB" w:rsidR="00E849B3" w:rsidRPr="00AA366B" w:rsidRDefault="00E849B3" w:rsidP="00982CCB">
                            <w:r w:rsidRPr="00AA366B">
                              <w:t>Octobre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8A4CCDE" id="Zone de texte 8" o:spid="_x0000_s1031" type="#_x0000_t202" style="position:absolute;left:0;text-align:left;margin-left:0;margin-top:638.9pt;width:223.55pt;height:43.55pt;z-index:2516582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" filled="f" strokeweight=".5pt">
                <v:textbox>
                  <w:txbxContent>
                    <w:p w14:paraId="36E9AAB6" w14:textId="3EB9BEEB" w:rsidR="00E849B3" w:rsidRPr="00AA366B" w:rsidRDefault="00E849B3" w:rsidP="00982CCB">
                      <w:r w:rsidRPr="00AA366B">
                        <w:t>Octobre 2026</w:t>
                      </w:r>
                    </w:p>
                  </w:txbxContent>
                </v:textbox>
                <w10:wrap anchorx="margin"/>
              </v:shape>
            </w:pict>
          </mc:Fallback>
        </mc:AlternateContent>
      </w:r>
      <w:r w:rsidR="006E4175" w:rsidRPr="00AA366B">
        <w:rPr>
          <w:noProof/>
        </w:rPr>
        <mc:AlternateContent>
          <mc:Choice Requires="wps">
            <w:drawing>
              <wp:anchor distT="0" distB="0" distL="114300" distR="114300" simplePos="0" relativeHeight="251658246" behindDoc="0" locked="0" layoutInCell="1" allowOverlap="1" wp14:anchorId="27AE4808" wp14:editId="7AF4708C">
                <wp:simplePos x="0" y="0"/>
                <wp:positionH relativeFrom="column">
                  <wp:posOffset>-43815</wp:posOffset>
                </wp:positionH>
                <wp:positionV relativeFrom="paragraph">
                  <wp:posOffset>6007735</wp:posOffset>
                </wp:positionV>
                <wp:extent cx="2966085" cy="1275715"/>
                <wp:effectExtent l="0" t="0" r="24765" b="19685"/>
                <wp:wrapNone/>
                <wp:docPr id="1836470493" name="Zone de texte 5">
                  <a:extLst xmlns:a="http://schemas.openxmlformats.org/drawingml/2006/main">
                    <a:ext uri="{FF2B5EF4-FFF2-40B4-BE49-F238E27FC236}">
                      <a16:creationId xmlns:a16="http://schemas.microsoft.com/office/drawing/2014/main" id="{7E28089F-9AFE-4B11-B530-2FE0BB127216}"/>
                    </a:ext>
                  </a:extLst>
                </wp:docPr>
                <wp:cNvGraphicFramePr/>
                <a:graphic xmlns:a="http://schemas.openxmlformats.org/drawingml/2006/main">
                  <a:graphicData uri="http://schemas.microsoft.com/office/word/2010/wordprocessingShape">
                    <wps:wsp>
                      <wps:cNvSpPr txBox="1"/>
                      <wps:spPr>
                        <a:xfrm>
                          <a:off x="0" y="0"/>
                          <a:ext cx="2966085" cy="1275715"/>
                        </a:xfrm>
                        <a:prstGeom prst="rect">
                          <a:avLst/>
                        </a:prstGeom>
                        <a:noFill/>
                        <a:ln w="6350">
                          <a:solidFill>
                            <a:prstClr val="black"/>
                          </a:solidFill>
                        </a:ln>
                      </wps:spPr>
                      <wps:txbx>
                        <w:txbxContent>
                          <w:p w14:paraId="3754538E" w14:textId="323330EB" w:rsidR="00D03269" w:rsidRPr="00AA366B" w:rsidRDefault="00D03269" w:rsidP="00982CC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AE4808" id="Zone de texte 5" o:spid="_x0000_s1032" type="#_x0000_t202" style="position:absolute;left:0;text-align:left;margin-left:-3.45pt;margin-top:473.05pt;width:233.55pt;height:100.4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" filled="f" strokeweight=".5pt">
                <v:textbox>
                  <w:txbxContent>
                    <w:p w14:paraId="3754538E" w14:textId="323330EB" w:rsidR="00D03269" w:rsidRPr="00AA366B" w:rsidRDefault="00D03269" w:rsidP="00982CCB"/>
                  </w:txbxContent>
                </v:textbox>
              </v:shape>
            </w:pict>
          </mc:Fallback>
        </mc:AlternateContent>
      </w:r>
      <w:r w:rsidR="0021184D" w:rsidRPr="00AA366B">
        <w:rPr>
          <w:b/>
          <w:kern w:val="36"/>
          <w:sz w:val="40"/>
          <w:szCs w:val="40"/>
        </w:rPr>
        <w:br w:type="page"/>
      </w:r>
    </w:p>
    <w:p w14:paraId="2A46D403" w14:textId="0C7EC601" w:rsidR="004050DD" w:rsidRPr="007425FA" w:rsidRDefault="005C7BA3" w:rsidP="007425FA">
      <w:pPr>
        <w:pStyle w:val="Heading1"/>
        <w:spacing w:before="0" w:beforeAutospacing="0" w:after="0" w:afterAutospacing="0"/>
        <w:rPr/>
      </w:pPr>
      <w:bookmarkStart w:id="0" w:name="_Toc240886172"/>
      <w:bookmarkStart w:id="1" w:name="_Toc240913004"/>
      <w:bookmarkStart w:id="2" w:name="_Toc240944003"/>
      <w:bookmarkStart w:id="3" w:name="_Toc241574044"/>
      <w:r w:rsidRPr="007425FA">
        <w:rPr/>
        <w:t>SOMMAIRE</w:t>
      </w:r>
      <w:bookmarkEnd w:id="0"/>
      <w:bookmarkEnd w:id="1"/>
      <w:bookmarkEnd w:id="2"/>
      <w:bookmarkEnd w:id="3"/>
    </w:p>
    <w:p w14:paraId="3E22C955" w14:textId="77EE70B8" w:rsidR="00E11CA9" w:rsidRPr="00821389" w:rsidRDefault="00476501" w:rsidP="0010591F">
      <w:pPr>
        <w:pStyle w:val="TOC1"/>
        <w:spacing w:before="0" w:beforeAutospacing="0" w:after="0" w:afterAutospacing="0"/>
        <w:rPr>
          <w:rFonts w:eastAsiaTheme="minorEastAsia"/>
          <w:b w:val="0"/>
          <w:noProof/>
          <w:color w:val="auto"/>
          <w:kern w:val="2"/>
          <w:szCs w:val="20"/>
          <w14:ligatures w14:val="standardContextual"/>
        </w:rPr>
      </w:pPr>
      <w:r w:rsidRPr="00821389">
        <w:rPr>
          <w:szCs w:val="20"/>
        </w:rPr>
        <w:fldChar w:fldCharType="begin"/>
      </w:r>
      <w:r w:rsidRPr="00821389">
        <w:rPr>
          <w:szCs w:val="20"/>
        </w:rPr>
        <w:instrText xml:space="preserve"> TOC \o "1-3" \h \z \u </w:instrText>
      </w:r>
      <w:r w:rsidRPr="00821389">
        <w:rPr>
          <w:szCs w:val="20"/>
        </w:rPr>
        <w:fldChar w:fldCharType="separate"/>
      </w:r>
      <w:r>
        <w:t>Clic droit puis « Mettre à jour les champs » (ou Ctrl+A puis F9) pour générer cette liste.</w:t>
      </w:r>
    </w:p>
    <w:p w14:paraId="1C63F013" w14:textId="2271BDA9" w:rsidR="00C901E7" w:rsidRPr="00821389" w:rsidRDefault="00476501" w:rsidP="0010591F">
      <w:pPr>
        <w:spacing w:before="0" w:beforeAutospacing="0" w:after="0" w:afterAutospacing="0" w:line="240" w:lineRule="auto"/>
        <w:rPr>
          <w:sz w:val="20"/>
          <w:szCs w:val="20"/>
        </w:rPr>
        <w:sectPr w:rsidR="00C901E7" w:rsidRPr="00821389" w:rsidSect="006F0310">
          <w:footerReference w:type="default" r:id="rId14"/>
          <w:pgSz w:w="11906" w:h="16838"/>
          <w:pgMar w:top="720" w:right="720" w:bottom="720" w:left="720" w:header="708" w:footer="708" w:gutter="0"/>
          <w:cols w:space="708"/>
          <w:docGrid w:linePitch="360"/>
        </w:sectPr>
      </w:pPr>
      <w:r w:rsidRPr="00821389">
        <w:rPr>
          <w:sz w:val="20"/>
          <w:szCs w:val="20"/>
        </w:rPr>
        <w:fldChar w:fldCharType="end"/>
      </w:r>
    </w:p>
    <w:p w14:paraId="240887F1" w14:textId="4A1CD4D7" w:rsidR="004050DD" w:rsidRPr="00821389" w:rsidRDefault="001B60EC" w:rsidP="0010591F">
      <w:pPr>
        <w:pStyle w:val="Heading1"/>
        <w:spacing w:before="0" w:beforeAutospacing="0" w:after="0" w:afterAutospacing="0"/>
        <w:rPr/>
      </w:pPr>
      <w:bookmarkStart w:id="4" w:name="_Toc240886173"/>
      <w:bookmarkStart w:id="5" w:name="_Toc240913005"/>
      <w:bookmarkStart w:id="6" w:name="_Toc240944004"/>
      <w:bookmarkStart w:id="7" w:name="_Toc241574045"/>
      <w:r w:rsidRPr="00821389">
        <w:rPr/>
        <w:t>TABLE DES SIGLES</w:t>
      </w:r>
      <w:bookmarkEnd w:id="4"/>
      <w:bookmarkEnd w:id="5"/>
      <w:bookmarkEnd w:id="6"/>
      <w:bookmarkEnd w:id="7"/>
    </w:p>
    <w:tbl>
      <w:tblPr>
        <w:tblStyle w:val="GridTable4"/>
        <w:tblW w:w="10466" w:type="dxa"/>
        <w:tblLook w:val="0480" w:firstRow="0" w:lastRow="0" w:firstColumn="1" w:lastColumn="0" w:noHBand="0" w:noVBand="1"/>
        <w:tblLayout w:type="fixed"/>
      </w:tblPr>
      <w:tblGrid>
        <w:gridCol w:w="1413"/>
        <w:gridCol w:w="9053"/>
      </w:tblGrid>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AIRMS</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Agence ivoirienne de régulation de la mutualité sociale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BCEAO</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Banque centrale des États de l'Afrique de l'Ouest</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CGRAE</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Caisse générale de retraite des agents de l'État</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CIMA</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Conférence interafricaine des marchés d'assurances</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CMP</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clinique du FPPN (sigle des comptes, à confirmer)</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DAT</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dépôt à terme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EFC</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Entraide de Fin de Carrière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FCP</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fonds commun de placement</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FPPN</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Fonds de prévoyance de la Police nationale</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PBC</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liste des documents demandés au FPPN</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PCMS</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plan comptable des mutuelles sociales</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PEP</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Plan Épargne Plus</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PSAP</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provision pour sinistres à payer</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S/C</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prestations / cotisations</w:t>
            </w:r>
          </w:p>
        </w:tc>
      </w:tr>
      <w:tr w:rsidR="006C1D96" w:rsidRPr="00821389" w14:paraId="094F2162" w14:textId="77777777" w:rsidTr="000C31FB">
        <w:trPr>
          <w:trHeight w:val="34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A15F47E" w14:textId="77777777" w:rsidR="004050DD" w:rsidRPr="00821389" w:rsidRDefault="004050DD" w:rsidP="0010591F">
            <w:pPr>
              <w:spacing w:before="0" w:beforeAutospacing="0" w:after="0" w:afterAutospacing="0" w:line="240" w:lineRule="auto"/>
              <w:jc w:val="left"/>
              <w:rPr>
                <w:sz w:val="20"/>
                <w:szCs w:val="20"/>
              </w:rPr>
            </w:pPr>
            <w:r w:rsidRPr="00821389">
              <w:rPr>
                <w:sz w:val="20"/>
                <w:szCs w:val="20"/>
              </w:rPr>
              <w:t xml:space="preserve">UEMOA</w:t>
            </w:r>
          </w:p>
        </w:tc>
        <w:tc>
          <w:tcPr>
            <w:tcW w:w="9053" w:type="dxa"/>
            <w:vAlign w:val="center"/>
          </w:tcPr>
          <w:p w14:paraId="775169A7" w14:textId="77777777" w:rsidR="004050DD" w:rsidRPr="00821389" w:rsidRDefault="004050DD" w:rsidP="0010591F">
            <w:pPr>
              <w:spacing w:before="0" w:beforeAutospacing="0" w:after="0" w:afterAutospacing="0" w:line="240" w:lineRule="auto"/>
              <w:jc w:val="left"/>
              <w:cnfStyle w:val="000000000000" w:firstRow="0" w:lastRow="0" w:firstColumn="0" w:lastColumn="0" w:oddVBand="0" w:evenVBand="0" w:oddHBand="0" w:evenHBand="0" w:firstRowFirstColumn="0" w:firstRowLastColumn="0" w:lastRowFirstColumn="0" w:lastRowLastColumn="0"/>
              <w:rPr>
                <w:sz w:val="20"/>
                <w:szCs w:val="20"/>
              </w:rPr>
            </w:pPr>
            <w:r w:rsidRPr="00821389">
              <w:rPr>
                <w:sz w:val="20"/>
                <w:szCs w:val="20"/>
              </w:rPr>
              <w:t xml:space="preserve">Union économique et monétaire ouest-africaine</w:t>
            </w:r>
          </w:p>
        </w:tc>
      </w:tr>
    </w:tbl>
    <w:p w14:paraId="282AD83F" w14:textId="77777777" w:rsidR="00243B6F" w:rsidRPr="00AA366B" w:rsidRDefault="00243B6F" w:rsidP="00A50091">
      <w:pPr>
        <w:pStyle w:val="Heading1"/>
        <w:sectPr w:rsidR="00243B6F" w:rsidRPr="00AA366B" w:rsidSect="006F0310">
          <w:pgSz w:w="11906" w:h="16838"/>
          <w:pgMar w:top="720" w:right="720" w:bottom="720" w:left="720" w:header="708" w:footer="708" w:gutter="0"/>
          <w:cols w:space="708"/>
          <w:docGrid w:linePitch="360"/>
        </w:sectPr>
      </w:pPr>
    </w:p>
    <w:p w14:paraId="0A138966" w14:textId="25A5E6C0" w:rsidR="004050DD" w:rsidRPr="00AA366B" w:rsidRDefault="001B60EC" w:rsidP="00A50091">
      <w:pPr>
        <w:pStyle w:val="Heading1"/>
      </w:pPr>
      <w:bookmarkStart w:id="8" w:name="_Toc240886174"/>
      <w:bookmarkStart w:id="9" w:name="_Toc240913006"/>
      <w:bookmarkStart w:id="10" w:name="_Toc240944005"/>
      <w:bookmarkStart w:id="11" w:name="_Toc241574046"/>
      <w:r w:rsidRPr="00AA366B">
        <w:t>TABLE DES ABRÉVIATIONS</w:t>
      </w:r>
      <w:bookmarkEnd w:id="8"/>
      <w:bookmarkEnd w:id="9"/>
      <w:bookmarkEnd w:id="10"/>
      <w:bookmarkEnd w:id="11"/>
    </w:p>
    <w:tbl>
      <w:tblPr>
        <w:tblStyle w:val="GridTable4"/>
        <w:tblW w:w="10466" w:type="dxa"/>
        <w:tblLook w:val="0480" w:firstRow="0" w:lastRow="0" w:firstColumn="1" w:lastColumn="0" w:noHBand="0" w:noVBand="1"/>
        <w:tblLayout w:type="fixed"/>
      </w:tblPr>
      <w:tblGrid>
        <w:gridCol w:w="1413"/>
        <w:gridCol w:w="9053"/>
      </w:tblGrid>
      <w:tr w:rsidR="006C1D96" w:rsidRPr="00AA366B" w14:paraId="664E4847" w14:textId="77777777" w:rsidTr="00361B05">
        <w:trPr>
          <w:trHeight w:val="283"/>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26B8EA2" w14:textId="77777777" w:rsidR="004050DD" w:rsidRPr="00AA366B" w:rsidRDefault="004050DD" w:rsidP="00982CCB">
            <w:r w:rsidRPr="00AA366B">
              <w:t>art.</w:t>
            </w:r>
          </w:p>
        </w:tc>
        <w:tc>
          <w:tcPr>
            <w:tcW w:w="9053" w:type="dxa"/>
            <w:vAlign w:val="center"/>
          </w:tcPr>
          <w:p w14:paraId="634B998B" w14:textId="5F156902" w:rsidR="004050DD" w:rsidRPr="00AA366B" w:rsidRDefault="007C64BB" w:rsidP="00982CCB">
            <w:pPr>
              <w:cnfStyle w:val="000000000000" w:firstRow="0" w:lastRow="0" w:firstColumn="0" w:lastColumn="0" w:oddVBand="0" w:evenVBand="0" w:oddHBand="0" w:evenHBand="0" w:firstRowFirstColumn="0" w:firstRowLastColumn="0" w:lastRowFirstColumn="0" w:lastRowLastColumn="0"/>
            </w:pPr>
            <w:r w:rsidRPr="00AA366B">
              <w:t>article</w:t>
            </w:r>
            <w:r w:rsidR="004050DD" w:rsidRPr="00AA366B">
              <w:t/>
            </w:r>
          </w:p>
        </w:tc>
      </w:tr>
      <w:tr w:rsidR="006C1D96" w:rsidRPr="00AA366B" w14:paraId="664E4847" w14:textId="77777777" w:rsidTr="00361B05">
        <w:trPr>
          <w:trHeight w:val="283"/>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26B8EA2" w14:textId="77777777" w:rsidR="004050DD" w:rsidRPr="00AA366B" w:rsidRDefault="004050DD" w:rsidP="00982CCB">
            <w:r w:rsidRPr="00AA366B">
              <w:t>FCFA</w:t>
            </w:r>
          </w:p>
        </w:tc>
        <w:tc>
          <w:tcPr>
            <w:tcW w:w="9053" w:type="dxa"/>
            <w:vAlign w:val="center"/>
          </w:tcPr>
          <w:p w14:paraId="634B998B" w14:textId="5F156902" w:rsidR="004050DD" w:rsidRPr="00AA366B" w:rsidRDefault="007C64BB" w:rsidP="00982CCB">
            <w:pPr>
              <w:cnfStyle w:val="000000000000" w:firstRow="0" w:lastRow="0" w:firstColumn="0" w:lastColumn="0" w:oddVBand="0" w:evenVBand="0" w:oddHBand="0" w:evenHBand="0" w:firstRowFirstColumn="0" w:firstRowLastColumn="0" w:lastRowFirstColumn="0" w:lastRowLastColumn="0"/>
            </w:pPr>
            <w:r w:rsidRPr="00AA366B">
              <w:t>franc de la Communauté financière africaine</w:t>
            </w:r>
            <w:r w:rsidR="004050DD" w:rsidRPr="00AA366B">
              <w:t/>
            </w:r>
          </w:p>
        </w:tc>
      </w:tr>
    </w:tbl>
    <w:p w14:paraId="0635A630" w14:textId="77777777" w:rsidR="00243B6F" w:rsidRPr="00AA366B" w:rsidRDefault="00243B6F" w:rsidP="00982CCB">
      <w:pPr>
        <w:sectPr w:rsidR="00243B6F" w:rsidRPr="00AA366B" w:rsidSect="006F0310">
          <w:pgSz w:w="11906" w:h="16838"/>
          <w:pgMar w:top="720" w:right="720" w:bottom="720" w:left="720" w:header="708" w:footer="708" w:gutter="0"/>
          <w:cols w:space="708"/>
          <w:docGrid w:linePitch="360"/>
        </w:sectPr>
      </w:pPr>
      <w:r w:rsidRPr="00AA366B">
        <w:tab/>
      </w:r>
    </w:p>
    <w:p w14:paraId="492C3623" w14:textId="72B26B44" w:rsidR="004050DD" w:rsidRPr="00AA366B" w:rsidRDefault="00603620" w:rsidP="00603620">
      <w:pPr>
        <w:pStyle w:val="Heading1"/>
      </w:pPr>
      <w:bookmarkStart w:id="12" w:name="_Toc240913007"/>
      <w:bookmarkStart w:id="13" w:name="_Toc240944006"/>
      <w:bookmarkStart w:id="14" w:name="_Toc241574047"/>
      <w:r w:rsidRPr="00AA366B">
        <w:t>LISTE DES TABLEAUX</w:t>
      </w:r>
      <w:bookmarkEnd w:id="12"/>
      <w:bookmarkEnd w:id="13"/>
      <w:bookmarkEnd w:id="14"/>
    </w:p>
    <w:sdt>
      <w:sdtPr>
        <w:rPr>
          <w:rFonts w:eastAsiaTheme="minorEastAsia"/>
          <w:kern w:val="2"/>
          <w:sz w:val="20"/>
          <w:szCs w:val="20"/>
          <w:lang w:eastAsia="en-US"/>
          <w14:ligatures w14:val="standardContextual"/>
        </w:rPr>
        <w:alias w:val="Tableaux"/>
        <w:id w:val="1307352816"/>
      </w:sdtPr>
      <w:sdtEndPr>
        <w:rPr>
          <w:kern w:val="0"/>
          <w:lang w:eastAsia="fr-CI"/>
          <w14:ligatures w14:val="none"/>
        </w:rPr>
      </w:sdtEndPr>
      <w:sdtContent>
        <w:p w14:paraId="778C74E5" w14:textId="79FCC72E" w:rsidR="00E53B0A" w:rsidRPr="00E53B0A" w:rsidRDefault="00AE38BD" w:rsidP="00E53B0A">
          <w:pPr>
            <w:pStyle w:val="TableofFigures"/>
            <w:spacing w:line="240" w:lineRule="auto"/>
            <w:rPr>
              <w:rFonts w:asciiTheme="minorHAnsi" w:eastAsiaTheme="minorEastAsia" w:hAnsiTheme="minorHAnsi" w:cstheme="minorBidi"/>
              <w:noProof/>
              <w:color w:val="auto"/>
              <w:kern w:val="2"/>
              <w:sz w:val="20"/>
              <w:szCs w:val="20"/>
              <w14:ligatures w14:val="standardContextual"/>
            </w:rPr>
          </w:pPr>
          <w:r w:rsidRPr="00E53B0A">
            <w:rPr>
              <w:sz w:val="20"/>
              <w:szCs w:val="20"/>
            </w:rPr>
            <w:fldChar w:fldCharType="begin"/>
          </w:r>
          <w:r w:rsidRPr="00E53B0A">
            <w:rPr>
              <w:sz w:val="20"/>
              <w:szCs w:val="20"/>
            </w:rPr>
            <w:instrText xml:space="preserve"> TOC \c "</w:instrText>
          </w:r>
          <w:r w:rsidR="00917DBE" w:rsidRPr="00E53B0A">
            <w:rPr>
              <w:sz w:val="20"/>
              <w:szCs w:val="20"/>
            </w:rPr>
            <w:instrText>Tableau</w:instrText>
          </w:r>
          <w:r w:rsidRPr="00E53B0A">
            <w:rPr>
              <w:sz w:val="20"/>
              <w:szCs w:val="20"/>
            </w:rPr>
            <w:instrText xml:space="preserve">" </w:instrText>
          </w:r>
          <w:r w:rsidRPr="00E53B0A">
            <w:rPr>
              <w:sz w:val="20"/>
              <w:szCs w:val="20"/>
            </w:rPr>
            <w:fldChar w:fldCharType="separate"/>
          </w:r>
          <w:r>
            <w:t>Clic droit puis « Mettre à jour les champs » (ou Ctrl+A puis F9) pour générer cette liste.</w:t>
          </w:r>
        </w:p>
        <w:p w14:paraId="5D17CE9F" w14:textId="644DE881" w:rsidR="00243B6F" w:rsidRPr="00AA366B" w:rsidRDefault="00AE38BD" w:rsidP="00E53B0A">
          <w:pPr>
            <w:pStyle w:val="TableofFigures"/>
            <w:spacing w:line="240" w:lineRule="auto"/>
            <w:sectPr w:rsidR="00243B6F" w:rsidRPr="00AA366B" w:rsidSect="006F0310">
              <w:pgSz w:w="11906" w:h="16838"/>
              <w:pgMar w:top="720" w:right="720" w:bottom="720" w:left="720" w:header="708" w:footer="708" w:gutter="0"/>
              <w:cols w:space="708"/>
              <w:docGrid w:linePitch="360"/>
            </w:sectPr>
          </w:pPr>
          <w:r w:rsidRPr="00E53B0A">
            <w:rPr>
              <w:sz w:val="20"/>
              <w:szCs w:val="20"/>
            </w:rPr>
            <w:fldChar w:fldCharType="end"/>
          </w:r>
        </w:p>
      </w:sdtContent>
    </w:sdt>
    <w:p w14:paraId="44217672" w14:textId="61D4D835" w:rsidR="004050DD" w:rsidRPr="00AA366B" w:rsidRDefault="001B60EC" w:rsidP="00A50091">
      <w:pPr>
        <w:pStyle w:val="Heading1"/>
      </w:pPr>
      <w:bookmarkStart w:id="15" w:name="_Toc240886175"/>
      <w:bookmarkStart w:id="16" w:name="_Toc240913008"/>
      <w:bookmarkStart w:id="17" w:name="_Toc240944007"/>
      <w:bookmarkStart w:id="18" w:name="_Toc241574048"/>
      <w:r w:rsidRPr="00AA366B">
        <w:t>LISTE DES FIGURES</w:t>
      </w:r>
      <w:bookmarkEnd w:id="15"/>
      <w:bookmarkEnd w:id="16"/>
      <w:bookmarkEnd w:id="17"/>
      <w:bookmarkEnd w:id="18"/>
    </w:p>
    <w:sdt>
      <w:sdtPr>
        <w:rPr>
          <w:rFonts w:eastAsiaTheme="minorEastAsia"/>
          <w:color w:val="auto"/>
          <w:kern w:val="2"/>
          <w:lang w:eastAsia="en-US"/>
          <w14:ligatures w14:val="standardContextual"/>
        </w:rPr>
        <w:alias w:val="Figures"/>
        <w:id w:val="-1375691650"/>
      </w:sdtPr>
      <w:sdtEndPr>
        <w:rPr>
          <w:color w:val="000000"/>
          <w:kern w:val="0"/>
          <w:sz w:val="20"/>
          <w:szCs w:val="20"/>
          <w:lang w:eastAsia="fr-CI"/>
          <w14:ligatures w14:val="none"/>
        </w:rPr>
      </w:sdtEndPr>
      <w:sdtContent>
        <w:p w14:paraId="0F10E1BD" w14:textId="4B2103D2" w:rsidR="008447F5" w:rsidRPr="00150274" w:rsidRDefault="004050DD" w:rsidP="00150274">
          <w:pPr>
            <w:pStyle w:val="TableofFigures"/>
            <w:spacing w:line="240" w:lineRule="auto"/>
            <w:rPr>
              <w:rFonts w:eastAsiaTheme="minorEastAsia"/>
              <w:noProof/>
              <w:color w:val="auto"/>
              <w:kern w:val="2"/>
              <w:sz w:val="20"/>
              <w:szCs w:val="20"/>
              <w:lang w:val="fr-FR" w:eastAsia="fr-FR"/>
              <w14:ligatures w14:val="standardContextual"/>
            </w:rPr>
          </w:pPr>
          <w:r w:rsidRPr="00150274">
            <w:rPr>
              <w:sz w:val="20"/>
              <w:szCs w:val="20"/>
            </w:rPr>
            <w:fldChar w:fldCharType="begin"/>
          </w:r>
          <w:r w:rsidRPr="00150274">
            <w:rPr>
              <w:sz w:val="20"/>
              <w:szCs w:val="20"/>
            </w:rPr>
            <w:instrText>TOC \c "Figure"</w:instrText>
          </w:r>
          <w:r w:rsidRPr="00150274">
            <w:rPr>
              <w:sz w:val="20"/>
              <w:szCs w:val="20"/>
            </w:rPr>
            <w:fldChar w:fldCharType="separate"/>
          </w:r>
          <w:r>
            <w:t>Clic droit puis « Mettre à jour les champs » (ou Ctrl+A puis F9) pour générer cette liste.</w:t>
          </w:r>
        </w:p>
        <w:p w14:paraId="5F353925" w14:textId="649C4DB8" w:rsidR="00243B6F" w:rsidRPr="00AA366B" w:rsidRDefault="004050DD" w:rsidP="00150274">
          <w:pPr>
            <w:spacing w:line="240" w:lineRule="auto"/>
          </w:pPr>
          <w:r w:rsidRPr="00150274">
            <w:rPr>
              <w:sz w:val="20"/>
              <w:szCs w:val="20"/>
            </w:rPr>
            <w:fldChar w:fldCharType="end"/>
          </w:r>
          <w:r w:rsidR="00243B6F" w:rsidRPr="003654B3">
            <w:rPr>
              <w:sz w:val="20"/>
              <w:szCs w:val="20"/>
            </w:rPr>
            <w:tab/>
          </w:r>
          <w:r w:rsidR="00243B6F" w:rsidRPr="003654B3">
            <w:rPr>
              <w:sz w:val="20"/>
              <w:szCs w:val="20"/>
            </w:rPr>
            <w:tab/>
          </w:r>
          <w:r w:rsidR="00243B6F" w:rsidRPr="003654B3">
            <w:rPr>
              <w:sz w:val="20"/>
              <w:szCs w:val="20"/>
            </w:rPr>
            <w:tab/>
          </w:r>
          <w:r w:rsidR="00243B6F" w:rsidRPr="003654B3">
            <w:rPr>
              <w:sz w:val="20"/>
              <w:szCs w:val="20"/>
            </w:rPr>
            <w:tab/>
          </w:r>
        </w:p>
      </w:sdtContent>
    </w:sdt>
    <w:p w14:paraId="2FDAB497" w14:textId="77777777" w:rsidR="00243B6F" w:rsidRPr="00AA366B" w:rsidRDefault="00243B6F" w:rsidP="00982CCB">
      <w:pPr>
        <w:sectPr w:rsidR="00243B6F" w:rsidRPr="00AA366B" w:rsidSect="006F0310">
          <w:pgSz w:w="11906" w:h="16838"/>
          <w:pgMar w:top="720" w:right="720" w:bottom="720" w:left="720" w:header="708" w:footer="708" w:gutter="0"/>
          <w:cols w:space="708"/>
          <w:docGrid w:linePitch="360"/>
        </w:sectPr>
      </w:pPr>
    </w:p>
    <w:p>
      <w:pPr>
        <w:pStyle w:val="Heading1"/>
      </w:pPr>
      <w:r>
        <w:t>OBJET DE LA NOTE</w:t>
      </w:r>
    </w:p>
    <w:p>
      <w:pPr/>
      <w:r>
        <w:rPr>
          <w:rFonts w:ascii="Helvetica" w:hAnsi="Helvetica" w:cs="Helvetica" w:eastAsia="Helvetica"/>
          <w:b/>
          <w:color w:val="000000"/>
        </w:rPr>
        <w:t>Cette note accompagne le résumé exécutif du rapport actuariel et statistique (version 8) pour le point d'étape du 21/10/2026.</w:t>
      </w:r>
      <w:r>
        <w:rPr>
          <w:rFonts w:ascii="Helvetica" w:hAnsi="Helvetica" w:cs="Helvetica" w:eastAsia="Helvetica"/>
          <w:color w:val="000000"/>
        </w:rPr>
        <w:t xml:space="preserve"> Elle répond, pour chaque constat, à quatre questions : à partir de quelles données, par quelle méthode, pour quelles raisons, et avec quels fichiers sources exacts.</w:t>
      </w:r>
    </w:p>
    <w:p>
      <w:pPr/>
      <w:r>
        <w:rPr>
          <w:rFonts w:ascii="Helvetica" w:hAnsi="Helvetica" w:cs="Helvetica" w:eastAsia="Helvetica"/>
          <w:b/>
          <w:color w:val="000000"/>
        </w:rPr>
        <w:t>Elle présente ensuite les limites des conclusions au regard des quatre tâches de la mission, puis les documents prioritaires.</w:t>
      </w:r>
      <w:r>
        <w:rPr>
          <w:rFonts w:ascii="Helvetica" w:hAnsi="Helvetica" w:cs="Helvetica" w:eastAsia="Helvetica"/>
          <w:color w:val="000000"/>
        </w:rPr>
        <w:t xml:space="preserve"> Période étudiée : du 01/01/2020 au 31/08/2026. Les tâches sont l'évaluation des engagements envers les adhérents et leurs ayants droit, la suffisance des provisions, l'adossement actif-passif et l'adéquation des placements aux engagements.</w:t>
      </w:r>
    </w:p>
    <w:p>
      <w:pPr/>
      <w:r>
        <w:rPr>
          <w:rFonts w:ascii="Helvetica" w:hAnsi="Helvetica" w:cs="Helvetica" w:eastAsia="Helvetica"/>
          <w:b/>
          <w:color w:val="000000"/>
        </w:rPr>
        <w:t>Tous les chiffres viennent du rapport v8 et du classeur des calculs v8, où chaque chiffre est retracé.</w:t>
      </w:r>
      <w:r>
        <w:rPr>
          <w:rFonts w:ascii="Helvetica" w:hAnsi="Helvetica" w:cs="Helvetica" w:eastAsia="Helvetica"/>
          <w:color w:val="000000"/>
        </w:rPr>
        <w:t xml:space="preserve"> Les fichiers cités sont ceux de l'extraction « FPPN_extraction_20261018_1939.zip » (4 287 fichiers, journal « journal_fichiers.csv »), avec leur dossier d'origine.</w:t>
      </w:r>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1691640" cy="7010400"/>
                <wp:effectExtent l="0" t="0" r="0" b="0"/>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69164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1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CONSTATS, MÉTHODES ET SOURCES</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1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CONSTATS, MÉTHODES ET SOURCES</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1 : CONSTATS, MÉTHODES ET SOURCES</w:t>
      </w:r>
    </w:p>
    <w:p>
      <w:pPr/>
      <w:r>
        <w:rPr>
          <w:rFonts w:ascii="Helvetica" w:hAnsi="Helvetica" w:cs="Helvetica" w:eastAsia="Helvetica"/>
          <w:color w:val="000000"/>
        </w:rPr>
        <w:t>Un constat du résumé exécutif par ligne : la donnée de départ, le calcul, les raisons et les fichiers qui le prouvent.</w:t>
      </w:r>
    </w:p>
    <w:p>
      <w:pPr>
        <w:pStyle w:val="Heading2"/>
      </w:pPr>
      <w:r>
        <w:t>1.1. POURQUOI CHAQUE CONSTAT</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1</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Constats du résumé exécutif : données, méthode, raisons et fichiers sources</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1928"/>
        <w:gridCol w:w="1984"/>
        <w:gridCol w:w="2098"/>
        <w:gridCol w:w="1984"/>
        <w:gridCol w:w="2438"/>
      </w:tblGrid>
      <w:tr>
        <w:trPr>
          <w:tblHeader/>
        </w:trPr>
        <w:tc>
          <w:tcPr>
            <w:tcW w:type="dxa" w:w="1928"/>
            <w:shd w:val="clear" w:color="auto" w:fill="000000"/>
          </w:tcPr>
          <w:p>
            <w:pPr>
              <w:spacing w:after="40" w:before="40" w:line="240" w:lineRule="auto"/>
              <w:jc w:val="left"/>
            </w:pPr>
            <w:r>
              <w:rPr>
                <w:rFonts w:ascii="Helvetica" w:hAnsi="Helvetica" w:cs="Helvetica" w:eastAsia="Helvetica"/>
                <w:b/>
                <w:color w:val="FFFFFF"/>
                <w:sz w:val="15"/>
              </w:rPr>
              <w:t>Constat et chiffre</w:t>
            </w:r>
          </w:p>
        </w:tc>
        <w:tc>
          <w:tcPr>
            <w:tcW w:type="dxa" w:w="1984"/>
            <w:shd w:val="clear" w:color="auto" w:fill="000000"/>
          </w:tcPr>
          <w:p>
            <w:pPr>
              <w:spacing w:after="40" w:before="40" w:line="240" w:lineRule="auto"/>
              <w:jc w:val="center"/>
            </w:pPr>
            <w:r>
              <w:rPr>
                <w:rFonts w:ascii="Helvetica" w:hAnsi="Helvetica" w:cs="Helvetica" w:eastAsia="Helvetica"/>
                <w:b/>
                <w:color w:val="FFFFFF"/>
                <w:sz w:val="15"/>
              </w:rPr>
              <w:t>À partir de quoi</w:t>
            </w:r>
          </w:p>
        </w:tc>
        <w:tc>
          <w:tcPr>
            <w:tcW w:type="dxa" w:w="2098"/>
            <w:shd w:val="clear" w:color="auto" w:fill="000000"/>
          </w:tcPr>
          <w:p>
            <w:pPr>
              <w:spacing w:after="40" w:before="40" w:line="240" w:lineRule="auto"/>
              <w:jc w:val="center"/>
            </w:pPr>
            <w:r>
              <w:rPr>
                <w:rFonts w:ascii="Helvetica" w:hAnsi="Helvetica" w:cs="Helvetica" w:eastAsia="Helvetica"/>
                <w:b/>
                <w:color w:val="FFFFFF"/>
                <w:sz w:val="15"/>
              </w:rPr>
              <w:t>Comment</w:t>
            </w:r>
          </w:p>
        </w:tc>
        <w:tc>
          <w:tcPr>
            <w:tcW w:type="dxa" w:w="1984"/>
            <w:shd w:val="clear" w:color="auto" w:fill="000000"/>
          </w:tcPr>
          <w:p>
            <w:pPr>
              <w:spacing w:after="40" w:before="40" w:line="240" w:lineRule="auto"/>
              <w:jc w:val="center"/>
            </w:pPr>
            <w:r>
              <w:rPr>
                <w:rFonts w:ascii="Helvetica" w:hAnsi="Helvetica" w:cs="Helvetica" w:eastAsia="Helvetica"/>
                <w:b/>
                <w:color w:val="FFFFFF"/>
                <w:sz w:val="15"/>
              </w:rPr>
              <w:t>Principales raisons</w:t>
            </w:r>
          </w:p>
        </w:tc>
        <w:tc>
          <w:tcPr>
            <w:tcW w:type="dxa" w:w="2438"/>
            <w:shd w:val="clear" w:color="auto" w:fill="000000"/>
          </w:tcPr>
          <w:p>
            <w:pPr>
              <w:spacing w:after="40" w:before="40" w:line="240" w:lineRule="auto"/>
              <w:jc w:val="center"/>
            </w:pPr>
            <w:r>
              <w:rPr>
                <w:rFonts w:ascii="Helvetica" w:hAnsi="Helvetica" w:cs="Helvetica" w:eastAsia="Helvetica"/>
                <w:b/>
                <w:color w:val="FFFFFF"/>
                <w:sz w:val="15"/>
              </w:rPr>
              <w:t>Sources exactes</w:t>
            </w:r>
          </w:p>
        </w:tc>
      </w:tr>
      <w:tr>
        <w:tc>
          <w:tcPr>
            <w:tcW w:type="dxa" w:w="1928"/>
          </w:tcPr>
          <w:p>
            <w:pPr>
              <w:spacing w:after="40" w:before="40" w:line="240" w:lineRule="auto"/>
              <w:jc w:val="left"/>
            </w:pPr>
            <w:r>
              <w:rPr>
                <w:rFonts w:ascii="Helvetica" w:hAnsi="Helvetica" w:cs="Helvetica" w:eastAsia="Helvetica"/>
                <w:b/>
                <w:color w:val="000000"/>
                <w:sz w:val="15"/>
              </w:rPr>
              <w:t>Données incomplètes</w:t>
            </w:r>
            <w:r>
              <w:rPr>
                <w:rFonts w:ascii="Helvetica" w:hAnsi="Helvetica" w:cs="Helvetica" w:eastAsia="Helvetica"/>
                <w:color w:val="000000"/>
                <w:sz w:val="15"/>
              </w:rPr>
              <w:t xml:space="preserve"> : 4 454 416 lignes de précomptes contrôlées. Précomptes mensuels à partir de 2023 ou 2024 selon le poste. Aucune base de prestations</w:t>
            </w:r>
          </w:p>
        </w:tc>
        <w:tc>
          <w:tcPr>
            <w:tcW w:type="dxa" w:w="1984"/>
          </w:tcPr>
          <w:p>
            <w:pPr>
              <w:spacing w:after="40" w:before="40" w:line="240" w:lineRule="auto"/>
              <w:jc w:val="left"/>
            </w:pPr>
            <w:r>
              <w:rPr>
                <w:rFonts w:ascii="Helvetica" w:hAnsi="Helvetica" w:cs="Helvetica" w:eastAsia="Helvetica"/>
                <w:color w:val="000000"/>
                <w:sz w:val="15"/>
              </w:rPr>
              <w:t>Fichiers aller et retour de la Solde, de la CGRAE et de GNA. Inventaire des 4 287 fichiers reçus</w:t>
            </w:r>
          </w:p>
        </w:tc>
        <w:tc>
          <w:tcPr>
            <w:tcW w:type="dxa" w:w="2098"/>
          </w:tcPr>
          <w:p>
            <w:pPr>
              <w:spacing w:after="40" w:before="40" w:line="240" w:lineRule="auto"/>
              <w:jc w:val="left"/>
            </w:pPr>
            <w:r>
              <w:rPr>
                <w:rFonts w:ascii="Helvetica" w:hAnsi="Helvetica" w:cs="Helvetica" w:eastAsia="Helvetica"/>
                <w:color w:val="000000"/>
                <w:sz w:val="15"/>
              </w:rPr>
              <w:t>Lecture de chaque fichier et de chaque feuille. Contrôle des totaux, des doublons et des lignes écartées. Mois couverts par poste</w:t>
            </w:r>
          </w:p>
        </w:tc>
        <w:tc>
          <w:tcPr>
            <w:tcW w:type="dxa" w:w="1984"/>
          </w:tcPr>
          <w:p>
            <w:pPr>
              <w:spacing w:after="40" w:before="40" w:line="240" w:lineRule="auto"/>
              <w:jc w:val="left"/>
            </w:pPr>
            <w:r>
              <w:rPr>
                <w:rFonts w:ascii="Helvetica" w:hAnsi="Helvetica" w:cs="Helvetica" w:eastAsia="Helvetica"/>
                <w:color w:val="000000"/>
                <w:sz w:val="15"/>
              </w:rPr>
              <w:t>Précomptes de 2020 à 2022 non transmis (sauf PEP 2001 à 2022). Prestations jamais extraites du logiciel</w:t>
            </w:r>
          </w:p>
        </w:tc>
        <w:tc>
          <w:tcPr>
            <w:tcW w:type="dxa" w:w="2438"/>
          </w:tcPr>
          <w:p>
            <w:pPr>
              <w:spacing w:after="40" w:before="40" w:line="240" w:lineRule="auto"/>
              <w:jc w:val="left"/>
            </w:pPr>
            <w:r>
              <w:rPr>
                <w:rFonts w:ascii="Helvetica" w:hAnsi="Helvetica" w:cs="Helvetica" w:eastAsia="Helvetica"/>
                <w:color w:val="000000"/>
                <w:sz w:val="15"/>
              </w:rPr>
              <w:t>« FPPN_extraction_20261018_1939.zip »</w:t>
              <w:br/>
              <w:t>« journal_fichiers.csv »</w:t>
              <w:br/>
              <w:t>dossiers FPPN-SOLDE, FPPN-CGRAE\PRECOMTES et FPPN-GNA</w:t>
            </w:r>
          </w:p>
        </w:tc>
      </w:tr>
      <w:tr>
        <w:tc>
          <w:tcPr>
            <w:tcW w:type="dxa" w:w="1928"/>
            <w:shd w:val="clear" w:color="auto" w:fill="E8E8E8"/>
          </w:tcPr>
          <w:p>
            <w:pPr>
              <w:spacing w:after="40" w:before="40" w:line="240" w:lineRule="auto"/>
              <w:jc w:val="left"/>
            </w:pPr>
            <w:r>
              <w:rPr>
                <w:rFonts w:ascii="Helvetica" w:hAnsi="Helvetica" w:cs="Helvetica" w:eastAsia="Helvetica"/>
                <w:b/>
                <w:color w:val="000000"/>
                <w:sz w:val="15"/>
              </w:rPr>
              <w:t>Cotisations</w:t>
            </w:r>
            <w:r>
              <w:rPr>
                <w:rFonts w:ascii="Helvetica" w:hAnsi="Helvetica" w:cs="Helvetica" w:eastAsia="Helvetica"/>
                <w:color w:val="000000"/>
                <w:sz w:val="15"/>
              </w:rPr>
              <w:t xml:space="preserve"> : 5,00 % du salaire de base, répartis par la Solde en 3,77 % maladie et 1,23 % décès, au lieu de 3,5 % et 1,5 %</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Fichiers retour maladie (poste 936) et décès (poste 8Z6) avec le salaire de base de chaque agent : 209 670 lignes</w:t>
            </w:r>
          </w:p>
        </w:tc>
        <w:tc>
          <w:tcPr>
            <w:tcW w:type="dxa" w:w="2098"/>
            <w:shd w:val="clear" w:color="auto" w:fill="E8E8E8"/>
          </w:tcPr>
          <w:p>
            <w:pPr>
              <w:spacing w:after="40" w:before="40" w:line="240" w:lineRule="auto"/>
              <w:jc w:val="left"/>
            </w:pPr>
            <w:r>
              <w:rPr>
                <w:rFonts w:ascii="Helvetica" w:hAnsi="Helvetica" w:cs="Helvetica" w:eastAsia="Helvetica"/>
                <w:color w:val="000000"/>
                <w:sz w:val="15"/>
              </w:rPr>
              <w:t>Pour chaque agent : précompte / salaire de base. Valeur médiane par poste. Comparaison au barème des statuts</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La Solde applique une répartition différente de l'article 17 des statuts. La comptabilité suit une troisième clé</w:t>
            </w:r>
          </w:p>
        </w:tc>
        <w:tc>
          <w:tcPr>
            <w:tcW w:type="dxa" w:w="2438"/>
            <w:shd w:val="clear" w:color="auto" w:fill="E8E8E8"/>
          </w:tcPr>
          <w:p>
            <w:pPr>
              <w:spacing w:after="40" w:before="40" w:line="240" w:lineRule="auto"/>
              <w:jc w:val="left"/>
            </w:pPr>
            <w:r>
              <w:rPr>
                <w:rFonts w:ascii="Helvetica" w:hAnsi="Helvetica" w:cs="Helvetica" w:eastAsia="Helvetica"/>
                <w:color w:val="000000"/>
                <w:sz w:val="15"/>
              </w:rPr>
              <w:t>FPPN-SOLDE\EFFECTIF POLICE (MALADIE)\2024 à 2026 (ex. « 012024_effectif_police_936_JANVIER 2024.xlsx »)</w:t>
              <w:br/>
              <w:t>FPPN-SOLDE\ALLOCATION DECES\2024 à 2026 (ex. « FPPN_ALLOC_DECES_8Z6_JANVIER_2025.xlsx »)</w:t>
              <w:br/>
              <w:t>« STATUTS FPPN 15 JUIN 2023.pdf », art. 17</w:t>
            </w:r>
          </w:p>
        </w:tc>
      </w:tr>
      <w:tr>
        <w:tc>
          <w:tcPr>
            <w:tcW w:type="dxa" w:w="1928"/>
          </w:tcPr>
          <w:p>
            <w:pPr>
              <w:spacing w:after="40" w:before="40" w:line="240" w:lineRule="auto"/>
              <w:jc w:val="left"/>
            </w:pPr>
            <w:r>
              <w:rPr>
                <w:rFonts w:ascii="Helvetica" w:hAnsi="Helvetica" w:cs="Helvetica" w:eastAsia="Helvetica"/>
                <w:b/>
                <w:color w:val="000000"/>
                <w:sz w:val="15"/>
              </w:rPr>
              <w:t>Sinistralité maladie</w:t>
            </w:r>
            <w:r>
              <w:rPr>
                <w:rFonts w:ascii="Helvetica" w:hAnsi="Helvetica" w:cs="Helvetica" w:eastAsia="Helvetica"/>
                <w:color w:val="000000"/>
                <w:sz w:val="15"/>
              </w:rPr>
              <w:t xml:space="preserve"> : S/C de 6,00 % en 2021 et 73,53 % en 2025</w:t>
            </w:r>
          </w:p>
        </w:tc>
        <w:tc>
          <w:tcPr>
            <w:tcW w:type="dxa" w:w="1984"/>
          </w:tcPr>
          <w:p>
            <w:pPr>
              <w:spacing w:after="40" w:before="40" w:line="240" w:lineRule="auto"/>
              <w:jc w:val="left"/>
            </w:pPr>
            <w:r>
              <w:rPr>
                <w:rFonts w:ascii="Helvetica" w:hAnsi="Helvetica" w:cs="Helvetica" w:eastAsia="Helvetica"/>
                <w:color w:val="000000"/>
                <w:sz w:val="15"/>
              </w:rPr>
              <w:t>Prestations maladie (comptes 601, 6013, 6018, 60800007) et cotisations maladie (compte 7010)</w:t>
            </w:r>
          </w:p>
        </w:tc>
        <w:tc>
          <w:tcPr>
            <w:tcW w:type="dxa" w:w="2098"/>
          </w:tcPr>
          <w:p>
            <w:pPr>
              <w:spacing w:after="40" w:before="40" w:line="240" w:lineRule="auto"/>
              <w:jc w:val="left"/>
            </w:pPr>
            <w:r>
              <w:rPr>
                <w:rFonts w:ascii="Helvetica" w:hAnsi="Helvetica" w:cs="Helvetica" w:eastAsia="Helvetica"/>
                <w:color w:val="000000"/>
                <w:sz w:val="15"/>
              </w:rPr>
              <w:t>S/C = prestations / cotisations : 101 453 171 / 1 691 332 910 en 2021. 1 771 635 361 / 2 409 281 030 en 2025</w:t>
            </w:r>
          </w:p>
        </w:tc>
        <w:tc>
          <w:tcPr>
            <w:tcW w:type="dxa" w:w="1984"/>
          </w:tcPr>
          <w:p>
            <w:pPr>
              <w:spacing w:after="40" w:before="40" w:line="240" w:lineRule="auto"/>
              <w:jc w:val="left"/>
            </w:pPr>
            <w:r>
              <w:rPr>
                <w:rFonts w:ascii="Helvetica" w:hAnsi="Helvetica" w:cs="Helvetica" w:eastAsia="Helvetica"/>
                <w:color w:val="000000"/>
                <w:sz w:val="15"/>
              </w:rPr>
              <w:t>Prestations multipliées par 17,46 en quatre ans, cotisations en hausse de 42,45 %. Provisions inchangées, donc sans effet sur le ratio</w:t>
            </w:r>
          </w:p>
        </w:tc>
        <w:tc>
          <w:tcPr>
            <w:tcW w:type="dxa" w:w="2438"/>
          </w:tcPr>
          <w:p>
            <w:pPr>
              <w:spacing w:after="40" w:before="40" w:line="240" w:lineRule="auto"/>
              <w:jc w:val="left"/>
            </w:pPr>
            <w:r>
              <w:rPr>
                <w:rFonts w:ascii="Helvetica" w:hAnsi="Helvetica" w:cs="Helvetica" w:eastAsia="Helvetica"/>
                <w:color w:val="000000"/>
                <w:sz w:val="15"/>
              </w:rPr>
              <w:t>« BALANCE FPPN FORMAT EXCEL DU 01-01-2021 AU 31-12-2026.xlsx » (AUDIT ADENKA\DAFC\2021)</w:t>
              <w:br/>
              <w:t>« BALANCE FPPN 2025.xlsx » (AUDIT ADENKA\DAFC\2025)</w:t>
            </w:r>
          </w:p>
        </w:tc>
      </w:tr>
      <w:tr>
        <w:tc>
          <w:tcPr>
            <w:tcW w:type="dxa" w:w="1928"/>
            <w:shd w:val="clear" w:color="auto" w:fill="E8E8E8"/>
          </w:tcPr>
          <w:p>
            <w:pPr>
              <w:spacing w:after="40" w:before="40" w:line="240" w:lineRule="auto"/>
              <w:jc w:val="left"/>
            </w:pPr>
            <w:r>
              <w:rPr>
                <w:rFonts w:ascii="Helvetica" w:hAnsi="Helvetica" w:cs="Helvetica" w:eastAsia="Helvetica"/>
                <w:b/>
                <w:color w:val="000000"/>
                <w:sz w:val="15"/>
              </w:rPr>
              <w:t>Provisions figées</w:t>
            </w:r>
            <w:r>
              <w:rPr>
                <w:rFonts w:ascii="Helvetica" w:hAnsi="Helvetica" w:cs="Helvetica" w:eastAsia="Helvetica"/>
                <w:color w:val="000000"/>
                <w:sz w:val="15"/>
              </w:rPr>
              <w:t xml:space="preserve"> : 4 829 298 290 FCFA de 2020 au 31/08/2026</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Soldes des provisions maladie (19011000 puis 15801000 : 2 867 602 878 FCFA) et obsèques (19012000 puis 15802000 : 1 961 695 412 FCFA). Absence des comptes 6901 et 7901</w:t>
            </w:r>
          </w:p>
        </w:tc>
        <w:tc>
          <w:tcPr>
            <w:tcW w:type="dxa" w:w="2098"/>
            <w:shd w:val="clear" w:color="auto" w:fill="E8E8E8"/>
          </w:tcPr>
          <w:p>
            <w:pPr>
              <w:spacing w:after="40" w:before="40" w:line="240" w:lineRule="auto"/>
              <w:jc w:val="left"/>
            </w:pPr>
            <w:r>
              <w:rPr>
                <w:rFonts w:ascii="Helvetica" w:hAnsi="Helvetica" w:cs="Helvetica" w:eastAsia="Helvetica"/>
                <w:color w:val="000000"/>
                <w:sz w:val="15"/>
              </w:rPr>
              <w:t>Comparaison des soldes d'une clôture à l'autre. Recherche des dotations et reprises de provisions</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Montants hérités d'environ 2004, jamais recalculés. Aucune note de calcul transmise</w:t>
            </w:r>
          </w:p>
        </w:tc>
        <w:tc>
          <w:tcPr>
            <w:tcW w:type="dxa" w:w="2438"/>
            <w:shd w:val="clear" w:color="auto" w:fill="E8E8E8"/>
          </w:tcPr>
          <w:p>
            <w:pPr>
              <w:spacing w:after="40" w:before="40" w:line="240" w:lineRule="auto"/>
              <w:jc w:val="left"/>
            </w:pPr>
            <w:r>
              <w:rPr>
                <w:rFonts w:ascii="Helvetica" w:hAnsi="Helvetica" w:cs="Helvetica" w:eastAsia="Helvetica"/>
                <w:color w:val="000000"/>
                <w:sz w:val="15"/>
              </w:rPr>
              <w:t>Les sept balances : « BALANCE FORMAT EXCEL DE 09-2020 AU 31-12-2020.xlsx », « BALANCE FPPN FORMAT EXCEL DU 01-01-2021 AU 31-12-2026.xlsx », « BALANCE FPPN 2022.xlsx », « BALANCE FPPN 2023.xlsx », « BALANCE FPPN 2024.xlsx », « BALANCE FPPN 2025.xlsx », « BALANCE FPPN DU 01-01-2026 AU 31-08-2026.xlsx » (AUDIT ADENKA\DAFC)</w:t>
              <w:br/>
              <w:t>« FPPN_CR_entretien_provisions_20261019.pptx »</w:t>
            </w:r>
          </w:p>
        </w:tc>
      </w:tr>
      <w:tr>
        <w:tc>
          <w:tcPr>
            <w:tcW w:type="dxa" w:w="1928"/>
          </w:tcPr>
          <w:p>
            <w:pPr>
              <w:spacing w:after="40" w:before="40" w:line="240" w:lineRule="auto"/>
              <w:jc w:val="left"/>
            </w:pPr>
            <w:r>
              <w:rPr>
                <w:rFonts w:ascii="Helvetica" w:hAnsi="Helvetica" w:cs="Helvetica" w:eastAsia="Helvetica"/>
                <w:b/>
                <w:color w:val="000000"/>
                <w:sz w:val="15"/>
              </w:rPr>
              <w:t>Épargne</w:t>
            </w:r>
            <w:r>
              <w:rPr>
                <w:rFonts w:ascii="Helvetica" w:hAnsi="Helvetica" w:cs="Helvetica" w:eastAsia="Helvetica"/>
                <w:color w:val="000000"/>
                <w:sz w:val="15"/>
              </w:rPr>
              <w:t xml:space="preserve"> : 15 743 516 391 FCFA due au 31/08/2026, couverte à 16,28 % par des actifs dédiés</w:t>
            </w:r>
          </w:p>
        </w:tc>
        <w:tc>
          <w:tcPr>
            <w:tcW w:type="dxa" w:w="1984"/>
          </w:tcPr>
          <w:p>
            <w:pPr>
              <w:spacing w:after="40" w:before="40" w:line="240" w:lineRule="auto"/>
              <w:jc w:val="left"/>
            </w:pPr>
            <w:r>
              <w:rPr>
                <w:rFonts w:ascii="Helvetica" w:hAnsi="Helvetica" w:cs="Helvetica" w:eastAsia="Helvetica"/>
                <w:color w:val="000000"/>
                <w:sz w:val="15"/>
              </w:rPr>
              <w:t>Comptes 41195100 (PEP : 5 229 245 425 FCFA) et 41195200 (EFC : 10 514 270 966 FCFA). Banques, DAT dédiés et FCP : 2 562 885 661 FCFA</w:t>
            </w:r>
          </w:p>
        </w:tc>
        <w:tc>
          <w:tcPr>
            <w:tcW w:type="dxa" w:w="2098"/>
          </w:tcPr>
          <w:p>
            <w:pPr>
              <w:spacing w:after="40" w:before="40" w:line="240" w:lineRule="auto"/>
              <w:jc w:val="left"/>
            </w:pPr>
            <w:r>
              <w:rPr>
                <w:rFonts w:ascii="Helvetica" w:hAnsi="Helvetica" w:cs="Helvetica" w:eastAsia="Helvetica"/>
                <w:color w:val="000000"/>
                <w:sz w:val="15"/>
              </w:rPr>
              <w:t>Couverture = actifs dédiés / épargne due = 2 562 885 661 / 15 743 516 391</w:t>
            </w:r>
          </w:p>
        </w:tc>
        <w:tc>
          <w:tcPr>
            <w:tcW w:type="dxa" w:w="1984"/>
          </w:tcPr>
          <w:p>
            <w:pPr>
              <w:spacing w:after="40" w:before="40" w:line="240" w:lineRule="auto"/>
              <w:jc w:val="left"/>
            </w:pPr>
            <w:r>
              <w:rPr>
                <w:rFonts w:ascii="Helvetica" w:hAnsi="Helvetica" w:cs="Helvetica" w:eastAsia="Helvetica"/>
                <w:color w:val="000000"/>
                <w:sz w:val="15"/>
              </w:rPr>
              <w:t>Épargne employée dans la créance sur l'hôpital, la clinique, les terrains et les prêts du Grenier. DAT soldé à chaque clôture</w:t>
            </w:r>
          </w:p>
        </w:tc>
        <w:tc>
          <w:tcPr>
            <w:tcW w:type="dxa" w:w="2438"/>
          </w:tcPr>
          <w:p>
            <w:pPr>
              <w:spacing w:after="40" w:before="40" w:line="240" w:lineRule="auto"/>
              <w:jc w:val="left"/>
            </w:pPr>
            <w:r>
              <w:rPr>
                <w:rFonts w:ascii="Helvetica" w:hAnsi="Helvetica" w:cs="Helvetica" w:eastAsia="Helvetica"/>
                <w:color w:val="000000"/>
                <w:sz w:val="15"/>
              </w:rPr>
              <w:t>« BALANCE FPPN DU 01-01-2026 AU 31-08-2026.xlsx » et « BALANCE DES TIERS FPPN DU 01-01-2026 AU 31-08-2026.xlsx » (AUDIT ADENKA\DAFC\2026)</w:t>
            </w:r>
          </w:p>
        </w:tc>
      </w:tr>
      <w:tr>
        <w:tc>
          <w:tcPr>
            <w:tcW w:type="dxa" w:w="1928"/>
            <w:shd w:val="clear" w:color="auto" w:fill="E8E8E8"/>
          </w:tcPr>
          <w:p>
            <w:pPr>
              <w:spacing w:after="40" w:before="40" w:line="240" w:lineRule="auto"/>
              <w:jc w:val="left"/>
            </w:pPr>
            <w:r>
              <w:rPr>
                <w:rFonts w:ascii="Helvetica" w:hAnsi="Helvetica" w:cs="Helvetica" w:eastAsia="Helvetica"/>
                <w:b/>
                <w:color w:val="000000"/>
                <w:sz w:val="15"/>
              </w:rPr>
              <w:t>Fonds propres</w:t>
            </w:r>
            <w:r>
              <w:rPr>
                <w:rFonts w:ascii="Helvetica" w:hAnsi="Helvetica" w:cs="Helvetica" w:eastAsia="Helvetica"/>
                <w:color w:val="000000"/>
                <w:sz w:val="15"/>
              </w:rPr>
              <w:t xml:space="preserve"> : -438 242 200 FCFA fin 2025</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Capitaux propres (classes 10 à 14) dont pertes reportées (compte 129) : 5 272 983 928 FCFA. Résultat 2025 : 437 899 911 FCFA</w:t>
            </w:r>
          </w:p>
        </w:tc>
        <w:tc>
          <w:tcPr>
            <w:tcW w:type="dxa" w:w="2098"/>
            <w:shd w:val="clear" w:color="auto" w:fill="E8E8E8"/>
          </w:tcPr>
          <w:p>
            <w:pPr>
              <w:spacing w:after="40" w:before="40" w:line="240" w:lineRule="auto"/>
              <w:jc w:val="left"/>
            </w:pPr>
            <w:r>
              <w:rPr>
                <w:rFonts w:ascii="Helvetica" w:hAnsi="Helvetica" w:cs="Helvetica" w:eastAsia="Helvetica"/>
                <w:color w:val="000000"/>
                <w:sz w:val="15"/>
              </w:rPr>
              <w:t>Fonds propres = capitaux propres (-876 142 111 FCFA) + résultat de l'exercice (437 899 911 FCFA)</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Pertes passées supérieures aux réserves. Les excédents annuels réduisent l'écart sans le combler</w:t>
            </w:r>
          </w:p>
        </w:tc>
        <w:tc>
          <w:tcPr>
            <w:tcW w:type="dxa" w:w="2438"/>
            <w:shd w:val="clear" w:color="auto" w:fill="E8E8E8"/>
          </w:tcPr>
          <w:p>
            <w:pPr>
              <w:spacing w:after="40" w:before="40" w:line="240" w:lineRule="auto"/>
              <w:jc w:val="left"/>
            </w:pPr>
            <w:r>
              <w:rPr>
                <w:rFonts w:ascii="Helvetica" w:hAnsi="Helvetica" w:cs="Helvetica" w:eastAsia="Helvetica"/>
                <w:color w:val="000000"/>
                <w:sz w:val="15"/>
              </w:rPr>
              <w:t>« BALANCE FPPN 2025.xlsx » (AUDIT ADENKA\DAFC\2025)</w:t>
            </w:r>
          </w:p>
        </w:tc>
      </w:tr>
      <w:tr>
        <w:tc>
          <w:tcPr>
            <w:tcW w:type="dxa" w:w="1928"/>
          </w:tcPr>
          <w:p>
            <w:pPr>
              <w:spacing w:after="40" w:before="40" w:line="240" w:lineRule="auto"/>
              <w:jc w:val="left"/>
            </w:pPr>
            <w:r>
              <w:rPr>
                <w:rFonts w:ascii="Helvetica" w:hAnsi="Helvetica" w:cs="Helvetica" w:eastAsia="Helvetica"/>
                <w:b/>
                <w:color w:val="000000"/>
                <w:sz w:val="15"/>
              </w:rPr>
              <w:t>Conformité</w:t>
            </w:r>
            <w:r>
              <w:rPr>
                <w:rFonts w:ascii="Helvetica" w:hAnsi="Helvetica" w:cs="Helvetica" w:eastAsia="Helvetica"/>
                <w:color w:val="000000"/>
                <w:sz w:val="15"/>
              </w:rPr>
              <w:t xml:space="preserve"> : sur 36 ratios, 14 non conformes, 7 conformes, 15 en attente. 13 ratios sur 14 non conformes chaque année de 2020 à 2026</w:t>
            </w:r>
          </w:p>
        </w:tc>
        <w:tc>
          <w:tcPr>
            <w:tcW w:type="dxa" w:w="1984"/>
          </w:tcPr>
          <w:p>
            <w:pPr>
              <w:spacing w:after="40" w:before="40" w:line="240" w:lineRule="auto"/>
              <w:jc w:val="left"/>
            </w:pPr>
            <w:r>
              <w:rPr>
                <w:rFonts w:ascii="Helvetica" w:hAnsi="Helvetica" w:cs="Helvetica" w:eastAsia="Helvetica"/>
                <w:color w:val="000000"/>
                <w:sz w:val="15"/>
              </w:rPr>
              <w:t>Agrégats des balances 2020 au 31/08/2026. Formules et normes des textes UEMOA</w:t>
            </w:r>
          </w:p>
        </w:tc>
        <w:tc>
          <w:tcPr>
            <w:tcW w:type="dxa" w:w="2098"/>
          </w:tcPr>
          <w:p>
            <w:pPr>
              <w:spacing w:after="40" w:before="40" w:line="240" w:lineRule="auto"/>
              <w:jc w:val="left"/>
            </w:pPr>
            <w:r>
              <w:rPr>
                <w:rFonts w:ascii="Helvetica" w:hAnsi="Helvetica" w:cs="Helvetica" w:eastAsia="Helvetica"/>
                <w:color w:val="000000"/>
                <w:sz w:val="15"/>
              </w:rPr>
              <w:t>Chaque ratio recalculé avec la formule et la norme de la Décision n° 05/2022. Statut jugé sur 2022 à 2025. Montant à combler par inversion de la formule</w:t>
            </w:r>
          </w:p>
        </w:tc>
        <w:tc>
          <w:tcPr>
            <w:tcW w:type="dxa" w:w="1984"/>
          </w:tcPr>
          <w:p>
            <w:pPr>
              <w:spacing w:after="40" w:before="40" w:line="240" w:lineRule="auto"/>
              <w:jc w:val="left"/>
            </w:pPr>
            <w:r>
              <w:rPr>
                <w:rFonts w:ascii="Helvetica" w:hAnsi="Helvetica" w:cs="Helvetica" w:eastAsia="Helvetica"/>
                <w:color w:val="000000"/>
                <w:sz w:val="15"/>
              </w:rPr>
              <w:t>Cinq causes récurrentes : épargne non adossée, pertes reportées, réserve obligatoire tardive, frais au-delà des plafonds, prestations faibles</w:t>
            </w:r>
          </w:p>
        </w:tc>
        <w:tc>
          <w:tcPr>
            <w:tcW w:type="dxa" w:w="2438"/>
          </w:tcPr>
          <w:p>
            <w:pPr>
              <w:spacing w:after="40" w:before="40" w:line="240" w:lineRule="auto"/>
              <w:jc w:val="left"/>
            </w:pPr>
            <w:r>
              <w:rPr>
                <w:rFonts w:ascii="Helvetica" w:hAnsi="Helvetica" w:cs="Helvetica" w:eastAsia="Helvetica"/>
                <w:color w:val="000000"/>
                <w:sz w:val="15"/>
              </w:rPr>
              <w:t>Les sept balances : « BALANCE FORMAT EXCEL DE 09-2020 AU 31-12-2020.xlsx », « BALANCE FPPN FORMAT EXCEL DU 01-01-2021 AU 31-12-2026.xlsx », « BALANCE FPPN 2022.xlsx », « BALANCE FPPN 2023.xlsx », « BALANCE FPPN 2024.xlsx », « BALANCE FPPN 2025.xlsx », « BALANCE FPPN DU 01-01-2026 AU 31-08-2026.xlsx » (AUDIT ADENKA\DAFC)</w:t>
              <w:br/>
              <w:t>Textes de l'AIRMS (dossiers AIRMS_01 et AIRMS_02 fournis le 18/10/2026) : Décision n° 05/2022/COM/UEMOA, règlement d'exécution n° 004/2022/COM/UEMOA, « Règlement n°07-2009-CM-UEMOA_Mutualité sociale (1) (3).pdf », « Reglement_03_2012_CM_UEMOA-adoption plan comptable (1).pdf »</w:t>
              <w:br/>
              <w:t>« FPPN_Calculs_rapport_20261015_v8.xlsx » (onglets 10 et 13)</w:t>
            </w:r>
          </w:p>
        </w:tc>
      </w:tr>
      <w:tr>
        <w:tc>
          <w:tcPr>
            <w:tcW w:type="dxa" w:w="1928"/>
            <w:shd w:val="clear" w:color="auto" w:fill="E8E8E8"/>
          </w:tcPr>
          <w:p>
            <w:pPr>
              <w:spacing w:after="40" w:before="40" w:line="240" w:lineRule="auto"/>
              <w:jc w:val="left"/>
            </w:pPr>
            <w:r>
              <w:rPr>
                <w:rFonts w:ascii="Helvetica" w:hAnsi="Helvetica" w:cs="Helvetica" w:eastAsia="Helvetica"/>
                <w:b/>
                <w:color w:val="000000"/>
                <w:sz w:val="15"/>
              </w:rPr>
              <w:t>Grenier</w:t>
            </w:r>
            <w:r>
              <w:rPr>
                <w:rFonts w:ascii="Helvetica" w:hAnsi="Helvetica" w:cs="Helvetica" w:eastAsia="Helvetica"/>
                <w:color w:val="000000"/>
                <w:sz w:val="15"/>
              </w:rPr>
              <w:t xml:space="preserve"> : 1 044 302 107 FCFA d'encours au 31/08/2026, dont 915 477 260 FCFA financés par le FPPN</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Balances âgées détaillées du logiciel de prêts (2 959 prêts). Compte 47111102</w:t>
            </w:r>
          </w:p>
        </w:tc>
        <w:tc>
          <w:tcPr>
            <w:tcW w:type="dxa" w:w="2098"/>
            <w:shd w:val="clear" w:color="auto" w:fill="E8E8E8"/>
          </w:tcPr>
          <w:p>
            <w:pPr>
              <w:spacing w:after="40" w:before="40" w:line="240" w:lineRule="auto"/>
              <w:jc w:val="left"/>
            </w:pPr>
            <w:r>
              <w:rPr>
                <w:rFonts w:ascii="Helvetica" w:hAnsi="Helvetica" w:cs="Helvetica" w:eastAsia="Helvetica"/>
                <w:color w:val="000000"/>
                <w:sz w:val="15"/>
              </w:rPr>
              <w:t>Somme des encours prêt par prêt. Comparaison au financement comptabilisé par le FPPN</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Production soutenue de prêts, financée par l'épargne et les excédents du FPPN</w:t>
            </w:r>
          </w:p>
        </w:tc>
        <w:tc>
          <w:tcPr>
            <w:tcW w:type="dxa" w:w="2438"/>
            <w:shd w:val="clear" w:color="auto" w:fill="E8E8E8"/>
          </w:tcPr>
          <w:p>
            <w:pPr>
              <w:spacing w:after="40" w:before="40" w:line="240" w:lineRule="auto"/>
              <w:jc w:val="left"/>
            </w:pPr>
            <w:r>
              <w:rPr>
                <w:rFonts w:ascii="Helvetica" w:hAnsi="Helvetica" w:cs="Helvetica" w:eastAsia="Helvetica"/>
                <w:color w:val="000000"/>
                <w:sz w:val="15"/>
              </w:rPr>
              <w:t>AUDIT ADENKA\SERVICE GRENIER DU POLICIER\FICHIER ALLER\GRENIER AOÛT 2026 : « BalanceAgeeDetaille AOUT 2026.xls » et ses versions CRF, CRO, CRS</w:t>
              <w:br/>
              <w:t>« production_de_la_periode … .xls »</w:t>
              <w:br/>
              <w:t>« BALANCE FPPN DU 01-01-2026 AU 31-08-2026.xlsx » et « BALANCE DES TIERS FPPN DU 01-01-2026 AU 31-08-2026.xlsx » (AUDIT ADENKA\DAFC\2026)</w:t>
            </w:r>
          </w:p>
        </w:tc>
      </w:tr>
      <w:tr>
        <w:tc>
          <w:tcPr>
            <w:tcW w:type="dxa" w:w="1928"/>
          </w:tcPr>
          <w:p>
            <w:pPr>
              <w:spacing w:after="40" w:before="40" w:line="240" w:lineRule="auto"/>
              <w:jc w:val="left"/>
            </w:pPr>
            <w:r>
              <w:rPr>
                <w:rFonts w:ascii="Helvetica" w:hAnsi="Helvetica" w:cs="Helvetica" w:eastAsia="Helvetica"/>
                <w:b/>
                <w:color w:val="000000"/>
                <w:sz w:val="15"/>
              </w:rPr>
              <w:t>Adossement</w:t>
            </w:r>
            <w:r>
              <w:rPr>
                <w:rFonts w:ascii="Helvetica" w:hAnsi="Helvetica" w:cs="Helvetica" w:eastAsia="Helvetica"/>
                <w:color w:val="000000"/>
                <w:sz w:val="15"/>
              </w:rPr>
              <w:t xml:space="preserve"> : les engagements connus (22 761 252 888 FCFA) sont couverts à 96,33 % au mieux, à 27,19 % sans les actifs de valeur non établie</w:t>
            </w:r>
          </w:p>
        </w:tc>
        <w:tc>
          <w:tcPr>
            <w:tcW w:type="dxa" w:w="1984"/>
          </w:tcPr>
          <w:p>
            <w:pPr>
              <w:spacing w:after="40" w:before="40" w:line="240" w:lineRule="auto"/>
              <w:jc w:val="left"/>
            </w:pPr>
            <w:r>
              <w:rPr>
                <w:rFonts w:ascii="Helvetica" w:hAnsi="Helvetica" w:cs="Helvetica" w:eastAsia="Helvetica"/>
                <w:color w:val="000000"/>
                <w:sz w:val="15"/>
              </w:rPr>
              <w:t>Actif par délai de mobilisation et passif au 31/08/2026. Créance sur l'hôpital, clinique, terrains</w:t>
            </w:r>
          </w:p>
        </w:tc>
        <w:tc>
          <w:tcPr>
            <w:tcW w:type="dxa" w:w="2098"/>
          </w:tcPr>
          <w:p>
            <w:pPr>
              <w:spacing w:after="40" w:before="40" w:line="240" w:lineRule="auto"/>
              <w:jc w:val="left"/>
            </w:pPr>
            <w:r>
              <w:rPr>
                <w:rFonts w:ascii="Helvetica" w:hAnsi="Helvetica" w:cs="Helvetica" w:eastAsia="Helvetica"/>
                <w:color w:val="000000"/>
                <w:sz w:val="15"/>
              </w:rPr>
              <w:t>Quatre scénarios de valorisation tirés des textes. Couverture = actif retenu / engagements connus</w:t>
            </w:r>
          </w:p>
        </w:tc>
        <w:tc>
          <w:tcPr>
            <w:tcW w:type="dxa" w:w="1984"/>
          </w:tcPr>
          <w:p>
            <w:pPr>
              <w:spacing w:after="40" w:before="40" w:line="240" w:lineRule="auto"/>
              <w:jc w:val="left"/>
            </w:pPr>
            <w:r>
              <w:rPr>
                <w:rFonts w:ascii="Helvetica" w:hAnsi="Helvetica" w:cs="Helvetica" w:eastAsia="Helvetica"/>
                <w:color w:val="000000"/>
                <w:sz w:val="15"/>
              </w:rPr>
              <w:t>Actifs longs et non évalués. Toutes les corrections attendues aggravent l'écart : le constat est un minimum</w:t>
            </w:r>
          </w:p>
        </w:tc>
        <w:tc>
          <w:tcPr>
            <w:tcW w:type="dxa" w:w="2438"/>
          </w:tcPr>
          <w:p>
            <w:pPr>
              <w:spacing w:after="40" w:before="40" w:line="240" w:lineRule="auto"/>
              <w:jc w:val="left"/>
            </w:pPr>
            <w:r>
              <w:rPr>
                <w:rFonts w:ascii="Helvetica" w:hAnsi="Helvetica" w:cs="Helvetica" w:eastAsia="Helvetica"/>
                <w:color w:val="000000"/>
                <w:sz w:val="15"/>
              </w:rPr>
              <w:t>« BALANCE FPPN DU 01-01-2026 AU 31-08-2026.xlsx » et « BALANCE DES TIERS FPPN DU 01-01-2026 AU 31-08-2026.xlsx » (AUDIT ADENKA\DAFC\2026)</w:t>
              <w:br/>
              <w:t>règlement d'exécution n° 004/2022, art. 17, 19, 20, 21 et 27</w:t>
            </w:r>
          </w:p>
        </w:tc>
      </w:tr>
      <w:tr>
        <w:tc>
          <w:tcPr>
            <w:tcW w:type="dxa" w:w="1928"/>
            <w:shd w:val="clear" w:color="auto" w:fill="E8E8E8"/>
          </w:tcPr>
          <w:p>
            <w:pPr>
              <w:spacing w:after="40" w:before="40" w:line="240" w:lineRule="auto"/>
              <w:jc w:val="left"/>
            </w:pPr>
            <w:r>
              <w:rPr>
                <w:rFonts w:ascii="Helvetica" w:hAnsi="Helvetica" w:cs="Helvetica" w:eastAsia="Helvetica"/>
                <w:b/>
                <w:color w:val="000000"/>
                <w:sz w:val="15"/>
              </w:rPr>
              <w:t>Placements</w:t>
            </w:r>
            <w:r>
              <w:rPr>
                <w:rFonts w:ascii="Helvetica" w:hAnsi="Helvetica" w:cs="Helvetica" w:eastAsia="Helvetica"/>
                <w:color w:val="000000"/>
                <w:sz w:val="15"/>
              </w:rPr>
              <w:t xml:space="preserve"> : liquidité et diversification insuffisantes. Rendement de 1,30 %, 1,28 % et 1,73 % de 2022 à 2024, sous l'État de Côte d'Ivoire à 5 ans (5,19 %, 6,86 %, 7,73 %)</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DAT BOA (compte 52210200), FCP (53300001), produits financiers (classe 77). Taux du marché</w:t>
            </w:r>
          </w:p>
        </w:tc>
        <w:tc>
          <w:tcPr>
            <w:tcW w:type="dxa" w:w="2098"/>
            <w:shd w:val="clear" w:color="auto" w:fill="E8E8E8"/>
          </w:tcPr>
          <w:p>
            <w:pPr>
              <w:spacing w:after="40" w:before="40" w:line="240" w:lineRule="auto"/>
              <w:jc w:val="left"/>
            </w:pPr>
            <w:r>
              <w:rPr>
                <w:rFonts w:ascii="Helvetica" w:hAnsi="Helvetica" w:cs="Helvetica" w:eastAsia="Helvetica"/>
                <w:color w:val="000000"/>
                <w:sz w:val="15"/>
              </w:rPr>
              <w:t>Rendement = produits financiers / placements moyens. Comparaison aux taux BCEAO et aux cotations des obligations de l'État</w:t>
            </w:r>
          </w:p>
        </w:tc>
        <w:tc>
          <w:tcPr>
            <w:tcW w:type="dxa" w:w="1984"/>
            <w:shd w:val="clear" w:color="auto" w:fill="E8E8E8"/>
          </w:tcPr>
          <w:p>
            <w:pPr>
              <w:spacing w:after="40" w:before="40" w:line="240" w:lineRule="auto"/>
              <w:jc w:val="left"/>
            </w:pPr>
            <w:r>
              <w:rPr>
                <w:rFonts w:ascii="Helvetica" w:hAnsi="Helvetica" w:cs="Helvetica" w:eastAsia="Helvetica"/>
                <w:color w:val="000000"/>
                <w:sz w:val="15"/>
              </w:rPr>
              <w:t>Placements faibles en volume, débouclés chaque année. Pas de politique de placement écrite</w:t>
            </w:r>
          </w:p>
        </w:tc>
        <w:tc>
          <w:tcPr>
            <w:tcW w:type="dxa" w:w="2438"/>
            <w:shd w:val="clear" w:color="auto" w:fill="E8E8E8"/>
          </w:tcPr>
          <w:p>
            <w:pPr>
              <w:spacing w:after="40" w:before="40" w:line="240" w:lineRule="auto"/>
              <w:jc w:val="left"/>
            </w:pPr>
            <w:r>
              <w:rPr>
                <w:rFonts w:ascii="Helvetica" w:hAnsi="Helvetica" w:cs="Helvetica" w:eastAsia="Helvetica"/>
                <w:color w:val="000000"/>
                <w:sz w:val="15"/>
              </w:rPr>
              <w:t>Les sept balances : « BALANCE FORMAT EXCEL DE 09-2020 AU 31-12-2020.xlsx », « BALANCE FPPN FORMAT EXCEL DU 01-01-2021 AU 31-12-2026.xlsx », « BALANCE FPPN 2022.xlsx », « BALANCE FPPN 2023.xlsx », « BALANCE FPPN 2024.xlsx », « BALANCE FPPN 2025.xlsx », « BALANCE FPPN DU 01-01-2026 AU 31-08-2026.xlsx » (AUDIT ADENKA\DAFC)</w:t>
              <w:br/>
              <w:t>« FPPN_CR_entretien_placements_20261019.pptx »</w:t>
              <w:br/>
              <w:t>« RAPPORT-SUR-LA-POLITIQUE-MONETAIRE-DANS-L-UMOA-DE-MARS-2026.pdf »</w:t>
              <w:br/>
              <w:t>« Rendement de l'Obligation Cote d'Ivoire 5-Year - Données Historiques.csv » et « … 10-Year … »</w:t>
            </w:r>
          </w:p>
        </w:tc>
      </w:tr>
      <w:tr>
        <w:tc>
          <w:tcPr>
            <w:tcW w:type="dxa" w:w="1928"/>
          </w:tcPr>
          <w:p>
            <w:pPr>
              <w:spacing w:after="40" w:before="40" w:line="240" w:lineRule="auto"/>
              <w:jc w:val="left"/>
            </w:pPr>
            <w:r>
              <w:rPr>
                <w:rFonts w:ascii="Helvetica" w:hAnsi="Helvetica" w:cs="Helvetica" w:eastAsia="Helvetica"/>
                <w:b/>
                <w:color w:val="000000"/>
                <w:sz w:val="15"/>
              </w:rPr>
              <w:t>Leviers de conformité</w:t>
            </w:r>
            <w:r>
              <w:rPr>
                <w:rFonts w:ascii="Helvetica" w:hAnsi="Helvetica" w:cs="Helvetica" w:eastAsia="Helvetica"/>
                <w:color w:val="000000"/>
                <w:sz w:val="15"/>
              </w:rPr>
              <w:t xml:space="preserve"> : les frais de fonctionnement devraient baisser de 558 364 763 FCFA en 2025. Les normes de flux ne peuvent pas être respectées ensemble</w:t>
            </w:r>
          </w:p>
        </w:tc>
        <w:tc>
          <w:tcPr>
            <w:tcW w:type="dxa" w:w="1984"/>
          </w:tcPr>
          <w:p>
            <w:pPr>
              <w:spacing w:after="40" w:before="40" w:line="240" w:lineRule="auto"/>
              <w:jc w:val="left"/>
            </w:pPr>
            <w:r>
              <w:rPr>
                <w:rFonts w:ascii="Helvetica" w:hAnsi="Helvetica" w:cs="Helvetica" w:eastAsia="Helvetica"/>
                <w:color w:val="000000"/>
                <w:sz w:val="15"/>
              </w:rPr>
              <w:t>Numérateurs et dénominateurs des ratios. Statuts du FPPN (art. 17, 85, 90, 93)</w:t>
            </w:r>
          </w:p>
        </w:tc>
        <w:tc>
          <w:tcPr>
            <w:tcW w:type="dxa" w:w="2098"/>
          </w:tcPr>
          <w:p>
            <w:pPr>
              <w:spacing w:after="40" w:before="40" w:line="240" w:lineRule="auto"/>
              <w:jc w:val="left"/>
            </w:pPr>
            <w:r>
              <w:rPr>
                <w:rFonts w:ascii="Helvetica" w:hAnsi="Helvetica" w:cs="Helvetica" w:eastAsia="Helvetica"/>
                <w:color w:val="000000"/>
                <w:sz w:val="15"/>
              </w:rPr>
              <w:t>Montant d'équilibre de chaque levier, une hypothèse à la fois. Démonstration algébrique sur les formules de la Décision</w:t>
            </w:r>
          </w:p>
        </w:tc>
        <w:tc>
          <w:tcPr>
            <w:tcW w:type="dxa" w:w="1984"/>
          </w:tcPr>
          <w:p>
            <w:pPr>
              <w:spacing w:after="40" w:before="40" w:line="240" w:lineRule="auto"/>
              <w:jc w:val="left"/>
            </w:pPr>
            <w:r>
              <w:rPr>
                <w:rFonts w:ascii="Helvetica" w:hAnsi="Helvetica" w:cs="Helvetica" w:eastAsia="Helvetica"/>
                <w:color w:val="000000"/>
                <w:sz w:val="15"/>
              </w:rPr>
              <w:t>Le taux de cotisation améliore les frais mais éloigne la sinistralité de sa norme : les leviers se contredisent</w:t>
            </w:r>
          </w:p>
        </w:tc>
        <w:tc>
          <w:tcPr>
            <w:tcW w:type="dxa" w:w="2438"/>
          </w:tcPr>
          <w:p>
            <w:pPr>
              <w:spacing w:after="40" w:before="40" w:line="240" w:lineRule="auto"/>
              <w:jc w:val="left"/>
            </w:pPr>
            <w:r>
              <w:rPr>
                <w:rFonts w:ascii="Helvetica" w:hAnsi="Helvetica" w:cs="Helvetica" w:eastAsia="Helvetica"/>
                <w:color w:val="000000"/>
                <w:sz w:val="15"/>
              </w:rPr>
              <w:t>« FPPN_Calculs_rapport_20261015_v8.xlsx » (onglets 13a à 13i)</w:t>
              <w:br/>
              <w:t>« STATUTS FPPN 15 JUIN 2023.pdf »</w:t>
              <w:br/>
              <w:t>« REGLEMENT INTERIEUR FPPN 15 JUIN 2023.pdf »</w:t>
            </w:r>
          </w:p>
        </w:tc>
      </w:tr>
    </w:tbl>
    <w:p>
      <w:pPr>
        <w:spacing w:after="200"/>
        <w:jc w:val="left"/>
      </w:pPr>
      <w:r>
        <w:rPr>
          <w:rFonts w:ascii="Helvetica" w:hAnsi="Helvetica" w:cs="Helvetica" w:eastAsia="Helvetica"/>
          <w:color w:val="000000"/>
          <w:sz w:val="16"/>
        </w:rPr>
        <w:t>Source : Rapport actuariel et statistique v8 (diapositives 4 à 14, parties 4 à 10) ; classeur des calculs v8 ; analyses Adenka.</w:t>
      </w:r>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1691640" cy="7010400"/>
                <wp:effectExtent l="0" t="0" r="0" b="0"/>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69164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2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LIMITES AU REGARD DES TÂCHES DE LA MISSION</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2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LIMITES AU REGARD DES TÂCHES DE LA MISSION</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2 : LIMITES AU REGARD DES TÂCHES DE LA MISSION</w:t>
      </w:r>
    </w:p>
    <w:p>
      <w:pPr/>
      <w:r>
        <w:rPr>
          <w:rFonts w:ascii="Helvetica" w:hAnsi="Helvetica" w:cs="Helvetica" w:eastAsia="Helvetica"/>
          <w:color w:val="000000"/>
        </w:rPr>
        <w:t>Ce qui est établi, ce qui ne l'est pas encore, et pourquoi.</w:t>
      </w:r>
    </w:p>
    <w:p>
      <w:pPr>
        <w:pStyle w:val="Heading2"/>
      </w:pPr>
      <w:r>
        <w:t>2.1. LIMITES PAR TÂCHE</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2</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Limites des conclusions au regard des tâches de la mission</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2041"/>
        <w:gridCol w:w="2154"/>
        <w:gridCol w:w="2211"/>
        <w:gridCol w:w="2608"/>
        <w:gridCol w:w="1417"/>
      </w:tblGrid>
      <w:tr>
        <w:trPr>
          <w:tblHeader/>
        </w:trPr>
        <w:tc>
          <w:tcPr>
            <w:tcW w:type="dxa" w:w="2041"/>
            <w:shd w:val="clear" w:color="auto" w:fill="000000"/>
          </w:tcPr>
          <w:p>
            <w:pPr>
              <w:spacing w:after="40" w:before="40" w:line="240" w:lineRule="auto"/>
              <w:jc w:val="left"/>
            </w:pPr>
            <w:r>
              <w:rPr>
                <w:rFonts w:ascii="Helvetica" w:hAnsi="Helvetica" w:cs="Helvetica" w:eastAsia="Helvetica"/>
                <w:b/>
                <w:color w:val="FFFFFF"/>
                <w:sz w:val="16"/>
              </w:rPr>
              <w:t>Tâche</w:t>
            </w:r>
          </w:p>
        </w:tc>
        <w:tc>
          <w:tcPr>
            <w:tcW w:type="dxa" w:w="2154"/>
            <w:shd w:val="clear" w:color="auto" w:fill="000000"/>
          </w:tcPr>
          <w:p>
            <w:pPr>
              <w:spacing w:after="40" w:before="40" w:line="240" w:lineRule="auto"/>
              <w:jc w:val="center"/>
            </w:pPr>
            <w:r>
              <w:rPr>
                <w:rFonts w:ascii="Helvetica" w:hAnsi="Helvetica" w:cs="Helvetica" w:eastAsia="Helvetica"/>
                <w:b/>
                <w:color w:val="FFFFFF"/>
                <w:sz w:val="16"/>
              </w:rPr>
              <w:t>Ce qui est établi</w:t>
            </w:r>
          </w:p>
        </w:tc>
        <w:tc>
          <w:tcPr>
            <w:tcW w:type="dxa" w:w="2211"/>
            <w:shd w:val="clear" w:color="auto" w:fill="000000"/>
          </w:tcPr>
          <w:p>
            <w:pPr>
              <w:spacing w:after="40" w:before="40" w:line="240" w:lineRule="auto"/>
              <w:jc w:val="center"/>
            </w:pPr>
            <w:r>
              <w:rPr>
                <w:rFonts w:ascii="Helvetica" w:hAnsi="Helvetica" w:cs="Helvetica" w:eastAsia="Helvetica"/>
                <w:b/>
                <w:color w:val="FFFFFF"/>
                <w:sz w:val="16"/>
              </w:rPr>
              <w:t>Ce qui ne l'est pas</w:t>
            </w:r>
          </w:p>
        </w:tc>
        <w:tc>
          <w:tcPr>
            <w:tcW w:type="dxa" w:w="2608"/>
            <w:shd w:val="clear" w:color="auto" w:fill="000000"/>
          </w:tcPr>
          <w:p>
            <w:pPr>
              <w:spacing w:after="40" w:before="40" w:line="240" w:lineRule="auto"/>
              <w:jc w:val="center"/>
            </w:pPr>
            <w:r>
              <w:rPr>
                <w:rFonts w:ascii="Helvetica" w:hAnsi="Helvetica" w:cs="Helvetica" w:eastAsia="Helvetica"/>
                <w:b/>
                <w:color w:val="FFFFFF"/>
                <w:sz w:val="16"/>
              </w:rPr>
              <w:t>Pourquoi</w:t>
            </w:r>
          </w:p>
        </w:tc>
        <w:tc>
          <w:tcPr>
            <w:tcW w:type="dxa" w:w="1417"/>
            <w:shd w:val="clear" w:color="auto" w:fill="000000"/>
          </w:tcPr>
          <w:p>
            <w:pPr>
              <w:spacing w:after="40" w:before="40" w:line="240" w:lineRule="auto"/>
              <w:jc w:val="center"/>
            </w:pPr>
            <w:r>
              <w:rPr>
                <w:rFonts w:ascii="Helvetica" w:hAnsi="Helvetica" w:cs="Helvetica" w:eastAsia="Helvetica"/>
                <w:b/>
                <w:color w:val="FFFFFF"/>
                <w:sz w:val="16"/>
              </w:rPr>
              <w:t>Sens attendu</w:t>
            </w:r>
          </w:p>
        </w:tc>
      </w:tr>
      <w:tr>
        <w:tc>
          <w:tcPr>
            <w:tcW w:type="dxa" w:w="2041"/>
            <w:shd w:val="clear" w:color="auto" w:fill="CCCCCC"/>
          </w:tcPr>
          <w:p>
            <w:pPr>
              <w:spacing w:after="40" w:before="40" w:line="240" w:lineRule="auto"/>
              <w:jc w:val="left"/>
            </w:pPr>
            <w:r>
              <w:rPr>
                <w:rFonts w:ascii="Helvetica" w:hAnsi="Helvetica" w:cs="Helvetica" w:eastAsia="Helvetica"/>
                <w:b/>
                <w:color w:val="000000"/>
                <w:sz w:val="16"/>
              </w:rPr>
              <w:t>1. Engagements envers les adhérents et ayants droit</w:t>
            </w:r>
          </w:p>
        </w:tc>
        <w:tc>
          <w:tcPr>
            <w:tcW w:type="dxa" w:w="2154"/>
          </w:tcPr>
          <w:p>
            <w:pPr>
              <w:spacing w:after="40" w:before="40" w:line="240" w:lineRule="auto"/>
              <w:jc w:val="left"/>
            </w:pPr>
            <w:r>
              <w:rPr>
                <w:rFonts w:ascii="Helvetica" w:hAnsi="Helvetica" w:cs="Helvetica" w:eastAsia="Helvetica"/>
                <w:color w:val="000000"/>
                <w:sz w:val="16"/>
              </w:rPr>
              <w:t>Épargne due : 15 743 516 391 FCFA au 31/08/2026</w:t>
            </w:r>
          </w:p>
        </w:tc>
        <w:tc>
          <w:tcPr>
            <w:tcW w:type="dxa" w:w="2211"/>
          </w:tcPr>
          <w:p>
            <w:pPr>
              <w:spacing w:after="40" w:before="40" w:line="240" w:lineRule="auto"/>
              <w:jc w:val="left"/>
            </w:pPr>
            <w:r>
              <w:rPr>
                <w:rFonts w:ascii="Helvetica" w:hAnsi="Helvetica" w:cs="Helvetica" w:eastAsia="Helvetica"/>
                <w:color w:val="000000"/>
                <w:sz w:val="16"/>
              </w:rPr>
              <w:t>Provisions mathématiques (EFC, santé des retraités), sinistres tardifs, allocations décès restant à payer</w:t>
            </w:r>
          </w:p>
        </w:tc>
        <w:tc>
          <w:tcPr>
            <w:tcW w:type="dxa" w:w="2608"/>
          </w:tcPr>
          <w:p>
            <w:pPr>
              <w:spacing w:after="40" w:before="40" w:line="240" w:lineRule="auto"/>
              <w:jc w:val="left"/>
            </w:pPr>
            <w:r>
              <w:rPr>
                <w:rFonts w:ascii="Helvetica" w:hAnsi="Helvetica" w:cs="Helvetica" w:eastAsia="Helvetica"/>
                <w:color w:val="000000"/>
                <w:sz w:val="16"/>
              </w:rPr>
              <w:t>Pas de base de prestations, pas de dates de naissance, cahier des charges et règlements de l'EFC et du PEP non transmis</w:t>
            </w:r>
          </w:p>
        </w:tc>
        <w:tc>
          <w:tcPr>
            <w:tcW w:type="dxa" w:w="1417"/>
          </w:tcPr>
          <w:p>
            <w:pPr>
              <w:spacing w:after="40" w:before="40" w:line="240" w:lineRule="auto"/>
              <w:jc w:val="left"/>
            </w:pPr>
            <w:r>
              <w:rPr>
                <w:rFonts w:ascii="Helvetica" w:hAnsi="Helvetica" w:cs="Helvetica" w:eastAsia="Helvetica"/>
                <w:color w:val="000000"/>
                <w:sz w:val="16"/>
              </w:rPr>
              <w:t>Hausse des engagements</w:t>
            </w:r>
          </w:p>
        </w:tc>
      </w:tr>
      <w:tr>
        <w:tc>
          <w:tcPr>
            <w:tcW w:type="dxa" w:w="2041"/>
            <w:shd w:val="clear" w:color="auto" w:fill="CCCCCC"/>
          </w:tcPr>
          <w:p>
            <w:pPr>
              <w:spacing w:after="40" w:before="40" w:line="240" w:lineRule="auto"/>
              <w:jc w:val="left"/>
            </w:pPr>
            <w:r>
              <w:rPr>
                <w:rFonts w:ascii="Helvetica" w:hAnsi="Helvetica" w:cs="Helvetica" w:eastAsia="Helvetica"/>
                <w:b/>
                <w:color w:val="000000"/>
                <w:sz w:val="16"/>
              </w:rPr>
              <w:t>2. Suffisance des provisions</w:t>
            </w:r>
          </w:p>
        </w:tc>
        <w:tc>
          <w:tcPr>
            <w:tcW w:type="dxa" w:w="2154"/>
            <w:shd w:val="clear" w:color="auto" w:fill="E8E8E8"/>
          </w:tcPr>
          <w:p>
            <w:pPr>
              <w:spacing w:after="40" w:before="40" w:line="240" w:lineRule="auto"/>
              <w:jc w:val="left"/>
            </w:pPr>
            <w:r>
              <w:rPr>
                <w:rFonts w:ascii="Helvetica" w:hAnsi="Helvetica" w:cs="Helvetica" w:eastAsia="Helvetica"/>
                <w:color w:val="000000"/>
                <w:sz w:val="16"/>
              </w:rPr>
              <w:t>Les provisions sont des montants hérités, sans calcul</w:t>
            </w:r>
          </w:p>
        </w:tc>
        <w:tc>
          <w:tcPr>
            <w:tcW w:type="dxa" w:w="2211"/>
            <w:shd w:val="clear" w:color="auto" w:fill="E8E8E8"/>
          </w:tcPr>
          <w:p>
            <w:pPr>
              <w:spacing w:after="40" w:before="40" w:line="240" w:lineRule="auto"/>
              <w:jc w:val="left"/>
            </w:pPr>
            <w:r>
              <w:rPr>
                <w:rFonts w:ascii="Helvetica" w:hAnsi="Helvetica" w:cs="Helvetica" w:eastAsia="Helvetica"/>
                <w:color w:val="000000"/>
                <w:sz w:val="16"/>
              </w:rPr>
              <w:t>Montant juste des provisions, donc leur suffisance face aux prestations payées</w:t>
            </w:r>
          </w:p>
        </w:tc>
        <w:tc>
          <w:tcPr>
            <w:tcW w:type="dxa" w:w="2608"/>
            <w:shd w:val="clear" w:color="auto" w:fill="E8E8E8"/>
          </w:tcPr>
          <w:p>
            <w:pPr>
              <w:spacing w:after="40" w:before="40" w:line="240" w:lineRule="auto"/>
              <w:jc w:val="left"/>
            </w:pPr>
            <w:r>
              <w:rPr>
                <w:rFonts w:ascii="Helvetica" w:hAnsi="Helvetica" w:cs="Helvetica" w:eastAsia="Helvetica"/>
                <w:color w:val="000000"/>
                <w:sz w:val="16"/>
              </w:rPr>
              <w:t>Pas de base de prestations avec dates de survenance, de déclaration et de paiement. Pas de note de calcul</w:t>
            </w:r>
          </w:p>
        </w:tc>
        <w:tc>
          <w:tcPr>
            <w:tcW w:type="dxa" w:w="1417"/>
            <w:shd w:val="clear" w:color="auto" w:fill="E8E8E8"/>
          </w:tcPr>
          <w:p>
            <w:pPr>
              <w:spacing w:after="40" w:before="40" w:line="240" w:lineRule="auto"/>
              <w:jc w:val="left"/>
            </w:pPr>
            <w:r>
              <w:rPr>
                <w:rFonts w:ascii="Helvetica" w:hAnsi="Helvetica" w:cs="Helvetica" w:eastAsia="Helvetica"/>
                <w:color w:val="000000"/>
                <w:sz w:val="16"/>
              </w:rPr>
              <w:t>Inconnu</w:t>
            </w:r>
          </w:p>
        </w:tc>
      </w:tr>
      <w:tr>
        <w:tc>
          <w:tcPr>
            <w:tcW w:type="dxa" w:w="2041"/>
            <w:shd w:val="clear" w:color="auto" w:fill="CCCCCC"/>
          </w:tcPr>
          <w:p>
            <w:pPr>
              <w:spacing w:after="40" w:before="40" w:line="240" w:lineRule="auto"/>
              <w:jc w:val="left"/>
            </w:pPr>
            <w:r>
              <w:rPr>
                <w:rFonts w:ascii="Helvetica" w:hAnsi="Helvetica" w:cs="Helvetica" w:eastAsia="Helvetica"/>
                <w:b/>
                <w:color w:val="000000"/>
                <w:sz w:val="16"/>
              </w:rPr>
              <w:t>3. Adossement actif-passif</w:t>
            </w:r>
          </w:p>
        </w:tc>
        <w:tc>
          <w:tcPr>
            <w:tcW w:type="dxa" w:w="2154"/>
          </w:tcPr>
          <w:p>
            <w:pPr>
              <w:spacing w:after="40" w:before="40" w:line="240" w:lineRule="auto"/>
              <w:jc w:val="left"/>
            </w:pPr>
            <w:r>
              <w:rPr>
                <w:rFonts w:ascii="Helvetica" w:hAnsi="Helvetica" w:cs="Helvetica" w:eastAsia="Helvetica"/>
                <w:color w:val="000000"/>
                <w:sz w:val="16"/>
              </w:rPr>
              <w:t>Non-adossement démontré, même dans le cas le plus favorable</w:t>
            </w:r>
          </w:p>
        </w:tc>
        <w:tc>
          <w:tcPr>
            <w:tcW w:type="dxa" w:w="2211"/>
          </w:tcPr>
          <w:p>
            <w:pPr>
              <w:spacing w:after="40" w:before="40" w:line="240" w:lineRule="auto"/>
              <w:jc w:val="left"/>
            </w:pPr>
            <w:r>
              <w:rPr>
                <w:rFonts w:ascii="Helvetica" w:hAnsi="Helvetica" w:cs="Helvetica" w:eastAsia="Helvetica"/>
                <w:color w:val="000000"/>
                <w:sz w:val="16"/>
              </w:rPr>
              <w:t>Ampleur réelle de l'écart. Adossement en flux de trésorerie futurs</w:t>
            </w:r>
          </w:p>
        </w:tc>
        <w:tc>
          <w:tcPr>
            <w:tcW w:type="dxa" w:w="2608"/>
          </w:tcPr>
          <w:p>
            <w:pPr>
              <w:spacing w:after="40" w:before="40" w:line="240" w:lineRule="auto"/>
              <w:jc w:val="left"/>
            </w:pPr>
            <w:r>
              <w:rPr>
                <w:rFonts w:ascii="Helvetica" w:hAnsi="Helvetica" w:cs="Helvetica" w:eastAsia="Helvetica"/>
                <w:color w:val="000000"/>
                <w:sz w:val="16"/>
              </w:rPr>
              <w:t>Échéancier de l'épargne absent. Actifs non évalués. Provisions à recalculer</w:t>
            </w:r>
          </w:p>
        </w:tc>
        <w:tc>
          <w:tcPr>
            <w:tcW w:type="dxa" w:w="1417"/>
          </w:tcPr>
          <w:p>
            <w:pPr>
              <w:spacing w:after="40" w:before="40" w:line="240" w:lineRule="auto"/>
              <w:jc w:val="left"/>
            </w:pPr>
            <w:r>
              <w:rPr>
                <w:rFonts w:ascii="Helvetica" w:hAnsi="Helvetica" w:cs="Helvetica" w:eastAsia="Helvetica"/>
                <w:color w:val="000000"/>
                <w:sz w:val="16"/>
              </w:rPr>
              <w:t>Aggravation</w:t>
            </w:r>
          </w:p>
        </w:tc>
      </w:tr>
      <w:tr>
        <w:tc>
          <w:tcPr>
            <w:tcW w:type="dxa" w:w="2041"/>
            <w:shd w:val="clear" w:color="auto" w:fill="CCCCCC"/>
          </w:tcPr>
          <w:p>
            <w:pPr>
              <w:spacing w:after="40" w:before="40" w:line="240" w:lineRule="auto"/>
              <w:jc w:val="left"/>
            </w:pPr>
            <w:r>
              <w:rPr>
                <w:rFonts w:ascii="Helvetica" w:hAnsi="Helvetica" w:cs="Helvetica" w:eastAsia="Helvetica"/>
                <w:b/>
                <w:color w:val="000000"/>
                <w:sz w:val="16"/>
              </w:rPr>
              <w:t>4. Adéquation des placements</w:t>
            </w:r>
          </w:p>
        </w:tc>
        <w:tc>
          <w:tcPr>
            <w:tcW w:type="dxa" w:w="2154"/>
            <w:shd w:val="clear" w:color="auto" w:fill="E8E8E8"/>
          </w:tcPr>
          <w:p>
            <w:pPr>
              <w:spacing w:after="40" w:before="40" w:line="240" w:lineRule="auto"/>
              <w:jc w:val="left"/>
            </w:pPr>
            <w:r>
              <w:rPr>
                <w:rFonts w:ascii="Helvetica" w:hAnsi="Helvetica" w:cs="Helvetica" w:eastAsia="Helvetica"/>
                <w:color w:val="000000"/>
                <w:sz w:val="16"/>
              </w:rPr>
              <w:t>Liquidité et diversification insuffisantes. Rendement sous le marché de 2022 à 2024</w:t>
            </w:r>
          </w:p>
        </w:tc>
        <w:tc>
          <w:tcPr>
            <w:tcW w:type="dxa" w:w="2211"/>
            <w:shd w:val="clear" w:color="auto" w:fill="E8E8E8"/>
          </w:tcPr>
          <w:p>
            <w:pPr>
              <w:spacing w:after="40" w:before="40" w:line="240" w:lineRule="auto"/>
              <w:jc w:val="left"/>
            </w:pPr>
            <w:r>
              <w:rPr>
                <w:rFonts w:ascii="Helvetica" w:hAnsi="Helvetica" w:cs="Helvetica" w:eastAsia="Helvetica"/>
                <w:color w:val="000000"/>
                <w:sz w:val="16"/>
              </w:rPr>
              <w:t>Sécurité des placements et conformité aux conditions fixées en Côte d'Ivoire</w:t>
            </w:r>
          </w:p>
        </w:tc>
        <w:tc>
          <w:tcPr>
            <w:tcW w:type="dxa" w:w="2608"/>
            <w:shd w:val="clear" w:color="auto" w:fill="E8E8E8"/>
          </w:tcPr>
          <w:p>
            <w:pPr>
              <w:spacing w:after="40" w:before="40" w:line="240" w:lineRule="auto"/>
              <w:jc w:val="left"/>
            </w:pPr>
            <w:r>
              <w:rPr>
                <w:rFonts w:ascii="Helvetica" w:hAnsi="Helvetica" w:cs="Helvetica" w:eastAsia="Helvetica"/>
                <w:color w:val="000000"/>
                <w:sz w:val="16"/>
              </w:rPr>
              <w:t>Décision ministérielle, relevés du DAT et du FCP, délibérations du Conseil d'administration non transmis</w:t>
            </w:r>
          </w:p>
        </w:tc>
        <w:tc>
          <w:tcPr>
            <w:tcW w:type="dxa" w:w="1417"/>
            <w:shd w:val="clear" w:color="auto" w:fill="E8E8E8"/>
          </w:tcPr>
          <w:p>
            <w:pPr>
              <w:spacing w:after="40" w:before="40" w:line="240" w:lineRule="auto"/>
              <w:jc w:val="left"/>
            </w:pPr>
            <w:r>
              <w:rPr>
                <w:rFonts w:ascii="Helvetica" w:hAnsi="Helvetica" w:cs="Helvetica" w:eastAsia="Helvetica"/>
                <w:color w:val="000000"/>
                <w:sz w:val="16"/>
              </w:rPr>
              <w:t>Stable</w:t>
            </w:r>
          </w:p>
        </w:tc>
      </w:tr>
      <w:tr>
        <w:tc>
          <w:tcPr>
            <w:tcW w:type="dxa" w:w="2041"/>
            <w:shd w:val="clear" w:color="auto" w:fill="CCCCCC"/>
          </w:tcPr>
          <w:p>
            <w:pPr>
              <w:spacing w:after="40" w:before="40" w:line="240" w:lineRule="auto"/>
              <w:jc w:val="left"/>
            </w:pPr>
            <w:r>
              <w:rPr>
                <w:rFonts w:ascii="Helvetica" w:hAnsi="Helvetica" w:cs="Helvetica" w:eastAsia="Helvetica"/>
                <w:b/>
                <w:color w:val="000000"/>
                <w:sz w:val="16"/>
              </w:rPr>
              <w:t>Analyses statistiques complémentaires</w:t>
            </w:r>
          </w:p>
        </w:tc>
        <w:tc>
          <w:tcPr>
            <w:tcW w:type="dxa" w:w="2154"/>
          </w:tcPr>
          <w:p>
            <w:pPr>
              <w:spacing w:after="40" w:before="40" w:line="240" w:lineRule="auto"/>
              <w:jc w:val="left"/>
            </w:pPr>
            <w:r>
              <w:rPr>
                <w:rFonts w:ascii="Helvetica" w:hAnsi="Helvetica" w:cs="Helvetica" w:eastAsia="Helvetica"/>
                <w:color w:val="000000"/>
                <w:sz w:val="16"/>
              </w:rPr>
              <w:t>Effectifs, cotisations, sinistralité par exercice comptable, Grenier</w:t>
            </w:r>
          </w:p>
        </w:tc>
        <w:tc>
          <w:tcPr>
            <w:tcW w:type="dxa" w:w="2211"/>
          </w:tcPr>
          <w:p>
            <w:pPr>
              <w:spacing w:after="40" w:before="40" w:line="240" w:lineRule="auto"/>
              <w:jc w:val="left"/>
            </w:pPr>
            <w:r>
              <w:rPr>
                <w:rFonts w:ascii="Helvetica" w:hAnsi="Helvetica" w:cs="Helvetica" w:eastAsia="Helvetica"/>
                <w:color w:val="000000"/>
                <w:sz w:val="16"/>
              </w:rPr>
              <w:t>Mortalité observée, sinistralité par année de survenance, délais de paiement</w:t>
            </w:r>
          </w:p>
        </w:tc>
        <w:tc>
          <w:tcPr>
            <w:tcW w:type="dxa" w:w="2608"/>
          </w:tcPr>
          <w:p>
            <w:pPr>
              <w:spacing w:after="40" w:before="40" w:line="240" w:lineRule="auto"/>
              <w:jc w:val="left"/>
            </w:pPr>
            <w:r>
              <w:rPr>
                <w:rFonts w:ascii="Helvetica" w:hAnsi="Helvetica" w:cs="Helvetica" w:eastAsia="Helvetica"/>
                <w:color w:val="000000"/>
                <w:sz w:val="16"/>
              </w:rPr>
              <w:t>Dates de naissance et bases de prestations non transmises</w:t>
            </w:r>
          </w:p>
        </w:tc>
        <w:tc>
          <w:tcPr>
            <w:tcW w:type="dxa" w:w="1417"/>
          </w:tcPr>
          <w:p>
            <w:pPr>
              <w:spacing w:after="40" w:before="40" w:line="240" w:lineRule="auto"/>
              <w:jc w:val="left"/>
            </w:pPr>
            <w:r>
              <w:rPr>
                <w:rFonts w:ascii="Helvetica" w:hAnsi="Helvetica" w:cs="Helvetica" w:eastAsia="Helvetica"/>
                <w:color w:val="000000"/>
                <w:sz w:val="16"/>
              </w:rPr>
              <w:t>À établir</w:t>
            </w:r>
          </w:p>
        </w:tc>
      </w:tr>
      <w:tr>
        <w:tc>
          <w:tcPr>
            <w:tcW w:type="dxa" w:w="2041"/>
            <w:shd w:val="clear" w:color="auto" w:fill="CCCCCC"/>
          </w:tcPr>
          <w:p>
            <w:pPr>
              <w:spacing w:after="40" w:before="40" w:line="240" w:lineRule="auto"/>
              <w:jc w:val="left"/>
            </w:pPr>
            <w:r>
              <w:rPr>
                <w:rFonts w:ascii="Helvetica" w:hAnsi="Helvetica" w:cs="Helvetica" w:eastAsia="Helvetica"/>
                <w:b/>
                <w:color w:val="000000"/>
                <w:sz w:val="16"/>
              </w:rPr>
              <w:t>Provision du personnel du FPPN</w:t>
            </w:r>
          </w:p>
        </w:tc>
        <w:tc>
          <w:tcPr>
            <w:tcW w:type="dxa" w:w="2154"/>
            <w:shd w:val="clear" w:color="auto" w:fill="E8E8E8"/>
          </w:tcPr>
          <w:p>
            <w:pPr>
              <w:spacing w:after="40" w:before="40" w:line="240" w:lineRule="auto"/>
              <w:jc w:val="left"/>
            </w:pPr>
            <w:r>
              <w:rPr>
                <w:rFonts w:ascii="Helvetica" w:hAnsi="Helvetica" w:cs="Helvetica" w:eastAsia="Helvetica"/>
                <w:color w:val="000000"/>
                <w:sz w:val="16"/>
              </w:rPr>
              <w:t>Méthode et barème connus (décret n° 2017-210)</w:t>
            </w:r>
          </w:p>
        </w:tc>
        <w:tc>
          <w:tcPr>
            <w:tcW w:type="dxa" w:w="2211"/>
            <w:shd w:val="clear" w:color="auto" w:fill="E8E8E8"/>
          </w:tcPr>
          <w:p>
            <w:pPr>
              <w:spacing w:after="40" w:before="40" w:line="240" w:lineRule="auto"/>
              <w:jc w:val="left"/>
            </w:pPr>
            <w:r>
              <w:rPr>
                <w:rFonts w:ascii="Helvetica" w:hAnsi="Helvetica" w:cs="Helvetica" w:eastAsia="Helvetica"/>
                <w:color w:val="000000"/>
                <w:sz w:val="16"/>
              </w:rPr>
              <w:t>Montant recalculé de la provision</w:t>
            </w:r>
          </w:p>
        </w:tc>
        <w:tc>
          <w:tcPr>
            <w:tcW w:type="dxa" w:w="2608"/>
            <w:shd w:val="clear" w:color="auto" w:fill="E8E8E8"/>
          </w:tcPr>
          <w:p>
            <w:pPr>
              <w:spacing w:after="40" w:before="40" w:line="240" w:lineRule="auto"/>
              <w:jc w:val="left"/>
            </w:pPr>
            <w:r>
              <w:rPr>
                <w:rFonts w:ascii="Helvetica" w:hAnsi="Helvetica" w:cs="Helvetica" w:eastAsia="Helvetica"/>
                <w:color w:val="000000"/>
                <w:sz w:val="16"/>
              </w:rPr>
              <w:t>Fichier du personnel avec le statut civil ou policier non transmis</w:t>
            </w:r>
          </w:p>
        </w:tc>
        <w:tc>
          <w:tcPr>
            <w:tcW w:type="dxa" w:w="1417"/>
            <w:shd w:val="clear" w:color="auto" w:fill="E8E8E8"/>
          </w:tcPr>
          <w:p>
            <w:pPr>
              <w:spacing w:after="40" w:before="40" w:line="240" w:lineRule="auto"/>
              <w:jc w:val="left"/>
            </w:pPr>
            <w:r>
              <w:rPr>
                <w:rFonts w:ascii="Helvetica" w:hAnsi="Helvetica" w:cs="Helvetica" w:eastAsia="Helvetica"/>
                <w:color w:val="000000"/>
                <w:sz w:val="16"/>
              </w:rPr>
              <w:t>Faible montant</w:t>
            </w:r>
          </w:p>
        </w:tc>
      </w:tr>
      <w:tr>
        <w:tc>
          <w:tcPr>
            <w:tcW w:type="dxa" w:w="2041"/>
            <w:shd w:val="clear" w:color="auto" w:fill="CCCCCC"/>
          </w:tcPr>
          <w:p>
            <w:pPr>
              <w:spacing w:after="40" w:before="40" w:line="240" w:lineRule="auto"/>
              <w:jc w:val="left"/>
            </w:pPr>
            <w:r>
              <w:rPr>
                <w:rFonts w:ascii="Helvetica" w:hAnsi="Helvetica" w:cs="Helvetica" w:eastAsia="Helvetica"/>
                <w:b/>
                <w:color w:val="000000"/>
                <w:sz w:val="16"/>
              </w:rPr>
              <w:t>Toutes les tâches</w:t>
            </w:r>
          </w:p>
        </w:tc>
        <w:tc>
          <w:tcPr>
            <w:tcW w:type="dxa" w:w="2154"/>
          </w:tcPr>
          <w:p>
            <w:pPr>
              <w:spacing w:after="40" w:before="40" w:line="240" w:lineRule="auto"/>
              <w:jc w:val="left"/>
            </w:pPr>
            <w:r>
              <w:rPr>
                <w:rFonts w:ascii="Helvetica" w:hAnsi="Helvetica" w:cs="Helvetica" w:eastAsia="Helvetica"/>
                <w:color w:val="000000"/>
                <w:sz w:val="16"/>
              </w:rPr>
              <w:t>Résultats sur les balances 2020 à 2025</w:t>
            </w:r>
          </w:p>
        </w:tc>
        <w:tc>
          <w:tcPr>
            <w:tcW w:type="dxa" w:w="2211"/>
          </w:tcPr>
          <w:p>
            <w:pPr>
              <w:spacing w:after="40" w:before="40" w:line="240" w:lineRule="auto"/>
              <w:jc w:val="left"/>
            </w:pPr>
            <w:r>
              <w:rPr>
                <w:rFonts w:ascii="Helvetica" w:hAnsi="Helvetica" w:cs="Helvetica" w:eastAsia="Helvetica"/>
                <w:color w:val="000000"/>
                <w:sz w:val="16"/>
              </w:rPr>
              <w:t>Valeurs définitives au 31/08/2026</w:t>
            </w:r>
          </w:p>
        </w:tc>
        <w:tc>
          <w:tcPr>
            <w:tcW w:type="dxa" w:w="2608"/>
          </w:tcPr>
          <w:p>
            <w:pPr>
              <w:spacing w:after="40" w:before="40" w:line="240" w:lineRule="auto"/>
              <w:jc w:val="left"/>
            </w:pPr>
            <w:r>
              <w:rPr>
                <w:rFonts w:ascii="Helvetica" w:hAnsi="Helvetica" w:cs="Helvetica" w:eastAsia="Helvetica"/>
                <w:color w:val="000000"/>
                <w:sz w:val="16"/>
              </w:rPr>
              <w:t>Balance 2026 provisoire (huit mois). Précomptes 2020 à 2022 absents</w:t>
            </w:r>
          </w:p>
        </w:tc>
        <w:tc>
          <w:tcPr>
            <w:tcW w:type="dxa" w:w="1417"/>
          </w:tcPr>
          <w:p>
            <w:pPr>
              <w:spacing w:after="40" w:before="40" w:line="240" w:lineRule="auto"/>
              <w:jc w:val="left"/>
            </w:pPr>
            <w:r>
              <w:rPr>
                <w:rFonts w:ascii="Helvetica" w:hAnsi="Helvetica" w:cs="Helvetica" w:eastAsia="Helvetica"/>
                <w:color w:val="000000"/>
                <w:sz w:val="16"/>
              </w:rPr>
              <w:t>À confirmer</w:t>
            </w:r>
          </w:p>
        </w:tc>
      </w:tr>
    </w:tbl>
    <w:p>
      <w:pPr>
        <w:spacing w:after="200"/>
        <w:jc w:val="left"/>
      </w:pPr>
      <w:r>
        <w:rPr>
          <w:rFonts w:ascii="Helvetica" w:hAnsi="Helvetica" w:cs="Helvetica" w:eastAsia="Helvetica"/>
          <w:color w:val="000000"/>
          <w:sz w:val="16"/>
        </w:rPr>
        <w:t>Source : Rapport v8, réponse aux quatre questions de la mission (diapositive 5) et partie 14 ; PBC pointée.</w:t>
      </w:r>
    </w:p>
    <w:p>
      <w:pPr>
        <w:pStyle w:val="Heading2"/>
      </w:pPr>
      <w:r>
        <w:t>2.2. EXPLICATION SIMPLE DE CHAQUE TÂCHE</w:t>
      </w:r>
    </w:p>
    <w:p>
      <w:pPr/>
      <w:r>
        <w:rPr>
          <w:rFonts w:ascii="Helvetica" w:hAnsi="Helvetica" w:cs="Helvetica" w:eastAsia="Helvetica"/>
          <w:color w:val="000000"/>
        </w:rPr>
        <w:t>Cette section explique chaque ligne du tableau 2 sans vocabulaire technique : ce que veut dire la tâche, ce qui a été trouvé, ce qui manque et pourquoi.</w:t>
      </w:r>
    </w:p>
    <w:p>
      <w:pPr>
        <w:pStyle w:val="Heading3"/>
      </w:pPr>
      <w:r>
        <w:t>Tâche 1. Engagements envers les adhérents et leurs ayants droit</w:t>
      </w:r>
    </w:p>
    <w:p>
      <w:pPr/>
      <w:r>
        <w:rPr>
          <w:rFonts w:ascii="Helvetica" w:hAnsi="Helvetica" w:cs="Helvetica" w:eastAsia="Helvetica"/>
          <w:b/>
          <w:color w:val="000000"/>
        </w:rPr>
        <w:t>Un engagement est une somme que le FPPN devra payer plus tard à un policier ou à sa famille.</w:t>
      </w:r>
      <w:r>
        <w:rPr>
          <w:rFonts w:ascii="Helvetica" w:hAnsi="Helvetica" w:cs="Helvetica" w:eastAsia="Helvetica"/>
          <w:color w:val="000000"/>
        </w:rPr>
        <w:t xml:space="preserve"> Il y en a quatre sortes : l'épargne que les policiers ont versée et qu'il faudra leur rendre (PEP et EFC), les allocations décès dues aux familles, les soins déjà reçus mais pas encore payés aux cliniques, et les soins des retraités si le FPPN les a promis à vie.</w:t>
      </w:r>
    </w:p>
    <w:p>
      <w:pPr/>
      <w:r>
        <w:rPr>
          <w:rFonts w:ascii="Helvetica" w:hAnsi="Helvetica" w:cs="Helvetica" w:eastAsia="Helvetica"/>
          <w:b/>
          <w:color w:val="000000"/>
        </w:rPr>
        <w:t>Une seule de ces sommes est connue avec certitude : l'épargne due, soit 15 743 516 391 FCFA au 31/08/2026.</w:t>
      </w:r>
      <w:r>
        <w:rPr>
          <w:rFonts w:ascii="Helvetica" w:hAnsi="Helvetica" w:cs="Helvetica" w:eastAsia="Helvetica"/>
          <w:color w:val="000000"/>
        </w:rPr>
        <w:t xml:space="preserve"> Elle se compose de 5 229 245 425 FCFA pour le PEP et de 10 514 270 966 FCFA pour l'EFC, lus dans la comptabilité.</w:t>
      </w:r>
    </w:p>
    <w:p>
      <w:pPr/>
      <w:r>
        <w:rPr>
          <w:rFonts w:ascii="Helvetica" w:hAnsi="Helvetica" w:cs="Helvetica" w:eastAsia="Helvetica"/>
          <w:b/>
          <w:color w:val="000000"/>
        </w:rPr>
        <w:t>Les trois autres ne peuvent pas être chiffrées aujourd'hui.</w:t>
      </w:r>
      <w:r>
        <w:rPr>
          <w:rFonts w:ascii="Helvetica" w:hAnsi="Helvetica" w:cs="Helvetica" w:eastAsia="Helvetica"/>
          <w:color w:val="000000"/>
        </w:rPr>
        <w:t xml:space="preserve"> Pour les calculer, il faut la liste des dossiers de prestations, l'âge de chaque policier et les règles écrites de chaque produit, qui fixent ce qui est promis. Ces documents n'ont pas été transmis.</w:t>
      </w:r>
    </w:p>
    <w:p>
      <w:pPr/>
      <w:r>
        <w:rPr>
          <w:rFonts w:ascii="Helvetica" w:hAnsi="Helvetica" w:cs="Helvetica" w:eastAsia="Helvetica"/>
          <w:b/>
          <w:color w:val="000000"/>
        </w:rPr>
        <w:t>Le total réel des engagements est donc supérieur au chiffre connu.</w:t>
      </w:r>
      <w:r>
        <w:rPr>
          <w:rFonts w:ascii="Helvetica" w:hAnsi="Helvetica" w:cs="Helvetica" w:eastAsia="Helvetica"/>
          <w:color w:val="000000"/>
        </w:rPr>
        <w:t xml:space="preserve"> C'est comme un ménage qui connaît le montant de son prêt bancaire mais pas celui de ses factures en attente : sa dette réelle est forcément plus grande.</w:t>
      </w:r>
    </w:p>
    <w:p>
      <w:pPr>
        <w:pStyle w:val="Heading3"/>
      </w:pPr>
      <w:r>
        <w:t>Tâche 2. Suffisance des provisions</w:t>
      </w:r>
    </w:p>
    <w:p>
      <w:pPr/>
      <w:r>
        <w:rPr>
          <w:rFonts w:ascii="Helvetica" w:hAnsi="Helvetica" w:cs="Helvetica" w:eastAsia="Helvetica"/>
          <w:b/>
          <w:color w:val="000000"/>
        </w:rPr>
        <w:t>Une provision est une somme mise de côté dans les comptes pour payer des prestations déjà dues mais pas encore réglées.</w:t>
      </w:r>
      <w:r>
        <w:rPr>
          <w:rFonts w:ascii="Helvetica" w:hAnsi="Helvetica" w:cs="Helvetica" w:eastAsia="Helvetica"/>
          <w:color w:val="000000"/>
        </w:rPr>
        <w:t xml:space="preserve"> Exemple : un policier hospitalisé en décembre dont la facture n'arrive qu'en février. La dépense appartient à l'année où il a été soigné : le FPPN doit donc réserver l'argent dès décembre. « Suffisante » veut dire que la somme réservée couvre bien tout ce qui reste à payer.</w:t>
      </w:r>
    </w:p>
    <w:p>
      <w:pPr/>
      <w:r>
        <w:rPr>
          <w:rFonts w:ascii="Helvetica" w:hAnsi="Helvetica" w:cs="Helvetica" w:eastAsia="Helvetica"/>
          <w:b/>
          <w:color w:val="000000"/>
        </w:rPr>
        <w:t>Au FPPN, la provision vaut 4 829 298 290 FCFA, au franc près, chaque année de 2020 au 31/08/2026.</w:t>
      </w:r>
      <w:r>
        <w:rPr>
          <w:rFonts w:ascii="Helvetica" w:hAnsi="Helvetica" w:cs="Helvetica" w:eastAsia="Helvetica"/>
          <w:color w:val="000000"/>
        </w:rPr>
        <w:t xml:space="preserve"> Selon le chef comptable, ce montant date d'environ 2004 et n'a jamais été recalculé. Pendant ce temps, les prestations maladie sont passées de 101 453 171 FCFA en 2021 à 1 771 635 361 FCFA en 2025.</w:t>
      </w:r>
    </w:p>
    <w:p>
      <w:pPr/>
      <w:r>
        <w:rPr>
          <w:rFonts w:ascii="Helvetica" w:hAnsi="Helvetica" w:cs="Helvetica" w:eastAsia="Helvetica"/>
          <w:b/>
          <w:color w:val="000000"/>
        </w:rPr>
        <w:t>Il n'est pas possible de dire aujourd'hui si cette somme est trop faible ou trop forte.</w:t>
      </w:r>
      <w:r>
        <w:rPr>
          <w:rFonts w:ascii="Helvetica" w:hAnsi="Helvetica" w:cs="Helvetica" w:eastAsia="Helvetica"/>
          <w:color w:val="000000"/>
        </w:rPr>
        <w:t xml:space="preserve"> Le calcul demande la liste de chaque dossier avec trois dates : celle du soin ou du décès, celle de la déclaration au FPPN et celle du paiement. La méthode est fixée par les textes : un calcul dossier par dossier, plus une estimation des dossiers pas encore déclarés (circulaire CIMA n° 00230/2005). Un montant figé depuis plus de vingt ans ne peut pas, sauf hasard, être le bon.</w:t>
      </w:r>
    </w:p>
    <w:p>
      <w:pPr>
        <w:pStyle w:val="Heading3"/>
      </w:pPr>
      <w:r>
        <w:t>Tâche 3. Adossement actif-passif</w:t>
      </w:r>
    </w:p>
    <w:p>
      <w:pPr/>
      <w:r>
        <w:rPr>
          <w:rFonts w:ascii="Helvetica" w:hAnsi="Helvetica" w:cs="Helvetica" w:eastAsia="Helvetica"/>
          <w:b/>
          <w:color w:val="000000"/>
        </w:rPr>
        <w:t>L'actif, c'est ce que le FPPN possède. Le passif, c'est ce qu'il doit.</w:t>
      </w:r>
      <w:r>
        <w:rPr>
          <w:rFonts w:ascii="Helvetica" w:hAnsi="Helvetica" w:cs="Helvetica" w:eastAsia="Helvetica"/>
          <w:color w:val="000000"/>
        </w:rPr>
        <w:t xml:space="preserve"> L'actif comprend l'argent en banque, les placements, les terrains, les prêts consentis aux policiers et les sommes qu'on lui doit. Le passif comprend l'épargne des policiers, les factures à payer et les provisions.</w:t>
      </w:r>
    </w:p>
    <w:p>
      <w:pPr/>
      <w:r>
        <w:rPr>
          <w:rFonts w:ascii="Helvetica" w:hAnsi="Helvetica" w:cs="Helvetica" w:eastAsia="Helvetica"/>
          <w:b/>
          <w:color w:val="000000"/>
        </w:rPr>
        <w:t>Adosser, c'est vérifier que chaque dette est couverte par un bien disponible au bon moment et pour le bon montant.</w:t>
      </w:r>
      <w:r>
        <w:rPr>
          <w:rFonts w:ascii="Helvetica" w:hAnsi="Helvetica" w:cs="Helvetica" w:eastAsia="Helvetica"/>
          <w:color w:val="000000"/>
        </w:rPr>
        <w:t xml:space="preserve"> Exemple : une personne qui doit rembourser 10 millions le mois prochain doit avoir 10 millions en banque le mois prochain. Un terrain qui demandera un an pour être vendu ne l'aide pas à payer à temps.</w:t>
      </w:r>
    </w:p>
    <w:p>
      <w:pPr/>
      <w:r>
        <w:rPr>
          <w:rFonts w:ascii="Helvetica" w:hAnsi="Helvetica" w:cs="Helvetica" w:eastAsia="Helvetica"/>
          <w:b/>
          <w:color w:val="000000"/>
        </w:rPr>
        <w:t>Le FPPN n'est pas adossé.</w:t>
      </w:r>
      <w:r>
        <w:rPr>
          <w:rFonts w:ascii="Helvetica" w:hAnsi="Helvetica" w:cs="Helvetica" w:eastAsia="Helvetica"/>
          <w:color w:val="000000"/>
        </w:rPr>
        <w:t xml:space="preserve"> Les dettes connues atteignent 22 761 252 888 FCFA. En comptant tous les biens à leur valeur dans les comptes, ils couvrent 96,33 % de ces dettes. Sans les biens dont la valeur n'est pas démontrée (créance sur l'hôpital de la Police, clinique, terrains), ils n'en couvrent que 27,19 %. Sur un an, l'argent disponible couvre 49,27 % des dettes à payer dans l'année.</w:t>
      </w:r>
    </w:p>
    <w:p>
      <w:pPr/>
      <w:r>
        <w:rPr>
          <w:rFonts w:ascii="Helvetica" w:hAnsi="Helvetica" w:cs="Helvetica" w:eastAsia="Helvetica"/>
          <w:b/>
          <w:color w:val="000000"/>
        </w:rPr>
        <w:t>Ce constat est un minimum : la situation réelle ne peut être que moins bonne.</w:t>
      </w:r>
      <w:r>
        <w:rPr>
          <w:rFonts w:ascii="Helvetica" w:hAnsi="Helvetica" w:cs="Helvetica" w:eastAsia="Helvetica"/>
          <w:color w:val="000000"/>
        </w:rPr>
        <w:t xml:space="preserve"> Toutes les informations manquantes ajouteraient des dettes (provisions à recalculer) ou retireraient de la valeur aux biens (terrains et clinique non évalués). Ce qui manque pour mesurer l'écart exact : les dates auxquelles les policiers retireront leur épargne, et une évaluation des terrains, de la clinique et de la créance sur l'hôpital.</w:t>
      </w:r>
    </w:p>
    <w:p>
      <w:pPr>
        <w:pStyle w:val="Heading3"/>
      </w:pPr>
      <w:r>
        <w:t>Tâche 4. Adéquation des placements</w:t>
      </w:r>
    </w:p>
    <w:p>
      <w:pPr/>
      <w:r>
        <w:rPr>
          <w:rFonts w:ascii="Helvetica" w:hAnsi="Helvetica" w:cs="Helvetica" w:eastAsia="Helvetica"/>
          <w:b/>
          <w:color w:val="000000"/>
        </w:rPr>
        <w:t>Un placement est l'endroit où le FPPN met son argent pour qu'il rapporte, par exemple un dépôt à terme en banque ou un fonds de placement.</w:t>
      </w:r>
      <w:r>
        <w:rPr>
          <w:rFonts w:ascii="Helvetica" w:hAnsi="Helvetica" w:cs="Helvetica" w:eastAsia="Helvetica"/>
          <w:color w:val="000000"/>
        </w:rPr>
        <w:t xml:space="preserve"> Les textes de l'UEMOA exigent quatre qualités : sécurité (ne pas perdre l'argent), rendement (qu'il rapporte), liquidité (pouvoir le récupérer quand il faut payer) et diversification (ne pas tout mettre au même endroit). C'est l'article 17 du règlement d'exécution n° 004/2022.</w:t>
      </w:r>
    </w:p>
    <w:p>
      <w:pPr/>
      <w:r>
        <w:rPr>
          <w:rFonts w:ascii="Helvetica" w:hAnsi="Helvetica" w:cs="Helvetica" w:eastAsia="Helvetica"/>
          <w:b/>
          <w:color w:val="000000"/>
        </w:rPr>
        <w:t>Deux qualités manquent clairement : la liquidité et la diversification.</w:t>
      </w:r>
      <w:r>
        <w:rPr>
          <w:rFonts w:ascii="Helvetica" w:hAnsi="Helvetica" w:cs="Helvetica" w:eastAsia="Helvetica"/>
          <w:color w:val="000000"/>
        </w:rPr>
        <w:t xml:space="preserve"> Les biens réservés à l'épargne ne couvrent que 16,28 % de l'épargne due. Le dépôt à terme principal est vidé chaque fin d'année, et l'argent est concentré sur une banque et un fonds.</w:t>
      </w:r>
    </w:p>
    <w:p>
      <w:pPr/>
      <w:r>
        <w:rPr>
          <w:rFonts w:ascii="Helvetica" w:hAnsi="Helvetica" w:cs="Helvetica" w:eastAsia="Helvetica"/>
          <w:b/>
          <w:color w:val="000000"/>
        </w:rPr>
        <w:t>Le rendement est faible : 1,30 % en 2022, 1,28 % en 2023 et 1,73 % en 2024.</w:t>
      </w:r>
      <w:r>
        <w:rPr>
          <w:rFonts w:ascii="Helvetica" w:hAnsi="Helvetica" w:cs="Helvetica" w:eastAsia="Helvetica"/>
          <w:color w:val="000000"/>
        </w:rPr>
        <w:t xml:space="preserve"> Sur les mêmes années, les obligations de l'État de Côte d'Ivoire à 5 ans rapportaient 5,19 %, 6,86 % et 7,73 %. Or le FPPN promet 3,5 % par an sur l'épargne des policiers.</w:t>
      </w:r>
    </w:p>
    <w:p>
      <w:pPr/>
      <w:r>
        <w:rPr>
          <w:rFonts w:ascii="Helvetica" w:hAnsi="Helvetica" w:cs="Helvetica" w:eastAsia="Helvetica"/>
          <w:b/>
          <w:color w:val="000000"/>
        </w:rPr>
        <w:t>La sécurité ne peut pas encore être jugée.</w:t>
      </w:r>
      <w:r>
        <w:rPr>
          <w:rFonts w:ascii="Helvetica" w:hAnsi="Helvetica" w:cs="Helvetica" w:eastAsia="Helvetica"/>
          <w:color w:val="000000"/>
        </w:rPr>
        <w:t xml:space="preserve"> Il manque la décision du ministre qui fixe, en Côte d'Ivoire, les placements autorisés, les relevés du dépôt à terme et du fonds, et les décisions du Conseil d'administration qui ont autorisé ces placements.</w:t>
      </w:r>
    </w:p>
    <w:p>
      <w:pPr>
        <w:pStyle w:val="Heading3"/>
      </w:pPr>
      <w:r>
        <w:t>Analyses statistiques, provision du personnel et réserve générale</w:t>
      </w:r>
    </w:p>
    <w:p>
      <w:pPr/>
      <w:r>
        <w:rPr>
          <w:rFonts w:ascii="Helvetica" w:hAnsi="Helvetica" w:cs="Helvetica" w:eastAsia="Helvetica"/>
          <w:b/>
          <w:color w:val="000000"/>
        </w:rPr>
        <w:t>Les analyses statistiques complémentaires décrivent le comportement de la population couverte.</w:t>
      </w:r>
      <w:r>
        <w:rPr>
          <w:rFonts w:ascii="Helvetica" w:hAnsi="Helvetica" w:cs="Helvetica" w:eastAsia="Helvetica"/>
          <w:color w:val="000000"/>
        </w:rPr>
        <w:t xml:space="preserve"> Exemples : combien de policiers décèdent chaque année, combien coûte une année de soins selon l'année où ils ont eu lieu, en combien de temps une facture est payée. Elles demandent les dates de naissance et les dossiers de prestations, non transmis.</w:t>
      </w:r>
    </w:p>
    <w:p>
      <w:pPr/>
      <w:r>
        <w:rPr>
          <w:rFonts w:ascii="Helvetica" w:hAnsi="Helvetica" w:cs="Helvetica" w:eastAsia="Helvetica"/>
          <w:b/>
          <w:color w:val="000000"/>
        </w:rPr>
        <w:t>La provision du personnel est la somme que le FPPN doit réserver pour l'indemnité de départ à la retraite de ses propres salariés.</w:t>
      </w:r>
      <w:r>
        <w:rPr>
          <w:rFonts w:ascii="Helvetica" w:hAnsi="Helvetica" w:cs="Helvetica" w:eastAsia="Helvetica"/>
          <w:color w:val="000000"/>
        </w:rPr>
        <w:t xml:space="preserve"> Le barème est connu : 30 % à 40 % d'un mois de salaire par année d'ancienneté (décret n° 2017-210). Elle ne vise que le personnel civil. Le calcul attend le fichier du personnel qui distingue civils et policiers.</w:t>
      </w:r>
    </w:p>
    <w:p>
      <w:pPr/>
      <w:r>
        <w:rPr>
          <w:rFonts w:ascii="Helvetica" w:hAnsi="Helvetica" w:cs="Helvetica" w:eastAsia="Helvetica"/>
          <w:b/>
          <w:color w:val="000000"/>
        </w:rPr>
        <w:t>Enfin, les chiffres du 31/08/2026 sont provisoires.</w:t>
      </w:r>
      <w:r>
        <w:rPr>
          <w:rFonts w:ascii="Helvetica" w:hAnsi="Helvetica" w:cs="Helvetica" w:eastAsia="Helvetica"/>
          <w:color w:val="000000"/>
        </w:rPr>
        <w:t xml:space="preserve"> La comptabilité de 2026 couvre huit mois et n'est pas arrêtée, et les fichiers de précomptes de 2020 à 2022 manquent. Les conclusions pourront être affinées à la clôture et à réception de ces fichiers.</w:t>
      </w:r>
    </w:p>
    <w:p w14:paraId="1CB0F08F" w14:textId="77777777" w:rsidR="006F0CB0" w:rsidRDefault="006F0CB0" w:rsidP="006F0CB0">
      <w:pPr>
        <w:pStyle w:val="Heading1"/>
        <w:spacing w:before="100" w:after="100"/>
        <w:sectPr w:rsidR="006F0CB0" w:rsidSect="00A24B2D">
          <w:pgSz w:w="11906" w:h="16838"/>
          <w:pgMar w:top="720" w:right="720" w:bottom="720" w:left="720" w:header="708" w:footer="708" w:gutter="0"/>
          <w:cols w:space="708"/>
          <w:docGrid w:linePitch="360"/>
        </w:sectPr>
      </w:pPr>
    </w:p>
    <w:p w14:paraId="3E26D7F2" w14:textId="337516F2" w:rsidR="00DD04E3" w:rsidRDefault="003A63CB" w:rsidP="00726C7B">
      <w:r>
        <w:rPr>
          <w:noProof/>
        </w:rPr>
        <mc:AlternateContent>
          <mc:Choice Requires="wps">
            <w:drawing>
              <wp:anchor distT="0" distB="0" distL="114300" distR="114300" simplePos="0" relativeHeight="251658274" behindDoc="0" locked="0" layoutInCell="1" allowOverlap="1" wp14:anchorId="0240CFDF" wp14:editId="1EA7B570">
                <wp:simplePos x="0" y="0"/>
                <wp:positionH relativeFrom="margin">
                  <wp:align>center</wp:align>
                </wp:positionH>
                <wp:positionV relativeFrom="paragraph">
                  <wp:posOffset>-1962785</wp:posOffset>
                </wp:positionV>
                <wp:extent cx="1691640" cy="7010400"/>
                <wp:effectExtent l="0" t="0" r="0" b="0"/>
                <wp:wrapSquare wrapText="bothSides"/>
                <wp:docPr id="306"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1691640" cy="7010400"/>
                        </a:xfrm>
                        <a:prstGeom prst="roundRect">
                          <a:avLst>
                            <a:gd name="adj" fmla="val 21502"/>
                          </a:avLst>
                        </a:prstGeom>
                        <a:noFill/>
                      </wps:spPr>
                      <wps:txb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3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DOCUMENTS PRIORITAIRES</w:t>
                            </w:r>
                          </w:p>
                        </w:txbxContent>
                      </wps:txbx>
                      <wps:bodyPr rot="0" vert="horz" wrap="square" lIns="91440" tIns="45720" rIns="91440" bIns="45720" anchor="ctr" anchorCtr="0" upright="1">
                        <a:noAutofit/>
                      </wps:bodyPr>
                    </wps:wsp>
                  </a:graphicData>
                </a:graphic>
              </wp:anchor>
            </w:drawing>
          </mc:Choice>
          <mc:Fallback>
            <w:pict>
              <v:roundrect w14:anchorId="0240CFDF" id="Forme automatique 2" o:spid="_x0000_s1033" style="position:absolute;left:0;text-align:left;margin-left:0;margin-top:-154.55pt;width:133.2pt;height:552pt;rotation:90;z-index:251658274;visibility:visible;mso-wrap-style:square;mso-wrap-distance-left:9pt;mso-wrap-distance-top:0;mso-wrap-distance-right:9pt;mso-wrap-distance-bottom:0;mso-position-horizontal:center;mso-position-horizontal-relative:margin;mso-position-vertical:absolute;mso-position-vertical-relative:text;v-text-anchor:middle" arcsize="1409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" filled="f" stroked="f">
                <v:textbox>
                  <w:txbxContent>
                    <w:p w14:paraId="4180C237" w14:textId="77777777" w:rsidR="00926010" w:rsidRPr="003A63CB" w:rsidRDefault="00926010" w:rsidP="00926010">
                      <w:pPr>
                        <w:pStyle w:val="Heading1"/>
                        <w:spacing w:before="100" w:after="100"/>
                        <w:jc w:val="center"/>
                        <w:rPr>
                          <w:color w:val="FFFFFF" w:themeColor="background1"/>
                          <w:sz w:val="48"/>
                          <w:szCs w:val="48"/>
                        </w:rPr>
                      </w:pPr>
                      <w:r w:rsidRPr="003A63CB">
                        <w:rPr>
                          <w:color w:val="FFFFFF" w:themeColor="background1"/>
                          <w:sz w:val="48"/>
                          <w:szCs w:val="48"/>
                        </w:rPr>
                        <w:t>PARTIE 3 :</w:t>
                      </w:r>
                      <w:r w:rsidRPr="003A63CB">
                        <w:rPr>
                          <w:color w:val="FFFFFF" w:themeColor="background1"/>
                          <w:sz w:val="48"/>
                          <w:szCs w:val="48"/>
                        </w:rPr>
                        <w:t xml:space="preserve"> </w:t>
                      </w:r>
                    </w:p>
                    <w:p w14:paraId="03A79D83" w14:textId="77777777" w:rsidR="00926010" w:rsidRPr="003A63CB" w:rsidRDefault="00926010" w:rsidP="00926010">
                      <w:pPr>
                        <w:pStyle w:val="Heading1"/>
                        <w:spacing w:before="100" w:after="100"/>
                        <w:jc w:val="center"/>
                        <w:rPr>
                          <w:rFonts w:asciiTheme="majorHAnsi" w:eastAsiaTheme="majorEastAsia" w:hAnsiTheme="majorHAnsi" w:cstheme="majorBidi"/>
                          <w:i/>
                          <w:iCs/>
                          <w:color w:val="FFFFFF" w:themeColor="background1"/>
                          <w:sz w:val="48"/>
                          <w:szCs w:val="48"/>
                        </w:rPr>
                      </w:pPr>
                      <w:r w:rsidRPr="003A63CB">
                        <w:rPr>
                          <w:color w:val="FFFFFF" w:themeColor="background1"/>
                          <w:sz w:val="48"/>
                          <w:szCs w:val="48"/>
                        </w:rPr>
                        <w:t>DOCUMENTS PRIORITAIRES</w:t>
                      </w:r>
                    </w:p>
                  </w:txbxContent>
                </v:textbox>
                <w10:wrap type="square" anchorx="margin"/>
              </v:roundrect>
            </w:pict>
          </mc:Fallback>
        </mc:AlternateContent>
      </w:r>
      <w:r w:rsidR="00926010">
        <w:rPr>
          <w:noProof/>
          <w14:ligatures w14:val="standardContextual"/>
        </w:rPr>
        <mc:AlternateContent>
          <mc:Choice Requires="wps">
            <w:drawing>
              <wp:anchor distT="0" distB="0" distL="114300" distR="114300" simplePos="0" relativeHeight="251658242" behindDoc="0" locked="0" layoutInCell="1" allowOverlap="1" wp14:anchorId="140E49DA" wp14:editId="17A22642">
                <wp:simplePos x="0" y="0"/>
                <wp:positionH relativeFrom="column">
                  <wp:posOffset>-480060</wp:posOffset>
                </wp:positionH>
                <wp:positionV relativeFrom="paragraph">
                  <wp:posOffset>-510540</wp:posOffset>
                </wp:positionV>
                <wp:extent cx="7574280" cy="10751820"/>
                <wp:effectExtent l="0" t="0" r="26670" b="11430"/>
                <wp:wrapNone/>
                <wp:docPr id="613672107" name="Rectangle 10"/>
                <wp:cNvGraphicFramePr/>
                <a:graphic xmlns:a="http://schemas.openxmlformats.org/drawingml/2006/main">
                  <a:graphicData uri="http://schemas.microsoft.com/office/word/2010/wordprocessingShape">
                    <wps:wsp>
                      <wps:cNvSpPr/>
                      <wps:spPr>
                        <a:xfrm>
                          <a:off x="0" y="0"/>
                          <a:ext cx="7574280" cy="10751820"/>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rect w14:anchorId="1E9B7977" id="Rectangle 10" o:spid="_x0000_s1026" style="position:absolute;margin-left:-37.8pt;margin-top:-40.2pt;width:596.4pt;height:846.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" fillcolor="black [3200]" strokecolor="black [480]" strokeweight="1.5pt"/>
            </w:pict>
          </mc:Fallback>
        </mc:AlternateContent>
      </w:r>
    </w:p>
    <w:p w14:paraId="29A5A8FC" w14:textId="0772451F" w:rsidR="00DD04E3" w:rsidRPr="00DD04E3" w:rsidRDefault="00DD04E3" w:rsidP="00DD04E3"/>
    <w:p w14:paraId="54310350" w14:textId="03E1B19F" w:rsidR="00DD04E3" w:rsidRPr="00DD04E3" w:rsidRDefault="00DD04E3" w:rsidP="00DD04E3"/>
    <w:p w14:paraId="2C2F6B9F" w14:textId="505262C9" w:rsidR="00DD04E3" w:rsidRPr="00DD04E3" w:rsidRDefault="003837AF" w:rsidP="00DD04E3">
      <w:r w:rsidRPr="00AA366B">
        <w:rPr>
          <w:noProof/>
        </w:rPr>
        <w:drawing>
          <wp:anchor distT="0" distB="0" distL="114300" distR="114300" simplePos="0" relativeHeight="251658267" behindDoc="0" locked="0" layoutInCell="1" allowOverlap="1" wp14:anchorId="2ADCBFCC" wp14:editId="1EA4A307">
            <wp:simplePos x="0" y="0"/>
            <wp:positionH relativeFrom="page">
              <wp:align>left</wp:align>
            </wp:positionH>
            <wp:positionV relativeFrom="paragraph">
              <wp:posOffset>167282</wp:posOffset>
            </wp:positionV>
            <wp:extent cx="7548880" cy="7259894"/>
            <wp:effectExtent l="0" t="0" r="0" b="0"/>
            <wp:wrapNone/>
            <wp:docPr id="1746398683" name="Image 15">
              <a:extLst xmlns:a="http://schemas.openxmlformats.org/drawingml/2006/main">
                <a:ext uri="{FF2B5EF4-FFF2-40B4-BE49-F238E27FC236}">
                  <a16:creationId xmlns:a16="http://schemas.microsoft.com/office/drawing/2014/main" id="{C8AC2246-CCF0-4C0C-B1BE-88C1E8DADC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pic:cNvPicPr>
                      <a:picLocks noChangeAspect="1"/>
                    </pic:cNvPicPr>
                  </pic:nvPicPr>
                  <pic:blipFill rotWithShape="1">
                    <a:blip r:embed="rId13" cstate="print">
                      <a:extLst>
                        <a:ext uri="{28A0092B-C50C-407E-A947-70E740481C1C}">
                          <a14:useLocalDpi xmlns:a14="http://schemas.microsoft.com/office/drawing/2010/main" val="0"/>
                        </a:ext>
                      </a:extLst>
                    </a:blip>
                    <a:srcRect l="-175" t="524" r="-2445" b="9082"/>
                    <a:stretch/>
                  </pic:blipFill>
                  <pic:spPr>
                    <a:xfrm>
                      <a:off x="0" y="0"/>
                      <a:ext cx="7548880" cy="7259894"/>
                    </a:xfrm>
                    <a:prstGeom prst="rect">
                      <a:avLst/>
                    </a:prstGeom>
                  </pic:spPr>
                </pic:pic>
              </a:graphicData>
            </a:graphic>
            <wp14:sizeRelH relativeFrom="margin">
              <wp14:pctWidth>0</wp14:pctWidth>
            </wp14:sizeRelH>
            <wp14:sizeRelV relativeFrom="margin">
              <wp14:pctHeight>0</wp14:pctHeight>
            </wp14:sizeRelV>
          </wp:anchor>
        </w:drawing>
      </w:r>
    </w:p>
    <w:p w14:paraId="70F74645" w14:textId="6F9E7C4C" w:rsidR="00DD04E3" w:rsidRPr="00DD04E3" w:rsidRDefault="00DD04E3" w:rsidP="00DD04E3"/>
    <w:p w14:paraId="637B0362" w14:textId="253E5702" w:rsidR="00DD04E3" w:rsidRPr="00DD04E3" w:rsidRDefault="00DD04E3" w:rsidP="00DD04E3"/>
    <w:p w14:paraId="34F038D6" w14:textId="1AAD29FE" w:rsidR="00DD04E3" w:rsidRPr="00DD04E3" w:rsidRDefault="00DD04E3" w:rsidP="00DD04E3"/>
    <w:p w14:paraId="540BCDAD" w14:textId="7FFC1DA8" w:rsidR="00DD04E3" w:rsidRPr="00DD04E3" w:rsidRDefault="00DD04E3" w:rsidP="00DD04E3"/>
    <w:p w14:paraId="62A538EF" w14:textId="19AAF6CF" w:rsidR="00DD04E3" w:rsidRPr="00DD04E3" w:rsidRDefault="00DD04E3" w:rsidP="00DD04E3"/>
    <w:p w14:paraId="6B21056D" w14:textId="70B266D0" w:rsidR="00DD04E3" w:rsidRPr="00DD04E3" w:rsidRDefault="00DD04E3" w:rsidP="00DD04E3"/>
    <w:p w14:paraId="0803D8BE" w14:textId="7ACBC061" w:rsidR="00DD04E3" w:rsidRPr="00DD04E3" w:rsidRDefault="00DD04E3" w:rsidP="00DD04E3"/>
    <w:p w14:paraId="5CCF2E8E" w14:textId="426E6CC9" w:rsidR="00DD04E3" w:rsidRPr="00DD04E3" w:rsidRDefault="00DD04E3" w:rsidP="00DD04E3"/>
    <w:p w14:paraId="2C7A88BD" w14:textId="77777777" w:rsidR="00DD04E3" w:rsidRPr="00DD04E3" w:rsidRDefault="00DD04E3" w:rsidP="00DD04E3"/>
    <w:p w14:paraId="6C8AEE97" w14:textId="77777777" w:rsidR="00DD04E3" w:rsidRPr="00DD04E3" w:rsidRDefault="00DD04E3" w:rsidP="00DD04E3"/>
    <w:p w14:paraId="193F1F69" w14:textId="77777777" w:rsidR="00DD04E3" w:rsidRPr="00DD04E3" w:rsidRDefault="00DD04E3" w:rsidP="00DD04E3"/>
    <w:p w14:paraId="3E78C07D" w14:textId="77777777" w:rsidR="00DD04E3" w:rsidRPr="00DD04E3" w:rsidRDefault="00DD04E3" w:rsidP="00DD04E3"/>
    <w:p w14:paraId="1833AA50" w14:textId="463C0184" w:rsidR="00DD04E3" w:rsidRPr="00DD04E3" w:rsidRDefault="00DD04E3" w:rsidP="00DD04E3">
      <w:pPr>
        <w:tabs>
          <w:tab w:val="left" w:pos="3384"/>
        </w:tabs>
      </w:pPr>
      <w:r>
        <w:tab/>
      </w:r>
    </w:p>
    <w:p w14:paraId="1A14F53F" w14:textId="77777777" w:rsidR="00DD04E3" w:rsidRPr="00DD04E3" w:rsidRDefault="00DD04E3" w:rsidP="00DD04E3"/>
    <w:p w14:paraId="794C1888" w14:textId="77777777" w:rsidR="00DD04E3" w:rsidRPr="00DD04E3" w:rsidRDefault="00DD04E3" w:rsidP="00DD04E3"/>
    <w:p w14:paraId="3D57E509" w14:textId="77777777" w:rsidR="00DD04E3" w:rsidRPr="00DD04E3" w:rsidRDefault="00DD04E3" w:rsidP="00DD04E3"/>
    <w:p w14:paraId="75AB4326" w14:textId="77777777" w:rsidR="00DD04E3" w:rsidRPr="00DD04E3" w:rsidRDefault="00DD04E3" w:rsidP="00DD04E3"/>
    <w:p w14:paraId="242B9CEF" w14:textId="77777777" w:rsidR="00DD04E3" w:rsidRPr="00DD04E3" w:rsidRDefault="00DD04E3" w:rsidP="00DD04E3">
      <w:pPr>
        <w:sectPr w:rsidR="00DD04E3" w:rsidRPr="00DD04E3" w:rsidSect="00A24B2D">
          <w:pgSz w:w="11906" w:h="16838"/>
          <w:pgMar w:top="720" w:right="720" w:bottom="720" w:left="720" w:header="708" w:footer="708" w:gutter="0"/>
          <w:cols w:space="708"/>
          <w:docGrid w:linePitch="360"/>
        </w:sectPr>
      </w:pPr>
    </w:p>
    <w:p>
      <w:pPr>
        <w:pStyle w:val="Heading1"/>
      </w:pPr>
      <w:r>
        <w:t>PARTIE 3 : DOCUMENTS PRIORITAIRES</w:t>
      </w:r>
    </w:p>
    <w:p>
      <w:pPr/>
      <w:r>
        <w:rPr>
          <w:rFonts w:ascii="Helvetica" w:hAnsi="Helvetica" w:cs="Helvetica" w:eastAsia="Helvetica"/>
          <w:color w:val="000000"/>
        </w:rPr>
        <w:t>Les documents à obtenir du FPPN, par ordre de priorité, avec la tâche qu'ils débloquent.</w:t>
      </w:r>
    </w:p>
    <w:p>
      <w:pPr>
        <w:pStyle w:val="Heading2"/>
      </w:pPr>
      <w:r>
        <w:t>3.1. DOCUMENTS NÉCESSAIRES</w:t>
      </w:r>
    </w:p>
    <w:p>
      <w:pPr>
        <w:pStyle w:val="Caption"/>
        <w:keepNext/>
        <w:jc w:val="left"/>
      </w:pPr>
      <w:r>
        <w:rPr>
          <w:rFonts w:ascii="Helvetica" w:hAnsi="Helvetica" w:cs="Helvetica" w:eastAsia="Helvetica"/>
          <w:b/>
          <w:color w:val="000000"/>
          <w:sz w:val="20"/>
        </w:rPr>
        <w:t xml:space="preserve">Tableau </w:t>
      </w:r>
      <w:r>
        <w:rPr>
          <w:rFonts w:ascii="Helvetica" w:hAnsi="Helvetica" w:cs="Helvetica" w:eastAsia="Helvetica"/>
          <w:b/>
          <w:color w:val="000000"/>
          <w:sz w:val="20"/>
        </w:rPr>
        <w:fldChar w:fldCharType="begin"/>
      </w:r>
      <w:r>
        <w:rPr>
          <w:rFonts w:ascii="Helvetica" w:hAnsi="Helvetica" w:cs="Helvetica" w:eastAsia="Helvetica"/>
          <w:b/>
          <w:color w:val="000000"/>
          <w:sz w:val="20"/>
        </w:rPr>
        <w:instrText xml:space="preserve"> SEQ Tableau \* ARABIC </w:instrText>
      </w:r>
      <w:r>
        <w:rPr>
          <w:rFonts w:ascii="Helvetica" w:hAnsi="Helvetica" w:cs="Helvetica" w:eastAsia="Helvetica"/>
          <w:b/>
          <w:color w:val="000000"/>
          <w:sz w:val="20"/>
        </w:rPr>
        <w:fldChar w:fldCharType="separate"/>
      </w:r>
      <w:r>
        <w:rPr>
          <w:rFonts w:ascii="Helvetica" w:hAnsi="Helvetica" w:cs="Helvetica" w:eastAsia="Helvetica"/>
          <w:b/>
          <w:color w:val="000000"/>
          <w:sz w:val="20"/>
        </w:rPr>
        <w:t>3</w:t>
      </w:r>
      <w:r>
        <w:rPr>
          <w:rFonts w:ascii="Helvetica" w:hAnsi="Helvetica" w:cs="Helvetica" w:eastAsia="Helvetica"/>
          <w:b/>
          <w:color w:val="000000"/>
          <w:sz w:val="20"/>
        </w:rPr>
        <w:fldChar w:fldCharType="end"/>
      </w:r>
      <w:r>
        <w:rPr>
          <w:rFonts w:ascii="Helvetica" w:hAnsi="Helvetica" w:cs="Helvetica" w:eastAsia="Helvetica"/>
          <w:b w:val="0"/>
          <w:color w:val="000000"/>
          <w:sz w:val="20"/>
        </w:rPr>
        <w:t xml:space="preserve"> : Documents prioritaires et nécessaires à la réalisation des tâches</w:t>
      </w:r>
    </w:p>
    <w:tbl>
      <w:tblPr>
        <w:tblW w:type="auto" w:w="0"/>
        <w:jc w:val="center"/>
        <w:tblBorders>
          <w:top w:val="single" w:sz="4" w:color="000000"/>
          <w:left w:val="single" w:sz="4" w:color="000000"/>
          <w:bottom w:val="single" w:sz="4" w:color="000000"/>
          <w:right w:val="single" w:sz="4" w:color="000000"/>
          <w:insideH w:val="single" w:sz="4" w:color="000000"/>
          <w:insideV w:val="single" w:sz="4" w:color="000000"/>
        </w:tblBorders>
        <w:tblLook w:firstColumn="1" w:firstRow="1" w:lastColumn="0" w:lastRow="0" w:noHBand="0" w:noVBand="1" w:val="04A0"/>
        <w:tblLayout w:type="fixed"/>
      </w:tblPr>
      <w:tblGrid>
        <w:gridCol w:w="1361"/>
        <w:gridCol w:w="3742"/>
        <w:gridCol w:w="1474"/>
        <w:gridCol w:w="907"/>
        <w:gridCol w:w="2948"/>
      </w:tblGrid>
      <w:tr>
        <w:trPr>
          <w:tblHeader/>
        </w:trPr>
        <w:tc>
          <w:tcPr>
            <w:tcW w:type="dxa" w:w="1361"/>
            <w:shd w:val="clear" w:color="auto" w:fill="000000"/>
          </w:tcPr>
          <w:p>
            <w:pPr>
              <w:spacing w:after="40" w:before="40" w:line="240" w:lineRule="auto"/>
              <w:jc w:val="left"/>
            </w:pPr>
            <w:r>
              <w:rPr>
                <w:rFonts w:ascii="Helvetica" w:hAnsi="Helvetica" w:cs="Helvetica" w:eastAsia="Helvetica"/>
                <w:b/>
                <w:color w:val="FFFFFF"/>
                <w:sz w:val="16"/>
              </w:rPr>
              <w:t>N° PBC</w:t>
            </w:r>
          </w:p>
        </w:tc>
        <w:tc>
          <w:tcPr>
            <w:tcW w:type="dxa" w:w="3742"/>
            <w:shd w:val="clear" w:color="auto" w:fill="000000"/>
          </w:tcPr>
          <w:p>
            <w:pPr>
              <w:spacing w:after="40" w:before="40" w:line="240" w:lineRule="auto"/>
              <w:jc w:val="center"/>
            </w:pPr>
            <w:r>
              <w:rPr>
                <w:rFonts w:ascii="Helvetica" w:hAnsi="Helvetica" w:cs="Helvetica" w:eastAsia="Helvetica"/>
                <w:b/>
                <w:color w:val="FFFFFF"/>
                <w:sz w:val="16"/>
              </w:rPr>
              <w:t>Document</w:t>
            </w:r>
          </w:p>
        </w:tc>
        <w:tc>
          <w:tcPr>
            <w:tcW w:type="dxa" w:w="1474"/>
            <w:shd w:val="clear" w:color="auto" w:fill="000000"/>
          </w:tcPr>
          <w:p>
            <w:pPr>
              <w:spacing w:after="40" w:before="40" w:line="240" w:lineRule="auto"/>
              <w:jc w:val="center"/>
            </w:pPr>
            <w:r>
              <w:rPr>
                <w:rFonts w:ascii="Helvetica" w:hAnsi="Helvetica" w:cs="Helvetica" w:eastAsia="Helvetica"/>
                <w:b/>
                <w:color w:val="FFFFFF"/>
                <w:sz w:val="16"/>
              </w:rPr>
              <w:t>Tâches débloquées</w:t>
            </w:r>
          </w:p>
        </w:tc>
        <w:tc>
          <w:tcPr>
            <w:tcW w:type="dxa" w:w="907"/>
            <w:shd w:val="clear" w:color="auto" w:fill="000000"/>
          </w:tcPr>
          <w:p>
            <w:pPr>
              <w:spacing w:after="40" w:before="40" w:line="240" w:lineRule="auto"/>
              <w:jc w:val="center"/>
            </w:pPr>
            <w:r>
              <w:rPr>
                <w:rFonts w:ascii="Helvetica" w:hAnsi="Helvetica" w:cs="Helvetica" w:eastAsia="Helvetica"/>
                <w:b/>
                <w:color w:val="FFFFFF"/>
                <w:sz w:val="16"/>
              </w:rPr>
              <w:t>Priorité</w:t>
            </w:r>
          </w:p>
        </w:tc>
        <w:tc>
          <w:tcPr>
            <w:tcW w:type="dxa" w:w="2948"/>
            <w:shd w:val="clear" w:color="auto" w:fill="000000"/>
          </w:tcPr>
          <w:p>
            <w:pPr>
              <w:spacing w:after="40" w:before="40" w:line="240" w:lineRule="auto"/>
              <w:jc w:val="center"/>
            </w:pPr>
            <w:r>
              <w:rPr>
                <w:rFonts w:ascii="Helvetica" w:hAnsi="Helvetica" w:cs="Helvetica" w:eastAsia="Helvetica"/>
                <w:b/>
                <w:color w:val="FFFFFF"/>
                <w:sz w:val="16"/>
              </w:rPr>
              <w:t>Pourquoi</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71, 13, 28, 40</w:t>
            </w:r>
          </w:p>
        </w:tc>
        <w:tc>
          <w:tcPr>
            <w:tcW w:type="dxa" w:w="3742"/>
          </w:tcPr>
          <w:p>
            <w:pPr>
              <w:spacing w:after="40" w:before="40" w:line="240" w:lineRule="auto"/>
              <w:jc w:val="left"/>
            </w:pPr>
            <w:r>
              <w:rPr>
                <w:rFonts w:ascii="Helvetica" w:hAnsi="Helvetica" w:cs="Helvetica" w:eastAsia="Helvetica"/>
                <w:color w:val="000000"/>
                <w:sz w:val="16"/>
              </w:rPr>
              <w:t>Bases des prestations maladie et décès depuis 2019, une ligne par dossier, avec dates de survenance, de déclaration et de paiement</w:t>
            </w:r>
          </w:p>
        </w:tc>
        <w:tc>
          <w:tcPr>
            <w:tcW w:type="dxa" w:w="1474"/>
          </w:tcPr>
          <w:p>
            <w:pPr>
              <w:spacing w:after="40" w:before="40" w:line="240" w:lineRule="auto"/>
              <w:jc w:val="left"/>
            </w:pPr>
            <w:r>
              <w:rPr>
                <w:rFonts w:ascii="Helvetica" w:hAnsi="Helvetica" w:cs="Helvetica" w:eastAsia="Helvetica"/>
                <w:color w:val="000000"/>
                <w:sz w:val="16"/>
              </w:rPr>
              <w:t>1, 2, statistiques</w:t>
            </w:r>
          </w:p>
        </w:tc>
        <w:tc>
          <w:tcPr>
            <w:tcW w:type="dxa" w:w="907"/>
          </w:tcPr>
          <w:p>
            <w:pPr>
              <w:spacing w:after="40" w:before="40" w:line="240" w:lineRule="auto"/>
              <w:jc w:val="right"/>
            </w:pPr>
            <w:r>
              <w:rPr>
                <w:rFonts w:ascii="Helvetica" w:hAnsi="Helvetica" w:cs="Helvetica" w:eastAsia="Helvetica"/>
                <w:color w:val="000000"/>
                <w:sz w:val="16"/>
              </w:rPr>
              <w:t>1</w:t>
            </w:r>
          </w:p>
        </w:tc>
        <w:tc>
          <w:tcPr>
            <w:tcW w:type="dxa" w:w="2948"/>
          </w:tcPr>
          <w:p>
            <w:pPr>
              <w:spacing w:after="40" w:before="40" w:line="240" w:lineRule="auto"/>
              <w:jc w:val="left"/>
            </w:pPr>
            <w:r>
              <w:rPr>
                <w:rFonts w:ascii="Helvetica" w:hAnsi="Helvetica" w:cs="Helvetica" w:eastAsia="Helvetica"/>
                <w:color w:val="000000"/>
                <w:sz w:val="16"/>
              </w:rPr>
              <w:t>Calcul de la PSAP dossier par dossier et des sinistres tardifs (circulaire CIMA n° 00230/2005)</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72</w:t>
            </w:r>
          </w:p>
        </w:tc>
        <w:tc>
          <w:tcPr>
            <w:tcW w:type="dxa" w:w="3742"/>
            <w:shd w:val="clear" w:color="auto" w:fill="E8E8E8"/>
          </w:tcPr>
          <w:p>
            <w:pPr>
              <w:spacing w:after="40" w:before="40" w:line="240" w:lineRule="auto"/>
              <w:jc w:val="left"/>
            </w:pPr>
            <w:r>
              <w:rPr>
                <w:rFonts w:ascii="Helvetica" w:hAnsi="Helvetica" w:cs="Helvetica" w:eastAsia="Helvetica"/>
                <w:color w:val="000000"/>
                <w:sz w:val="16"/>
              </w:rPr>
              <w:t>Note de calcul des provisions maladie et obsèques, et liste des dossiers</w:t>
            </w:r>
          </w:p>
        </w:tc>
        <w:tc>
          <w:tcPr>
            <w:tcW w:type="dxa" w:w="1474"/>
            <w:shd w:val="clear" w:color="auto" w:fill="E8E8E8"/>
          </w:tcPr>
          <w:p>
            <w:pPr>
              <w:spacing w:after="40" w:before="40" w:line="240" w:lineRule="auto"/>
              <w:jc w:val="right"/>
            </w:pPr>
            <w:r>
              <w:rPr>
                <w:rFonts w:ascii="Helvetica" w:hAnsi="Helvetica" w:cs="Helvetica" w:eastAsia="Helvetica"/>
                <w:color w:val="000000"/>
                <w:sz w:val="16"/>
              </w:rPr>
              <w:t>2</w:t>
            </w:r>
          </w:p>
        </w:tc>
        <w:tc>
          <w:tcPr>
            <w:tcW w:type="dxa" w:w="907"/>
            <w:shd w:val="clear" w:color="auto" w:fill="E8E8E8"/>
          </w:tcPr>
          <w:p>
            <w:pPr>
              <w:spacing w:after="40" w:before="40" w:line="240" w:lineRule="auto"/>
              <w:jc w:val="right"/>
            </w:pPr>
            <w:r>
              <w:rPr>
                <w:rFonts w:ascii="Helvetica" w:hAnsi="Helvetica" w:cs="Helvetica" w:eastAsia="Helvetica"/>
                <w:color w:val="000000"/>
                <w:sz w:val="16"/>
              </w:rPr>
              <w:t>1</w:t>
            </w:r>
          </w:p>
        </w:tc>
        <w:tc>
          <w:tcPr>
            <w:tcW w:type="dxa" w:w="2948"/>
            <w:shd w:val="clear" w:color="auto" w:fill="E8E8E8"/>
          </w:tcPr>
          <w:p>
            <w:pPr>
              <w:spacing w:after="40" w:before="40" w:line="240" w:lineRule="auto"/>
              <w:jc w:val="left"/>
            </w:pPr>
            <w:r>
              <w:rPr>
                <w:rFonts w:ascii="Helvetica" w:hAnsi="Helvetica" w:cs="Helvetica" w:eastAsia="Helvetica"/>
                <w:color w:val="000000"/>
                <w:sz w:val="16"/>
              </w:rPr>
              <w:t>Justifier ou reprendre les montants hérités</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92, 93</w:t>
            </w:r>
          </w:p>
        </w:tc>
        <w:tc>
          <w:tcPr>
            <w:tcW w:type="dxa" w:w="3742"/>
          </w:tcPr>
          <w:p>
            <w:pPr>
              <w:spacing w:after="40" w:before="40" w:line="240" w:lineRule="auto"/>
              <w:jc w:val="left"/>
            </w:pPr>
            <w:r>
              <w:rPr>
                <w:rFonts w:ascii="Helvetica" w:hAnsi="Helvetica" w:cs="Helvetica" w:eastAsia="Helvetica"/>
                <w:color w:val="000000"/>
                <w:sz w:val="16"/>
              </w:rPr>
              <w:t>Fichiers des décès, calcul de fin d'année des allocations restant à payer, barème officiel des allocations décès</w:t>
            </w:r>
          </w:p>
        </w:tc>
        <w:tc>
          <w:tcPr>
            <w:tcW w:type="dxa" w:w="1474"/>
          </w:tcPr>
          <w:p>
            <w:pPr>
              <w:spacing w:after="40" w:before="40" w:line="240" w:lineRule="auto"/>
              <w:jc w:val="right"/>
            </w:pPr>
            <w:r>
              <w:rPr>
                <w:rFonts w:ascii="Helvetica" w:hAnsi="Helvetica" w:cs="Helvetica" w:eastAsia="Helvetica"/>
                <w:color w:val="000000"/>
                <w:sz w:val="16"/>
              </w:rPr>
              <w:t>1, 2</w:t>
            </w:r>
          </w:p>
        </w:tc>
        <w:tc>
          <w:tcPr>
            <w:tcW w:type="dxa" w:w="907"/>
          </w:tcPr>
          <w:p>
            <w:pPr>
              <w:spacing w:after="40" w:before="40" w:line="240" w:lineRule="auto"/>
              <w:jc w:val="right"/>
            </w:pPr>
            <w:r>
              <w:rPr>
                <w:rFonts w:ascii="Helvetica" w:hAnsi="Helvetica" w:cs="Helvetica" w:eastAsia="Helvetica"/>
                <w:color w:val="000000"/>
                <w:sz w:val="16"/>
              </w:rPr>
              <w:t>1</w:t>
            </w:r>
          </w:p>
        </w:tc>
        <w:tc>
          <w:tcPr>
            <w:tcW w:type="dxa" w:w="2948"/>
          </w:tcPr>
          <w:p>
            <w:pPr>
              <w:spacing w:after="40" w:before="40" w:line="240" w:lineRule="auto"/>
              <w:jc w:val="left"/>
            </w:pPr>
            <w:r>
              <w:rPr>
                <w:rFonts w:ascii="Helvetica" w:hAnsi="Helvetica" w:cs="Helvetica" w:eastAsia="Helvetica"/>
                <w:color w:val="000000"/>
                <w:sz w:val="16"/>
              </w:rPr>
              <w:t>Allocations décès restant dues</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100, 101</w:t>
            </w:r>
          </w:p>
        </w:tc>
        <w:tc>
          <w:tcPr>
            <w:tcW w:type="dxa" w:w="3742"/>
            <w:shd w:val="clear" w:color="auto" w:fill="E8E8E8"/>
          </w:tcPr>
          <w:p>
            <w:pPr>
              <w:spacing w:after="40" w:before="40" w:line="240" w:lineRule="auto"/>
              <w:jc w:val="left"/>
            </w:pPr>
            <w:r>
              <w:rPr>
                <w:rFonts w:ascii="Helvetica" w:hAnsi="Helvetica" w:cs="Helvetica" w:eastAsia="Helvetica"/>
                <w:color w:val="000000"/>
                <w:sz w:val="16"/>
              </w:rPr>
              <w:t>Cahier des charges du régime des prestations sociales et tableau des allocations</w:t>
            </w:r>
          </w:p>
        </w:tc>
        <w:tc>
          <w:tcPr>
            <w:tcW w:type="dxa" w:w="1474"/>
            <w:shd w:val="clear" w:color="auto" w:fill="E8E8E8"/>
          </w:tcPr>
          <w:p>
            <w:pPr>
              <w:spacing w:after="40" w:before="40" w:line="240" w:lineRule="auto"/>
              <w:jc w:val="right"/>
            </w:pPr>
            <w:r>
              <w:rPr>
                <w:rFonts w:ascii="Helvetica" w:hAnsi="Helvetica" w:cs="Helvetica" w:eastAsia="Helvetica"/>
                <w:color w:val="000000"/>
                <w:sz w:val="16"/>
              </w:rPr>
              <w:t>1, 2</w:t>
            </w:r>
          </w:p>
        </w:tc>
        <w:tc>
          <w:tcPr>
            <w:tcW w:type="dxa" w:w="907"/>
            <w:shd w:val="clear" w:color="auto" w:fill="E8E8E8"/>
          </w:tcPr>
          <w:p>
            <w:pPr>
              <w:spacing w:after="40" w:before="40" w:line="240" w:lineRule="auto"/>
              <w:jc w:val="right"/>
            </w:pPr>
            <w:r>
              <w:rPr>
                <w:rFonts w:ascii="Helvetica" w:hAnsi="Helvetica" w:cs="Helvetica" w:eastAsia="Helvetica"/>
                <w:color w:val="000000"/>
                <w:sz w:val="16"/>
              </w:rPr>
              <w:t>1</w:t>
            </w:r>
          </w:p>
        </w:tc>
        <w:tc>
          <w:tcPr>
            <w:tcW w:type="dxa" w:w="2948"/>
            <w:shd w:val="clear" w:color="auto" w:fill="E8E8E8"/>
          </w:tcPr>
          <w:p>
            <w:pPr>
              <w:spacing w:after="40" w:before="40" w:line="240" w:lineRule="auto"/>
              <w:jc w:val="left"/>
            </w:pPr>
            <w:r>
              <w:rPr>
                <w:rFonts w:ascii="Helvetica" w:hAnsi="Helvetica" w:cs="Helvetica" w:eastAsia="Helvetica"/>
                <w:color w:val="000000"/>
                <w:sz w:val="16"/>
              </w:rPr>
              <w:t>Montants des prestations auxquels renvoient les statuts</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57, 102, 16, 17, 99</w:t>
            </w:r>
          </w:p>
        </w:tc>
        <w:tc>
          <w:tcPr>
            <w:tcW w:type="dxa" w:w="3742"/>
          </w:tcPr>
          <w:p>
            <w:pPr>
              <w:spacing w:after="40" w:before="40" w:line="240" w:lineRule="auto"/>
              <w:jc w:val="left"/>
            </w:pPr>
            <w:r>
              <w:rPr>
                <w:rFonts w:ascii="Helvetica" w:hAnsi="Helvetica" w:cs="Helvetica" w:eastAsia="Helvetica"/>
                <w:color w:val="000000"/>
                <w:sz w:val="16"/>
              </w:rPr>
              <w:t>Règlements et manuels de l'EFC et du PEP, comptes individuels d'épargne, décision fixant le taux servi de 3,5 %</w:t>
            </w:r>
          </w:p>
        </w:tc>
        <w:tc>
          <w:tcPr>
            <w:tcW w:type="dxa" w:w="1474"/>
          </w:tcPr>
          <w:p>
            <w:pPr>
              <w:spacing w:after="40" w:before="40" w:line="240" w:lineRule="auto"/>
              <w:jc w:val="right"/>
            </w:pPr>
            <w:r>
              <w:rPr>
                <w:rFonts w:ascii="Helvetica" w:hAnsi="Helvetica" w:cs="Helvetica" w:eastAsia="Helvetica"/>
                <w:color w:val="000000"/>
                <w:sz w:val="16"/>
              </w:rPr>
              <w:t>1, 3</w:t>
            </w:r>
          </w:p>
        </w:tc>
        <w:tc>
          <w:tcPr>
            <w:tcW w:type="dxa" w:w="907"/>
          </w:tcPr>
          <w:p>
            <w:pPr>
              <w:spacing w:after="40" w:before="40" w:line="240" w:lineRule="auto"/>
              <w:jc w:val="right"/>
            </w:pPr>
            <w:r>
              <w:rPr>
                <w:rFonts w:ascii="Helvetica" w:hAnsi="Helvetica" w:cs="Helvetica" w:eastAsia="Helvetica"/>
                <w:color w:val="000000"/>
                <w:sz w:val="16"/>
              </w:rPr>
              <w:t>1</w:t>
            </w:r>
          </w:p>
        </w:tc>
        <w:tc>
          <w:tcPr>
            <w:tcW w:type="dxa" w:w="2948"/>
          </w:tcPr>
          <w:p>
            <w:pPr>
              <w:spacing w:after="40" w:before="40" w:line="240" w:lineRule="auto"/>
              <w:jc w:val="left"/>
            </w:pPr>
            <w:r>
              <w:rPr>
                <w:rFonts w:ascii="Helvetica" w:hAnsi="Helvetica" w:cs="Helvetica" w:eastAsia="Helvetica"/>
                <w:color w:val="000000"/>
                <w:sz w:val="16"/>
              </w:rPr>
              <w:t>Valeur et échéancier de l'épargne</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9</w:t>
            </w:r>
          </w:p>
        </w:tc>
        <w:tc>
          <w:tcPr>
            <w:tcW w:type="dxa" w:w="3742"/>
            <w:shd w:val="clear" w:color="auto" w:fill="E8E8E8"/>
          </w:tcPr>
          <w:p>
            <w:pPr>
              <w:spacing w:after="40" w:before="40" w:line="240" w:lineRule="auto"/>
              <w:jc w:val="left"/>
            </w:pPr>
            <w:r>
              <w:rPr>
                <w:rFonts w:ascii="Helvetica" w:hAnsi="Helvetica" w:cs="Helvetica" w:eastAsia="Helvetica"/>
                <w:color w:val="000000"/>
                <w:sz w:val="16"/>
              </w:rPr>
              <w:t>Fichier des mutualistes avec date de naissance et sexe</w:t>
            </w:r>
          </w:p>
        </w:tc>
        <w:tc>
          <w:tcPr>
            <w:tcW w:type="dxa" w:w="1474"/>
            <w:shd w:val="clear" w:color="auto" w:fill="E8E8E8"/>
          </w:tcPr>
          <w:p>
            <w:pPr>
              <w:spacing w:after="40" w:before="40" w:line="240" w:lineRule="auto"/>
              <w:jc w:val="left"/>
            </w:pPr>
            <w:r>
              <w:rPr>
                <w:rFonts w:ascii="Helvetica" w:hAnsi="Helvetica" w:cs="Helvetica" w:eastAsia="Helvetica"/>
                <w:color w:val="000000"/>
                <w:sz w:val="16"/>
              </w:rPr>
              <w:t>1, 3, statistiques</w:t>
            </w:r>
          </w:p>
        </w:tc>
        <w:tc>
          <w:tcPr>
            <w:tcW w:type="dxa" w:w="907"/>
            <w:shd w:val="clear" w:color="auto" w:fill="E8E8E8"/>
          </w:tcPr>
          <w:p>
            <w:pPr>
              <w:spacing w:after="40" w:before="40" w:line="240" w:lineRule="auto"/>
              <w:jc w:val="right"/>
            </w:pPr>
            <w:r>
              <w:rPr>
                <w:rFonts w:ascii="Helvetica" w:hAnsi="Helvetica" w:cs="Helvetica" w:eastAsia="Helvetica"/>
                <w:color w:val="000000"/>
                <w:sz w:val="16"/>
              </w:rPr>
              <w:t>1</w:t>
            </w:r>
          </w:p>
        </w:tc>
        <w:tc>
          <w:tcPr>
            <w:tcW w:type="dxa" w:w="2948"/>
            <w:shd w:val="clear" w:color="auto" w:fill="E8E8E8"/>
          </w:tcPr>
          <w:p>
            <w:pPr>
              <w:spacing w:after="40" w:before="40" w:line="240" w:lineRule="auto"/>
              <w:jc w:val="left"/>
            </w:pPr>
            <w:r>
              <w:rPr>
                <w:rFonts w:ascii="Helvetica" w:hAnsi="Helvetica" w:cs="Helvetica" w:eastAsia="Helvetica"/>
                <w:color w:val="000000"/>
                <w:sz w:val="16"/>
              </w:rPr>
              <w:t>Mortalité, départs à la retraite, projection des engagements</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79, 108</w:t>
            </w:r>
          </w:p>
        </w:tc>
        <w:tc>
          <w:tcPr>
            <w:tcW w:type="dxa" w:w="3742"/>
          </w:tcPr>
          <w:p>
            <w:pPr>
              <w:spacing w:after="40" w:before="40" w:line="240" w:lineRule="auto"/>
              <w:jc w:val="left"/>
            </w:pPr>
            <w:r>
              <w:rPr>
                <w:rFonts w:ascii="Helvetica" w:hAnsi="Helvetica" w:cs="Helvetica" w:eastAsia="Helvetica"/>
                <w:color w:val="000000"/>
                <w:sz w:val="16"/>
              </w:rPr>
              <w:t>Règles de la garantie santé des retraités et situation des policiers retraités</w:t>
            </w:r>
          </w:p>
        </w:tc>
        <w:tc>
          <w:tcPr>
            <w:tcW w:type="dxa" w:w="1474"/>
          </w:tcPr>
          <w:p>
            <w:pPr>
              <w:spacing w:after="40" w:before="40" w:line="240" w:lineRule="auto"/>
              <w:jc w:val="right"/>
            </w:pPr>
            <w:r>
              <w:rPr>
                <w:rFonts w:ascii="Helvetica" w:hAnsi="Helvetica" w:cs="Helvetica" w:eastAsia="Helvetica"/>
                <w:color w:val="000000"/>
                <w:sz w:val="16"/>
              </w:rPr>
              <w:t>1</w:t>
            </w:r>
          </w:p>
        </w:tc>
        <w:tc>
          <w:tcPr>
            <w:tcW w:type="dxa" w:w="907"/>
          </w:tcPr>
          <w:p>
            <w:pPr>
              <w:spacing w:after="40" w:before="40" w:line="240" w:lineRule="auto"/>
              <w:jc w:val="right"/>
            </w:pPr>
            <w:r>
              <w:rPr>
                <w:rFonts w:ascii="Helvetica" w:hAnsi="Helvetica" w:cs="Helvetica" w:eastAsia="Helvetica"/>
                <w:color w:val="000000"/>
                <w:sz w:val="16"/>
              </w:rPr>
              <w:t>2</w:t>
            </w:r>
          </w:p>
        </w:tc>
        <w:tc>
          <w:tcPr>
            <w:tcW w:type="dxa" w:w="2948"/>
          </w:tcPr>
          <w:p>
            <w:pPr>
              <w:spacing w:after="40" w:before="40" w:line="240" w:lineRule="auto"/>
              <w:jc w:val="left"/>
            </w:pPr>
            <w:r>
              <w:rPr>
                <w:rFonts w:ascii="Helvetica" w:hAnsi="Helvetica" w:cs="Helvetica" w:eastAsia="Helvetica"/>
                <w:color w:val="000000"/>
                <w:sz w:val="16"/>
              </w:rPr>
              <w:t>Provision mathématique éventuelle</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84, 86, 87, 88</w:t>
            </w:r>
          </w:p>
        </w:tc>
        <w:tc>
          <w:tcPr>
            <w:tcW w:type="dxa" w:w="3742"/>
            <w:shd w:val="clear" w:color="auto" w:fill="E8E8E8"/>
          </w:tcPr>
          <w:p>
            <w:pPr>
              <w:spacing w:after="40" w:before="40" w:line="240" w:lineRule="auto"/>
              <w:jc w:val="left"/>
            </w:pPr>
            <w:r>
              <w:rPr>
                <w:rFonts w:ascii="Helvetica" w:hAnsi="Helvetica" w:cs="Helvetica" w:eastAsia="Helvetica"/>
                <w:color w:val="000000"/>
                <w:sz w:val="16"/>
              </w:rPr>
              <w:t>Titres et évaluation des terrains, réévaluation du siège, dossier de la créance sur l'hôpital, bilan de la clinique</w:t>
            </w:r>
          </w:p>
        </w:tc>
        <w:tc>
          <w:tcPr>
            <w:tcW w:type="dxa" w:w="1474"/>
            <w:shd w:val="clear" w:color="auto" w:fill="E8E8E8"/>
          </w:tcPr>
          <w:p>
            <w:pPr>
              <w:spacing w:after="40" w:before="40" w:line="240" w:lineRule="auto"/>
              <w:jc w:val="right"/>
            </w:pPr>
            <w:r>
              <w:rPr>
                <w:rFonts w:ascii="Helvetica" w:hAnsi="Helvetica" w:cs="Helvetica" w:eastAsia="Helvetica"/>
                <w:color w:val="000000"/>
                <w:sz w:val="16"/>
              </w:rPr>
              <w:t>3</w:t>
            </w:r>
          </w:p>
        </w:tc>
        <w:tc>
          <w:tcPr>
            <w:tcW w:type="dxa" w:w="907"/>
            <w:shd w:val="clear" w:color="auto" w:fill="E8E8E8"/>
          </w:tcPr>
          <w:p>
            <w:pPr>
              <w:spacing w:after="40" w:before="40" w:line="240" w:lineRule="auto"/>
              <w:jc w:val="right"/>
            </w:pPr>
            <w:r>
              <w:rPr>
                <w:rFonts w:ascii="Helvetica" w:hAnsi="Helvetica" w:cs="Helvetica" w:eastAsia="Helvetica"/>
                <w:color w:val="000000"/>
                <w:sz w:val="16"/>
              </w:rPr>
              <w:t>2</w:t>
            </w:r>
          </w:p>
        </w:tc>
        <w:tc>
          <w:tcPr>
            <w:tcW w:type="dxa" w:w="2948"/>
            <w:shd w:val="clear" w:color="auto" w:fill="E8E8E8"/>
          </w:tcPr>
          <w:p>
            <w:pPr>
              <w:spacing w:after="40" w:before="40" w:line="240" w:lineRule="auto"/>
              <w:jc w:val="left"/>
            </w:pPr>
            <w:r>
              <w:rPr>
                <w:rFonts w:ascii="Helvetica" w:hAnsi="Helvetica" w:cs="Helvetica" w:eastAsia="Helvetica"/>
                <w:color w:val="000000"/>
                <w:sz w:val="16"/>
              </w:rPr>
              <w:t>Valeur de marché des actifs (règlement d'exécution n° 004/2022, art. 20)</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54, 80, 81, 82, 105</w:t>
            </w:r>
          </w:p>
        </w:tc>
        <w:tc>
          <w:tcPr>
            <w:tcW w:type="dxa" w:w="3742"/>
          </w:tcPr>
          <w:p>
            <w:pPr>
              <w:spacing w:after="40" w:before="40" w:line="240" w:lineRule="auto"/>
              <w:jc w:val="left"/>
            </w:pPr>
            <w:r>
              <w:rPr>
                <w:rFonts w:ascii="Helvetica" w:hAnsi="Helvetica" w:cs="Helvetica" w:eastAsia="Helvetica"/>
                <w:color w:val="000000"/>
                <w:sz w:val="16"/>
              </w:rPr>
              <w:t>Décision ministérielle sur les placements, relevés du DAT et du FCP, inventaire des placements, délibérations du Conseil d'administration</w:t>
            </w:r>
          </w:p>
        </w:tc>
        <w:tc>
          <w:tcPr>
            <w:tcW w:type="dxa" w:w="1474"/>
          </w:tcPr>
          <w:p>
            <w:pPr>
              <w:spacing w:after="40" w:before="40" w:line="240" w:lineRule="auto"/>
              <w:jc w:val="right"/>
            </w:pPr>
            <w:r>
              <w:rPr>
                <w:rFonts w:ascii="Helvetica" w:hAnsi="Helvetica" w:cs="Helvetica" w:eastAsia="Helvetica"/>
                <w:color w:val="000000"/>
                <w:sz w:val="16"/>
              </w:rPr>
              <w:t>4</w:t>
            </w:r>
          </w:p>
        </w:tc>
        <w:tc>
          <w:tcPr>
            <w:tcW w:type="dxa" w:w="907"/>
          </w:tcPr>
          <w:p>
            <w:pPr>
              <w:spacing w:after="40" w:before="40" w:line="240" w:lineRule="auto"/>
              <w:jc w:val="right"/>
            </w:pPr>
            <w:r>
              <w:rPr>
                <w:rFonts w:ascii="Helvetica" w:hAnsi="Helvetica" w:cs="Helvetica" w:eastAsia="Helvetica"/>
                <w:color w:val="000000"/>
                <w:sz w:val="16"/>
              </w:rPr>
              <w:t>2</w:t>
            </w:r>
          </w:p>
        </w:tc>
        <w:tc>
          <w:tcPr>
            <w:tcW w:type="dxa" w:w="2948"/>
          </w:tcPr>
          <w:p>
            <w:pPr>
              <w:spacing w:after="40" w:before="40" w:line="240" w:lineRule="auto"/>
              <w:jc w:val="left"/>
            </w:pPr>
            <w:r>
              <w:rPr>
                <w:rFonts w:ascii="Helvetica" w:hAnsi="Helvetica" w:cs="Helvetica" w:eastAsia="Helvetica"/>
                <w:color w:val="000000"/>
                <w:sz w:val="16"/>
              </w:rPr>
              <w:t>Sécurité, rendement et autorisation des placements</w:t>
            </w:r>
          </w:p>
        </w:tc>
      </w:tr>
      <w:tr>
        <w:tc>
          <w:tcPr>
            <w:tcW w:type="dxa" w:w="1361"/>
            <w:shd w:val="clear" w:color="auto" w:fill="CCCCCC"/>
          </w:tcPr>
          <w:p>
            <w:pPr>
              <w:spacing w:after="40" w:before="40" w:line="240" w:lineRule="auto"/>
              <w:jc w:val="left"/>
            </w:pPr>
            <w:r>
              <w:rPr>
                <w:rFonts w:ascii="Helvetica" w:hAnsi="Helvetica" w:cs="Helvetica" w:eastAsia="Helvetica"/>
                <w:b/>
                <w:color w:val="000000"/>
                <w:sz w:val="16"/>
              </w:rPr>
              <w:t>76, 78, 103, 104</w:t>
            </w:r>
          </w:p>
        </w:tc>
        <w:tc>
          <w:tcPr>
            <w:tcW w:type="dxa" w:w="3742"/>
            <w:shd w:val="clear" w:color="auto" w:fill="E8E8E8"/>
          </w:tcPr>
          <w:p>
            <w:pPr>
              <w:spacing w:after="40" w:before="40" w:line="240" w:lineRule="auto"/>
              <w:jc w:val="left"/>
            </w:pPr>
            <w:r>
              <w:rPr>
                <w:rFonts w:ascii="Helvetica" w:hAnsi="Helvetica" w:cs="Helvetica" w:eastAsia="Helvetica"/>
                <w:color w:val="000000"/>
                <w:sz w:val="16"/>
              </w:rPr>
              <w:t>Fichier du personnel avec statut, note de calcul et convention appliquée</w:t>
            </w:r>
          </w:p>
        </w:tc>
        <w:tc>
          <w:tcPr>
            <w:tcW w:type="dxa" w:w="1474"/>
            <w:shd w:val="clear" w:color="auto" w:fill="E8E8E8"/>
          </w:tcPr>
          <w:p>
            <w:pPr>
              <w:spacing w:after="40" w:before="40" w:line="240" w:lineRule="auto"/>
              <w:jc w:val="left"/>
            </w:pPr>
            <w:r>
              <w:rPr>
                <w:rFonts w:ascii="Helvetica" w:hAnsi="Helvetica" w:cs="Helvetica" w:eastAsia="Helvetica"/>
                <w:color w:val="000000"/>
                <w:sz w:val="16"/>
              </w:rPr>
              <w:t>Provision du personnel</w:t>
            </w:r>
          </w:p>
        </w:tc>
        <w:tc>
          <w:tcPr>
            <w:tcW w:type="dxa" w:w="907"/>
            <w:shd w:val="clear" w:color="auto" w:fill="E8E8E8"/>
          </w:tcPr>
          <w:p>
            <w:pPr>
              <w:spacing w:after="40" w:before="40" w:line="240" w:lineRule="auto"/>
              <w:jc w:val="right"/>
            </w:pPr>
            <w:r>
              <w:rPr>
                <w:rFonts w:ascii="Helvetica" w:hAnsi="Helvetica" w:cs="Helvetica" w:eastAsia="Helvetica"/>
                <w:color w:val="000000"/>
                <w:sz w:val="16"/>
              </w:rPr>
              <w:t>3</w:t>
            </w:r>
          </w:p>
        </w:tc>
        <w:tc>
          <w:tcPr>
            <w:tcW w:type="dxa" w:w="2948"/>
            <w:shd w:val="clear" w:color="auto" w:fill="E8E8E8"/>
          </w:tcPr>
          <w:p>
            <w:pPr>
              <w:spacing w:after="40" w:before="40" w:line="240" w:lineRule="auto"/>
              <w:jc w:val="left"/>
            </w:pPr>
            <w:r>
              <w:rPr>
                <w:rFonts w:ascii="Helvetica" w:hAnsi="Helvetica" w:cs="Helvetica" w:eastAsia="Helvetica"/>
                <w:color w:val="000000"/>
                <w:sz w:val="16"/>
              </w:rPr>
              <w:t>Recalcul de la provision pour départ à la retraite</w:t>
            </w:r>
          </w:p>
        </w:tc>
      </w:tr>
    </w:tbl>
    <w:p>
      <w:pPr>
        <w:spacing w:after="200"/>
        <w:jc w:val="left"/>
      </w:pPr>
      <w:r>
        <w:rPr>
          <w:rFonts w:ascii="Helvetica" w:hAnsi="Helvetica" w:cs="Helvetica" w:eastAsia="Helvetica"/>
          <w:color w:val="000000"/>
          <w:sz w:val="16"/>
        </w:rPr>
        <w:t>Source : « FPPN_PBC_complete_pointee_20261019.xlsx » (items 1 à 109). Priorité 1 : bloque une conclusion. Priorité 2 : précise une conclusion. Priorité 3 : complément.</w:t>
      </w:r>
    </w:p>
    <w:p>
      <w:pPr/>
      <w:r>
        <w:rPr>
          <w:rFonts w:ascii="Helvetica" w:hAnsi="Helvetica" w:cs="Helvetica" w:eastAsia="Helvetica"/>
          <w:b/>
          <w:color w:val="000000"/>
        </w:rPr>
        <w:t>Les items 71, 72, 92 et 57 débloquent à la fois les engagements, les provisions et l'adossement.</w:t>
      </w:r>
      <w:r>
        <w:rPr>
          <w:rFonts w:ascii="Helvetica" w:hAnsi="Helvetica" w:cs="Helvetica" w:eastAsia="Helvetica"/>
          <w:color w:val="000000"/>
        </w:rPr>
        <w:t xml:space="preserve"> Leur transmission conditionne la version définitive du rapport.</w:t>
      </w:r>
    </w:p>
    <w:sectPr w:rsidR="00A51B48" w:rsidRPr="007A34AF" w:rsidSect="00D07C4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19503" w14:textId="77777777" w:rsidR="00A81025" w:rsidRPr="00AA366B" w:rsidRDefault="00A81025" w:rsidP="00982CCB">
      <w:r w:rsidRPr="00AA366B">
        <w:separator/>
      </w:r>
    </w:p>
  </w:endnote>
  <w:endnote w:type="continuationSeparator" w:id="0">
    <w:p w14:paraId="25C33989" w14:textId="77777777" w:rsidR="00A81025" w:rsidRPr="00AA366B" w:rsidRDefault="00A81025" w:rsidP="00982CCB">
      <w:r w:rsidRPr="00AA36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Yu Mincho">
    <w:altName w:val="游明朝"/>
    <w:panose1 w:val="00000000000000000000"/>
    <w:charset w:val="8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7CB1" w14:textId="65C06022" w:rsidR="008D0DFE" w:rsidRPr="00191CED" w:rsidRDefault="00523668" w:rsidP="00916E69">
    <w:pPr>
      <w:pStyle w:val="Footer"/>
      <w:spacing w:before="0" w:beforeAutospacing="0"/>
      <w:jc w:val="center"/>
      <w:rPr>
        <w:color w:val="auto"/>
        <w:sz w:val="20"/>
        <w:szCs w:val="20"/>
      </w:rPr>
    </w:pPr>
    <w:r w:rsidRPr="00191CED">
      <w:rPr>
        <w:caps/>
        <w:color w:val="auto"/>
        <w:sz w:val="20"/>
        <w:szCs w:val="20"/>
      </w:rPr>
      <w:fldChar w:fldCharType="begin"/>
    </w:r>
    <w:r w:rsidRPr="00191CED">
      <w:rPr>
        <w:color w:val="auto"/>
        <w:sz w:val="20"/>
        <w:szCs w:val="20"/>
      </w:rPr>
      <w:instrText>PAGE   \* MERGEFORMAT</w:instrText>
    </w:r>
    <w:r w:rsidRPr="00191CED">
      <w:rPr>
        <w:caps/>
        <w:color w:val="auto"/>
        <w:sz w:val="20"/>
        <w:szCs w:val="20"/>
      </w:rPr>
      <w:fldChar w:fldCharType="separate"/>
    </w:r>
    <w:r w:rsidRPr="00191CED">
      <w:rPr>
        <w:caps/>
        <w:color w:val="auto"/>
        <w:sz w:val="20"/>
        <w:szCs w:val="20"/>
        <w:lang w:val="fr-FR"/>
      </w:rPr>
      <w:t>2</w:t>
    </w:r>
    <w:r w:rsidRPr="00191CED">
      <w:rPr>
        <w:caps/>
        <w:color w:val="auto"/>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3DB16" w14:textId="77777777" w:rsidR="00A81025" w:rsidRPr="00AA366B" w:rsidRDefault="00A81025" w:rsidP="00982CCB">
      <w:r w:rsidRPr="00AA366B">
        <w:separator/>
      </w:r>
    </w:p>
  </w:footnote>
  <w:footnote w:type="continuationSeparator" w:id="0">
    <w:p w14:paraId="0DA603F9" w14:textId="77777777" w:rsidR="00A81025" w:rsidRPr="00AA366B" w:rsidRDefault="00A81025" w:rsidP="00982CCB">
      <w:r w:rsidRPr="00AA366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11BA"/>
    <w:multiLevelType w:val="hybridMultilevel"/>
    <w:tmpl w:val="A130392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39109F8"/>
    <w:multiLevelType w:val="hybridMultilevel"/>
    <w:tmpl w:val="544C4D6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2" w15:restartNumberingAfterBreak="0">
    <w:nsid w:val="03BB544D"/>
    <w:multiLevelType w:val="hybridMultilevel"/>
    <w:tmpl w:val="3850B88E"/>
    <w:lvl w:ilvl="0" w:tplc="1E4CCD4C">
      <w:start w:val="3"/>
      <w:numFmt w:val="decimal"/>
      <w:lvlText w:val="%1."/>
      <w:lvlJc w:val="left"/>
      <w:pPr>
        <w:ind w:left="720" w:hanging="360"/>
      </w:pPr>
      <w:rPr>
        <w:rFonts w:hint="default"/>
      </w:rPr>
    </w:lvl>
    <w:lvl w:ilvl="1" w:tplc="300C0019" w:tentative="1">
      <w:start w:val="1"/>
      <w:numFmt w:val="lowerLetter"/>
      <w:lvlText w:val="%2."/>
      <w:lvlJc w:val="left"/>
      <w:pPr>
        <w:ind w:left="1440" w:hanging="360"/>
      </w:pPr>
    </w:lvl>
    <w:lvl w:ilvl="2" w:tplc="300C001B" w:tentative="1">
      <w:start w:val="1"/>
      <w:numFmt w:val="lowerRoman"/>
      <w:lvlText w:val="%3."/>
      <w:lvlJc w:val="right"/>
      <w:pPr>
        <w:ind w:left="2160" w:hanging="180"/>
      </w:pPr>
    </w:lvl>
    <w:lvl w:ilvl="3" w:tplc="300C000F" w:tentative="1">
      <w:start w:val="1"/>
      <w:numFmt w:val="decimal"/>
      <w:lvlText w:val="%4."/>
      <w:lvlJc w:val="left"/>
      <w:pPr>
        <w:ind w:left="2880" w:hanging="360"/>
      </w:pPr>
    </w:lvl>
    <w:lvl w:ilvl="4" w:tplc="300C0019" w:tentative="1">
      <w:start w:val="1"/>
      <w:numFmt w:val="lowerLetter"/>
      <w:lvlText w:val="%5."/>
      <w:lvlJc w:val="left"/>
      <w:pPr>
        <w:ind w:left="3600" w:hanging="360"/>
      </w:pPr>
    </w:lvl>
    <w:lvl w:ilvl="5" w:tplc="300C001B" w:tentative="1">
      <w:start w:val="1"/>
      <w:numFmt w:val="lowerRoman"/>
      <w:lvlText w:val="%6."/>
      <w:lvlJc w:val="right"/>
      <w:pPr>
        <w:ind w:left="4320" w:hanging="180"/>
      </w:pPr>
    </w:lvl>
    <w:lvl w:ilvl="6" w:tplc="300C000F" w:tentative="1">
      <w:start w:val="1"/>
      <w:numFmt w:val="decimal"/>
      <w:lvlText w:val="%7."/>
      <w:lvlJc w:val="left"/>
      <w:pPr>
        <w:ind w:left="5040" w:hanging="360"/>
      </w:pPr>
    </w:lvl>
    <w:lvl w:ilvl="7" w:tplc="300C0019" w:tentative="1">
      <w:start w:val="1"/>
      <w:numFmt w:val="lowerLetter"/>
      <w:lvlText w:val="%8."/>
      <w:lvlJc w:val="left"/>
      <w:pPr>
        <w:ind w:left="5760" w:hanging="360"/>
      </w:pPr>
    </w:lvl>
    <w:lvl w:ilvl="8" w:tplc="300C001B" w:tentative="1">
      <w:start w:val="1"/>
      <w:numFmt w:val="lowerRoman"/>
      <w:lvlText w:val="%9."/>
      <w:lvlJc w:val="right"/>
      <w:pPr>
        <w:ind w:left="6480" w:hanging="180"/>
      </w:pPr>
    </w:lvl>
  </w:abstractNum>
  <w:abstractNum w:abstractNumId="3" w15:restartNumberingAfterBreak="0">
    <w:nsid w:val="03FE57CC"/>
    <w:multiLevelType w:val="hybridMultilevel"/>
    <w:tmpl w:val="CB1EF85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4101A0E"/>
    <w:multiLevelType w:val="multilevel"/>
    <w:tmpl w:val="605C3D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4D2A15"/>
    <w:multiLevelType w:val="multilevel"/>
    <w:tmpl w:val="51E8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66D0E"/>
    <w:multiLevelType w:val="hybridMultilevel"/>
    <w:tmpl w:val="1794F13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05780D87"/>
    <w:multiLevelType w:val="multilevel"/>
    <w:tmpl w:val="0B94753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9B3488"/>
    <w:multiLevelType w:val="multilevel"/>
    <w:tmpl w:val="F2EAC03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110B1"/>
    <w:multiLevelType w:val="multilevel"/>
    <w:tmpl w:val="569298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04AEA"/>
    <w:multiLevelType w:val="hybridMultilevel"/>
    <w:tmpl w:val="94B8D07C"/>
    <w:lvl w:ilvl="0" w:tplc="5336C45A">
      <w:start w:val="1"/>
      <w:numFmt w:val="bullet"/>
      <w:lvlText w:val="▪"/>
      <w:lvlJc w:val="left"/>
      <w:pPr>
        <w:ind w:left="72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7C24226"/>
    <w:multiLevelType w:val="hybridMultilevel"/>
    <w:tmpl w:val="FE3CCCC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7E35002"/>
    <w:multiLevelType w:val="multilevel"/>
    <w:tmpl w:val="A1EEB8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196953"/>
    <w:multiLevelType w:val="hybridMultilevel"/>
    <w:tmpl w:val="C086554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08445274"/>
    <w:multiLevelType w:val="hybridMultilevel"/>
    <w:tmpl w:val="C778EE5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08D34629"/>
    <w:multiLevelType w:val="hybridMultilevel"/>
    <w:tmpl w:val="BE42717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6" w15:restartNumberingAfterBreak="0">
    <w:nsid w:val="08D44C1D"/>
    <w:multiLevelType w:val="hybridMultilevel"/>
    <w:tmpl w:val="73BC4C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096B6FED"/>
    <w:multiLevelType w:val="hybridMultilevel"/>
    <w:tmpl w:val="606A444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 w15:restartNumberingAfterBreak="0">
    <w:nsid w:val="0AAA5903"/>
    <w:multiLevelType w:val="hybridMultilevel"/>
    <w:tmpl w:val="076C39CA"/>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9" w15:restartNumberingAfterBreak="0">
    <w:nsid w:val="0B5A2DE9"/>
    <w:multiLevelType w:val="hybridMultilevel"/>
    <w:tmpl w:val="1766ED3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0C472504"/>
    <w:multiLevelType w:val="hybridMultilevel"/>
    <w:tmpl w:val="836657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0D32703C"/>
    <w:multiLevelType w:val="multilevel"/>
    <w:tmpl w:val="3330191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3B4E32"/>
    <w:multiLevelType w:val="hybridMultilevel"/>
    <w:tmpl w:val="36560BD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106C3564"/>
    <w:multiLevelType w:val="multilevel"/>
    <w:tmpl w:val="E62CD3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F40814"/>
    <w:multiLevelType w:val="hybridMultilevel"/>
    <w:tmpl w:val="4DFE7F2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11324BE2"/>
    <w:multiLevelType w:val="hybridMultilevel"/>
    <w:tmpl w:val="764E0FE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26" w15:restartNumberingAfterBreak="0">
    <w:nsid w:val="126604BF"/>
    <w:multiLevelType w:val="hybridMultilevel"/>
    <w:tmpl w:val="68AE65F6"/>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12E87DCC"/>
    <w:multiLevelType w:val="hybridMultilevel"/>
    <w:tmpl w:val="81308E8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13B24307"/>
    <w:multiLevelType w:val="hybridMultilevel"/>
    <w:tmpl w:val="2960A9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141C3218"/>
    <w:multiLevelType w:val="hybridMultilevel"/>
    <w:tmpl w:val="E23800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0" w15:restartNumberingAfterBreak="0">
    <w:nsid w:val="144540FA"/>
    <w:multiLevelType w:val="hybridMultilevel"/>
    <w:tmpl w:val="D4A8E37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14D26160"/>
    <w:multiLevelType w:val="hybridMultilevel"/>
    <w:tmpl w:val="F340712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150E5D5A"/>
    <w:multiLevelType w:val="hybridMultilevel"/>
    <w:tmpl w:val="0A30100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3" w15:restartNumberingAfterBreak="0">
    <w:nsid w:val="15F46C0D"/>
    <w:multiLevelType w:val="hybridMultilevel"/>
    <w:tmpl w:val="207A73D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16184EBB"/>
    <w:multiLevelType w:val="hybridMultilevel"/>
    <w:tmpl w:val="4C803A4A"/>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162E198E"/>
    <w:multiLevelType w:val="hybridMultilevel"/>
    <w:tmpl w:val="0E6C9E4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75F4BCB"/>
    <w:multiLevelType w:val="hybridMultilevel"/>
    <w:tmpl w:val="E1200A4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17915653"/>
    <w:multiLevelType w:val="hybridMultilevel"/>
    <w:tmpl w:val="F8ECF6C2"/>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179279F3"/>
    <w:multiLevelType w:val="multilevel"/>
    <w:tmpl w:val="90266D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535277"/>
    <w:multiLevelType w:val="hybridMultilevel"/>
    <w:tmpl w:val="AAE45BA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18F46BB1"/>
    <w:multiLevelType w:val="hybridMultilevel"/>
    <w:tmpl w:val="147E634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1" w15:restartNumberingAfterBreak="0">
    <w:nsid w:val="18F647B8"/>
    <w:multiLevelType w:val="hybridMultilevel"/>
    <w:tmpl w:val="8A6E02E4"/>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42" w15:restartNumberingAfterBreak="0">
    <w:nsid w:val="1A4C1118"/>
    <w:multiLevelType w:val="hybridMultilevel"/>
    <w:tmpl w:val="04E88DB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1ACD5ECD"/>
    <w:multiLevelType w:val="multilevel"/>
    <w:tmpl w:val="958CAFA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BA52D08"/>
    <w:multiLevelType w:val="multilevel"/>
    <w:tmpl w:val="48AC5EB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785"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6342C9"/>
    <w:multiLevelType w:val="hybridMultilevel"/>
    <w:tmpl w:val="A8508974"/>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6" w15:restartNumberingAfterBreak="0">
    <w:nsid w:val="1CE64B99"/>
    <w:multiLevelType w:val="multilevel"/>
    <w:tmpl w:val="0158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67387B"/>
    <w:multiLevelType w:val="hybridMultilevel"/>
    <w:tmpl w:val="ED6AAD64"/>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48" w15:restartNumberingAfterBreak="0">
    <w:nsid w:val="1EE313FB"/>
    <w:multiLevelType w:val="hybridMultilevel"/>
    <w:tmpl w:val="79BCC44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9" w15:restartNumberingAfterBreak="0">
    <w:nsid w:val="2022698E"/>
    <w:multiLevelType w:val="hybridMultilevel"/>
    <w:tmpl w:val="92C0721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0" w15:restartNumberingAfterBreak="0">
    <w:nsid w:val="20742DA0"/>
    <w:multiLevelType w:val="multilevel"/>
    <w:tmpl w:val="7F5AFF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0E11F93"/>
    <w:multiLevelType w:val="hybridMultilevel"/>
    <w:tmpl w:val="1C52F83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52" w15:restartNumberingAfterBreak="0">
    <w:nsid w:val="211C5BF5"/>
    <w:multiLevelType w:val="hybridMultilevel"/>
    <w:tmpl w:val="2C38AD3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3" w15:restartNumberingAfterBreak="0">
    <w:nsid w:val="21451BF7"/>
    <w:multiLevelType w:val="hybridMultilevel"/>
    <w:tmpl w:val="1EE81F5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218515D9"/>
    <w:multiLevelType w:val="hybridMultilevel"/>
    <w:tmpl w:val="D612046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5" w15:restartNumberingAfterBreak="0">
    <w:nsid w:val="219A5A10"/>
    <w:multiLevelType w:val="hybridMultilevel"/>
    <w:tmpl w:val="C0423CE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6" w15:restartNumberingAfterBreak="0">
    <w:nsid w:val="22206B90"/>
    <w:multiLevelType w:val="hybridMultilevel"/>
    <w:tmpl w:val="8EE0C47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226D60CD"/>
    <w:multiLevelType w:val="hybridMultilevel"/>
    <w:tmpl w:val="D4A0BCA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8" w15:restartNumberingAfterBreak="0">
    <w:nsid w:val="22EE35C2"/>
    <w:multiLevelType w:val="hybridMultilevel"/>
    <w:tmpl w:val="097C457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9" w15:restartNumberingAfterBreak="0">
    <w:nsid w:val="2401053E"/>
    <w:multiLevelType w:val="hybridMultilevel"/>
    <w:tmpl w:val="B60EE11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0" w15:restartNumberingAfterBreak="0">
    <w:nsid w:val="24812D70"/>
    <w:multiLevelType w:val="hybridMultilevel"/>
    <w:tmpl w:val="973ECDC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24C71200"/>
    <w:multiLevelType w:val="hybridMultilevel"/>
    <w:tmpl w:val="8662FC3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2" w15:restartNumberingAfterBreak="0">
    <w:nsid w:val="257A7D86"/>
    <w:multiLevelType w:val="hybridMultilevel"/>
    <w:tmpl w:val="C3D41BB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3" w15:restartNumberingAfterBreak="0">
    <w:nsid w:val="25E61A63"/>
    <w:multiLevelType w:val="multilevel"/>
    <w:tmpl w:val="7342169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B35A40"/>
    <w:multiLevelType w:val="hybridMultilevel"/>
    <w:tmpl w:val="3ACE49EA"/>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65" w15:restartNumberingAfterBreak="0">
    <w:nsid w:val="26B47B2E"/>
    <w:multiLevelType w:val="hybridMultilevel"/>
    <w:tmpl w:val="B994073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6" w15:restartNumberingAfterBreak="0">
    <w:nsid w:val="26EA152A"/>
    <w:multiLevelType w:val="multilevel"/>
    <w:tmpl w:val="F70E62E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010B41"/>
    <w:multiLevelType w:val="hybridMultilevel"/>
    <w:tmpl w:val="DFF07FCA"/>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68" w15:restartNumberingAfterBreak="0">
    <w:nsid w:val="27A358A0"/>
    <w:multiLevelType w:val="hybridMultilevel"/>
    <w:tmpl w:val="59C4086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9" w15:restartNumberingAfterBreak="0">
    <w:nsid w:val="27DD0929"/>
    <w:multiLevelType w:val="hybridMultilevel"/>
    <w:tmpl w:val="3BA2151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0" w15:restartNumberingAfterBreak="0">
    <w:nsid w:val="282C5D87"/>
    <w:multiLevelType w:val="multilevel"/>
    <w:tmpl w:val="19EE439E"/>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785"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8382F42"/>
    <w:multiLevelType w:val="hybridMultilevel"/>
    <w:tmpl w:val="8AB85FA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2" w15:restartNumberingAfterBreak="0">
    <w:nsid w:val="28D109DE"/>
    <w:multiLevelType w:val="hybridMultilevel"/>
    <w:tmpl w:val="6DE8D9D8"/>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73" w15:restartNumberingAfterBreak="0">
    <w:nsid w:val="29E02D54"/>
    <w:multiLevelType w:val="hybridMultilevel"/>
    <w:tmpl w:val="4CE08F8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4" w15:restartNumberingAfterBreak="0">
    <w:nsid w:val="2A5B3249"/>
    <w:multiLevelType w:val="multilevel"/>
    <w:tmpl w:val="356E04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BDC4F8C"/>
    <w:multiLevelType w:val="multilevel"/>
    <w:tmpl w:val="DCE4C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131F89"/>
    <w:multiLevelType w:val="multilevel"/>
    <w:tmpl w:val="B652D8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CE92C54"/>
    <w:multiLevelType w:val="hybridMultilevel"/>
    <w:tmpl w:val="BAF007C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8" w15:restartNumberingAfterBreak="0">
    <w:nsid w:val="2DAC4ACA"/>
    <w:multiLevelType w:val="multilevel"/>
    <w:tmpl w:val="40CAEFB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B9504A"/>
    <w:multiLevelType w:val="hybridMultilevel"/>
    <w:tmpl w:val="C014748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80" w15:restartNumberingAfterBreak="0">
    <w:nsid w:val="2E313CC8"/>
    <w:multiLevelType w:val="multilevel"/>
    <w:tmpl w:val="1D4C3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EEF44E7"/>
    <w:multiLevelType w:val="hybridMultilevel"/>
    <w:tmpl w:val="D5A6EAD6"/>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82" w15:restartNumberingAfterBreak="0">
    <w:nsid w:val="30600258"/>
    <w:multiLevelType w:val="hybridMultilevel"/>
    <w:tmpl w:val="4BB6FD0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83" w15:restartNumberingAfterBreak="0">
    <w:nsid w:val="308D45F4"/>
    <w:multiLevelType w:val="hybridMultilevel"/>
    <w:tmpl w:val="EA16D184"/>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84" w15:restartNumberingAfterBreak="0">
    <w:nsid w:val="31152254"/>
    <w:multiLevelType w:val="hybridMultilevel"/>
    <w:tmpl w:val="7772ECE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5" w15:restartNumberingAfterBreak="0">
    <w:nsid w:val="32687E51"/>
    <w:multiLevelType w:val="hybridMultilevel"/>
    <w:tmpl w:val="CE3A46D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6" w15:restartNumberingAfterBreak="0">
    <w:nsid w:val="32E8331A"/>
    <w:multiLevelType w:val="multilevel"/>
    <w:tmpl w:val="D242C29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3D4115A"/>
    <w:multiLevelType w:val="hybridMultilevel"/>
    <w:tmpl w:val="C54EE06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8" w15:restartNumberingAfterBreak="0">
    <w:nsid w:val="33ED4844"/>
    <w:multiLevelType w:val="hybridMultilevel"/>
    <w:tmpl w:val="1302935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9" w15:restartNumberingAfterBreak="0">
    <w:nsid w:val="34333A1C"/>
    <w:multiLevelType w:val="hybridMultilevel"/>
    <w:tmpl w:val="061A501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0" w15:restartNumberingAfterBreak="0">
    <w:nsid w:val="34AC7343"/>
    <w:multiLevelType w:val="hybridMultilevel"/>
    <w:tmpl w:val="45227FF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91" w15:restartNumberingAfterBreak="0">
    <w:nsid w:val="361B5DB8"/>
    <w:multiLevelType w:val="hybridMultilevel"/>
    <w:tmpl w:val="3B5A526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36517BFC"/>
    <w:multiLevelType w:val="multilevel"/>
    <w:tmpl w:val="72EA1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8542E1"/>
    <w:multiLevelType w:val="hybridMultilevel"/>
    <w:tmpl w:val="DAD00D48"/>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94" w15:restartNumberingAfterBreak="0">
    <w:nsid w:val="36DF52AB"/>
    <w:multiLevelType w:val="multilevel"/>
    <w:tmpl w:val="3A8424E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380F14"/>
    <w:multiLevelType w:val="hybridMultilevel"/>
    <w:tmpl w:val="BE0A23F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6" w15:restartNumberingAfterBreak="0">
    <w:nsid w:val="373C2958"/>
    <w:multiLevelType w:val="hybridMultilevel"/>
    <w:tmpl w:val="A2EE03E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37933F51"/>
    <w:multiLevelType w:val="hybridMultilevel"/>
    <w:tmpl w:val="695A2BD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8" w15:restartNumberingAfterBreak="0">
    <w:nsid w:val="38292F51"/>
    <w:multiLevelType w:val="hybridMultilevel"/>
    <w:tmpl w:val="D66EE8D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9" w15:restartNumberingAfterBreak="0">
    <w:nsid w:val="3AEE0DEF"/>
    <w:multiLevelType w:val="hybridMultilevel"/>
    <w:tmpl w:val="73D8898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0" w15:restartNumberingAfterBreak="0">
    <w:nsid w:val="3B027896"/>
    <w:multiLevelType w:val="hybridMultilevel"/>
    <w:tmpl w:val="E978307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1" w15:restartNumberingAfterBreak="0">
    <w:nsid w:val="3B79528B"/>
    <w:multiLevelType w:val="hybridMultilevel"/>
    <w:tmpl w:val="EF46033C"/>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02" w15:restartNumberingAfterBreak="0">
    <w:nsid w:val="3C486091"/>
    <w:multiLevelType w:val="hybridMultilevel"/>
    <w:tmpl w:val="D60C29C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3F29544F"/>
    <w:multiLevelType w:val="hybridMultilevel"/>
    <w:tmpl w:val="4E20A3C6"/>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04" w15:restartNumberingAfterBreak="0">
    <w:nsid w:val="3FCD5D9F"/>
    <w:multiLevelType w:val="multilevel"/>
    <w:tmpl w:val="E91A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16E4BBC"/>
    <w:multiLevelType w:val="hybridMultilevel"/>
    <w:tmpl w:val="5B149B0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6" w15:restartNumberingAfterBreak="0">
    <w:nsid w:val="41E23773"/>
    <w:multiLevelType w:val="multilevel"/>
    <w:tmpl w:val="47E0BD4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32118F5"/>
    <w:multiLevelType w:val="hybridMultilevel"/>
    <w:tmpl w:val="31D042B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08" w15:restartNumberingAfterBreak="0">
    <w:nsid w:val="437762AD"/>
    <w:multiLevelType w:val="hybridMultilevel"/>
    <w:tmpl w:val="B7B8AB8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9" w15:restartNumberingAfterBreak="0">
    <w:nsid w:val="451B67F0"/>
    <w:multiLevelType w:val="multilevel"/>
    <w:tmpl w:val="895E71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56E5444"/>
    <w:multiLevelType w:val="hybridMultilevel"/>
    <w:tmpl w:val="F286C9F0"/>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11" w15:restartNumberingAfterBreak="0">
    <w:nsid w:val="463D5D19"/>
    <w:multiLevelType w:val="hybridMultilevel"/>
    <w:tmpl w:val="ADAC26E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2" w15:restartNumberingAfterBreak="0">
    <w:nsid w:val="49E94215"/>
    <w:multiLevelType w:val="hybridMultilevel"/>
    <w:tmpl w:val="9E92B0C8"/>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13" w15:restartNumberingAfterBreak="0">
    <w:nsid w:val="4A0D08AA"/>
    <w:multiLevelType w:val="hybridMultilevel"/>
    <w:tmpl w:val="2C6475A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4" w15:restartNumberingAfterBreak="0">
    <w:nsid w:val="4A2D69CB"/>
    <w:multiLevelType w:val="hybridMultilevel"/>
    <w:tmpl w:val="186E7714"/>
    <w:lvl w:ilvl="0" w:tplc="BFF4A1BE">
      <w:start w:val="1"/>
      <w:numFmt w:val="decimal"/>
      <w:lvlText w:val="%1."/>
      <w:lvlJc w:val="left"/>
      <w:pPr>
        <w:ind w:left="720" w:hanging="360"/>
      </w:pPr>
      <w:rPr>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4B250E68"/>
    <w:multiLevelType w:val="hybridMultilevel"/>
    <w:tmpl w:val="96C45CCE"/>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16" w15:restartNumberingAfterBreak="0">
    <w:nsid w:val="4C023CBE"/>
    <w:multiLevelType w:val="hybridMultilevel"/>
    <w:tmpl w:val="1318F3B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7" w15:restartNumberingAfterBreak="0">
    <w:nsid w:val="4C1B75A5"/>
    <w:multiLevelType w:val="hybridMultilevel"/>
    <w:tmpl w:val="3404D14A"/>
    <w:lvl w:ilvl="0" w:tplc="040C000B">
      <w:start w:val="1"/>
      <w:numFmt w:val="bullet"/>
      <w:lvlText w:val=""/>
      <w:lvlJc w:val="left"/>
      <w:pPr>
        <w:ind w:left="1069" w:hanging="360"/>
      </w:pPr>
      <w:rPr>
        <w:rFonts w:ascii="Wingdings" w:hAnsi="Wingdings"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18" w15:restartNumberingAfterBreak="0">
    <w:nsid w:val="4DA44316"/>
    <w:multiLevelType w:val="hybridMultilevel"/>
    <w:tmpl w:val="B9440C3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19" w15:restartNumberingAfterBreak="0">
    <w:nsid w:val="4DC015F5"/>
    <w:multiLevelType w:val="hybridMultilevel"/>
    <w:tmpl w:val="01824B36"/>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20" w15:restartNumberingAfterBreak="0">
    <w:nsid w:val="4E7118CE"/>
    <w:multiLevelType w:val="hybridMultilevel"/>
    <w:tmpl w:val="7B6430B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1" w15:restartNumberingAfterBreak="0">
    <w:nsid w:val="4F623447"/>
    <w:multiLevelType w:val="hybridMultilevel"/>
    <w:tmpl w:val="8BD86746"/>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22" w15:restartNumberingAfterBreak="0">
    <w:nsid w:val="504B148E"/>
    <w:multiLevelType w:val="multilevel"/>
    <w:tmpl w:val="AE08DA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09B0BC5"/>
    <w:multiLevelType w:val="multilevel"/>
    <w:tmpl w:val="50BEFB8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0C14987"/>
    <w:multiLevelType w:val="hybridMultilevel"/>
    <w:tmpl w:val="FC4C87C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5" w15:restartNumberingAfterBreak="0">
    <w:nsid w:val="50E4039E"/>
    <w:multiLevelType w:val="hybridMultilevel"/>
    <w:tmpl w:val="EFEA9364"/>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26" w15:restartNumberingAfterBreak="0">
    <w:nsid w:val="520379A7"/>
    <w:multiLevelType w:val="hybridMultilevel"/>
    <w:tmpl w:val="8C68F77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7" w15:restartNumberingAfterBreak="0">
    <w:nsid w:val="525B402B"/>
    <w:multiLevelType w:val="hybridMultilevel"/>
    <w:tmpl w:val="0A42CA9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8" w15:restartNumberingAfterBreak="0">
    <w:nsid w:val="52723620"/>
    <w:multiLevelType w:val="hybridMultilevel"/>
    <w:tmpl w:val="3CE6A5E6"/>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29" w15:restartNumberingAfterBreak="0">
    <w:nsid w:val="529E4199"/>
    <w:multiLevelType w:val="hybridMultilevel"/>
    <w:tmpl w:val="96AE0C94"/>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30" w15:restartNumberingAfterBreak="0">
    <w:nsid w:val="52E0270C"/>
    <w:multiLevelType w:val="hybridMultilevel"/>
    <w:tmpl w:val="788AA3CE"/>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1" w15:restartNumberingAfterBreak="0">
    <w:nsid w:val="53227B2E"/>
    <w:multiLevelType w:val="hybridMultilevel"/>
    <w:tmpl w:val="DAA69C8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2" w15:restartNumberingAfterBreak="0">
    <w:nsid w:val="540B6998"/>
    <w:multiLevelType w:val="hybridMultilevel"/>
    <w:tmpl w:val="81064AC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3" w15:restartNumberingAfterBreak="0">
    <w:nsid w:val="543D62C8"/>
    <w:multiLevelType w:val="hybridMultilevel"/>
    <w:tmpl w:val="9C5E3DDE"/>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34" w15:restartNumberingAfterBreak="0">
    <w:nsid w:val="5463223D"/>
    <w:multiLevelType w:val="hybridMultilevel"/>
    <w:tmpl w:val="59F8151E"/>
    <w:lvl w:ilvl="0" w:tplc="300C0001">
      <w:start w:val="1"/>
      <w:numFmt w:val="bullet"/>
      <w:lvlText w:val=""/>
      <w:lvlJc w:val="left"/>
      <w:pPr>
        <w:ind w:left="720" w:hanging="360"/>
      </w:pPr>
      <w:rPr>
        <w:rFonts w:ascii="Symbol" w:hAnsi="Symbol"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35" w15:restartNumberingAfterBreak="0">
    <w:nsid w:val="54AA3D1E"/>
    <w:multiLevelType w:val="hybridMultilevel"/>
    <w:tmpl w:val="E0328D7A"/>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36" w15:restartNumberingAfterBreak="0">
    <w:nsid w:val="55B07F7A"/>
    <w:multiLevelType w:val="hybridMultilevel"/>
    <w:tmpl w:val="91B68F2E"/>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37" w15:restartNumberingAfterBreak="0">
    <w:nsid w:val="560666AE"/>
    <w:multiLevelType w:val="hybridMultilevel"/>
    <w:tmpl w:val="E698DCA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8" w15:restartNumberingAfterBreak="0">
    <w:nsid w:val="563212DA"/>
    <w:multiLevelType w:val="multilevel"/>
    <w:tmpl w:val="AE240F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E6694D"/>
    <w:multiLevelType w:val="hybridMultilevel"/>
    <w:tmpl w:val="0B286EE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0" w15:restartNumberingAfterBreak="0">
    <w:nsid w:val="593D5087"/>
    <w:multiLevelType w:val="hybridMultilevel"/>
    <w:tmpl w:val="19A2A73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1" w15:restartNumberingAfterBreak="0">
    <w:nsid w:val="59752A43"/>
    <w:multiLevelType w:val="multilevel"/>
    <w:tmpl w:val="F98C27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EE585F"/>
    <w:multiLevelType w:val="multilevel"/>
    <w:tmpl w:val="A600B8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AB226CA"/>
    <w:multiLevelType w:val="hybridMultilevel"/>
    <w:tmpl w:val="58587D32"/>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44" w15:restartNumberingAfterBreak="0">
    <w:nsid w:val="5BAC26D7"/>
    <w:multiLevelType w:val="hybridMultilevel"/>
    <w:tmpl w:val="97E6FDB0"/>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5" w15:restartNumberingAfterBreak="0">
    <w:nsid w:val="5BD7112A"/>
    <w:multiLevelType w:val="hybridMultilevel"/>
    <w:tmpl w:val="5EAA209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6" w15:restartNumberingAfterBreak="0">
    <w:nsid w:val="5E3314A2"/>
    <w:multiLevelType w:val="hybridMultilevel"/>
    <w:tmpl w:val="8BBAFB1A"/>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47" w15:restartNumberingAfterBreak="0">
    <w:nsid w:val="5F267517"/>
    <w:multiLevelType w:val="hybridMultilevel"/>
    <w:tmpl w:val="843EDC1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8" w15:restartNumberingAfterBreak="0">
    <w:nsid w:val="5FD82BB9"/>
    <w:multiLevelType w:val="hybridMultilevel"/>
    <w:tmpl w:val="34144E5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9" w15:restartNumberingAfterBreak="0">
    <w:nsid w:val="606B2F67"/>
    <w:multiLevelType w:val="hybridMultilevel"/>
    <w:tmpl w:val="A0A4419A"/>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0" w15:restartNumberingAfterBreak="0">
    <w:nsid w:val="62314C83"/>
    <w:multiLevelType w:val="hybridMultilevel"/>
    <w:tmpl w:val="EF5C3F82"/>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1" w15:restartNumberingAfterBreak="0">
    <w:nsid w:val="623E3264"/>
    <w:multiLevelType w:val="hybridMultilevel"/>
    <w:tmpl w:val="A394D66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2" w15:restartNumberingAfterBreak="0">
    <w:nsid w:val="624C3DBD"/>
    <w:multiLevelType w:val="multilevel"/>
    <w:tmpl w:val="E21283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2FF1036"/>
    <w:multiLevelType w:val="hybridMultilevel"/>
    <w:tmpl w:val="36C47BC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4" w15:restartNumberingAfterBreak="0">
    <w:nsid w:val="63016B61"/>
    <w:multiLevelType w:val="hybridMultilevel"/>
    <w:tmpl w:val="4A1440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5" w15:restartNumberingAfterBreak="0">
    <w:nsid w:val="635D31AF"/>
    <w:multiLevelType w:val="multilevel"/>
    <w:tmpl w:val="1DFEE24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36A2246"/>
    <w:multiLevelType w:val="multilevel"/>
    <w:tmpl w:val="F512669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3E81692"/>
    <w:multiLevelType w:val="multilevel"/>
    <w:tmpl w:val="6A48ACF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4C4711C"/>
    <w:multiLevelType w:val="hybridMultilevel"/>
    <w:tmpl w:val="26283C10"/>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59" w15:restartNumberingAfterBreak="0">
    <w:nsid w:val="65D61FBC"/>
    <w:multiLevelType w:val="hybridMultilevel"/>
    <w:tmpl w:val="48A8E4A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0" w15:restartNumberingAfterBreak="0">
    <w:nsid w:val="678826CC"/>
    <w:multiLevelType w:val="hybridMultilevel"/>
    <w:tmpl w:val="3BD82C9A"/>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1" w15:restartNumberingAfterBreak="0">
    <w:nsid w:val="69303134"/>
    <w:multiLevelType w:val="hybridMultilevel"/>
    <w:tmpl w:val="979A879A"/>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2" w15:restartNumberingAfterBreak="0">
    <w:nsid w:val="69AB2324"/>
    <w:multiLevelType w:val="hybridMultilevel"/>
    <w:tmpl w:val="8EFA928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3" w15:restartNumberingAfterBreak="0">
    <w:nsid w:val="69C6120B"/>
    <w:multiLevelType w:val="multilevel"/>
    <w:tmpl w:val="9C9206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9C90DCC"/>
    <w:multiLevelType w:val="hybridMultilevel"/>
    <w:tmpl w:val="F4AC081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5" w15:restartNumberingAfterBreak="0">
    <w:nsid w:val="69D01589"/>
    <w:multiLevelType w:val="hybridMultilevel"/>
    <w:tmpl w:val="ACC48F9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66" w15:restartNumberingAfterBreak="0">
    <w:nsid w:val="6A87165A"/>
    <w:multiLevelType w:val="hybridMultilevel"/>
    <w:tmpl w:val="56685EF6"/>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67" w15:restartNumberingAfterBreak="0">
    <w:nsid w:val="6AB16296"/>
    <w:multiLevelType w:val="hybridMultilevel"/>
    <w:tmpl w:val="9C2A932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8" w15:restartNumberingAfterBreak="0">
    <w:nsid w:val="6ABD1D00"/>
    <w:multiLevelType w:val="hybridMultilevel"/>
    <w:tmpl w:val="A6045BBA"/>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69" w15:restartNumberingAfterBreak="0">
    <w:nsid w:val="6B882068"/>
    <w:multiLevelType w:val="multilevel"/>
    <w:tmpl w:val="72EA197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D477C6A"/>
    <w:multiLevelType w:val="hybridMultilevel"/>
    <w:tmpl w:val="63DED3D2"/>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71" w15:restartNumberingAfterBreak="0">
    <w:nsid w:val="6DD566A3"/>
    <w:multiLevelType w:val="hybridMultilevel"/>
    <w:tmpl w:val="B6A2E4D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2" w15:restartNumberingAfterBreak="0">
    <w:nsid w:val="6DDB30DC"/>
    <w:multiLevelType w:val="multilevel"/>
    <w:tmpl w:val="06DC9B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FA55466"/>
    <w:multiLevelType w:val="hybridMultilevel"/>
    <w:tmpl w:val="27009498"/>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4" w15:restartNumberingAfterBreak="0">
    <w:nsid w:val="70F52C10"/>
    <w:multiLevelType w:val="hybridMultilevel"/>
    <w:tmpl w:val="270E8C94"/>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75" w15:restartNumberingAfterBreak="0">
    <w:nsid w:val="70FC5326"/>
    <w:multiLevelType w:val="hybridMultilevel"/>
    <w:tmpl w:val="4EF8D6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6" w15:restartNumberingAfterBreak="0">
    <w:nsid w:val="7122753A"/>
    <w:multiLevelType w:val="hybridMultilevel"/>
    <w:tmpl w:val="15D28E96"/>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7" w15:restartNumberingAfterBreak="0">
    <w:nsid w:val="716F120F"/>
    <w:multiLevelType w:val="hybridMultilevel"/>
    <w:tmpl w:val="FD04255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8" w15:restartNumberingAfterBreak="0">
    <w:nsid w:val="722B205E"/>
    <w:multiLevelType w:val="hybridMultilevel"/>
    <w:tmpl w:val="CFD0D360"/>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9" w15:restartNumberingAfterBreak="0">
    <w:nsid w:val="73DD37FD"/>
    <w:multiLevelType w:val="multilevel"/>
    <w:tmpl w:val="8ACC29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42862FB"/>
    <w:multiLevelType w:val="hybridMultilevel"/>
    <w:tmpl w:val="FECCA01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1" w15:restartNumberingAfterBreak="0">
    <w:nsid w:val="757C6880"/>
    <w:multiLevelType w:val="hybridMultilevel"/>
    <w:tmpl w:val="8B5CD304"/>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2" w15:restartNumberingAfterBreak="0">
    <w:nsid w:val="762C4F59"/>
    <w:multiLevelType w:val="multilevel"/>
    <w:tmpl w:val="8A847B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6B55DB9"/>
    <w:multiLevelType w:val="hybridMultilevel"/>
    <w:tmpl w:val="9A5EAF22"/>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4" w15:restartNumberingAfterBreak="0">
    <w:nsid w:val="77763967"/>
    <w:multiLevelType w:val="hybridMultilevel"/>
    <w:tmpl w:val="90720B72"/>
    <w:lvl w:ilvl="0" w:tplc="040C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5" w15:restartNumberingAfterBreak="0">
    <w:nsid w:val="785944C6"/>
    <w:multiLevelType w:val="hybridMultilevel"/>
    <w:tmpl w:val="CC6021B2"/>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86" w15:restartNumberingAfterBreak="0">
    <w:nsid w:val="78715A0F"/>
    <w:multiLevelType w:val="hybridMultilevel"/>
    <w:tmpl w:val="62F005F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7" w15:restartNumberingAfterBreak="0">
    <w:nsid w:val="796D26C1"/>
    <w:multiLevelType w:val="hybridMultilevel"/>
    <w:tmpl w:val="CF3A9FF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88" w15:restartNumberingAfterBreak="0">
    <w:nsid w:val="79DA6B97"/>
    <w:multiLevelType w:val="multilevel"/>
    <w:tmpl w:val="2F180F2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A235E55"/>
    <w:multiLevelType w:val="multilevel"/>
    <w:tmpl w:val="E6DAC5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AAC6921"/>
    <w:multiLevelType w:val="hybridMultilevel"/>
    <w:tmpl w:val="EB1ACABA"/>
    <w:lvl w:ilvl="0" w:tplc="5336C45A">
      <w:start w:val="1"/>
      <w:numFmt w:val="bullet"/>
      <w:lvlText w:val="▪"/>
      <w:lvlJc w:val="left"/>
      <w:pPr>
        <w:ind w:left="501"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1" w15:restartNumberingAfterBreak="0">
    <w:nsid w:val="7AB130B7"/>
    <w:multiLevelType w:val="multilevel"/>
    <w:tmpl w:val="E334F59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AF850BA"/>
    <w:multiLevelType w:val="hybridMultilevel"/>
    <w:tmpl w:val="24C6092C"/>
    <w:lvl w:ilvl="0" w:tplc="5336C45A">
      <w:start w:val="1"/>
      <w:numFmt w:val="bullet"/>
      <w:lvlText w:val="▪"/>
      <w:lvlJc w:val="left"/>
      <w:pPr>
        <w:ind w:left="360" w:hanging="360"/>
      </w:pPr>
      <w:rPr>
        <w:rFonts w:ascii="Helvetica" w:eastAsia="Helvetica" w:hAnsi="Helvetica" w:cs="Helvetica" w:hint="default"/>
        <w:sz w:val="16"/>
        <w:szCs w:val="16"/>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3" w15:restartNumberingAfterBreak="0">
    <w:nsid w:val="7B437D13"/>
    <w:multiLevelType w:val="hybridMultilevel"/>
    <w:tmpl w:val="3D368D2E"/>
    <w:lvl w:ilvl="0" w:tplc="300C0005">
      <w:start w:val="1"/>
      <w:numFmt w:val="bullet"/>
      <w:lvlText w:val=""/>
      <w:lvlJc w:val="left"/>
      <w:pPr>
        <w:ind w:left="720" w:hanging="360"/>
      </w:pPr>
      <w:rPr>
        <w:rFonts w:ascii="Wingdings" w:hAnsi="Wingdings" w:hint="default"/>
      </w:rPr>
    </w:lvl>
    <w:lvl w:ilvl="1" w:tplc="300C0003" w:tentative="1">
      <w:start w:val="1"/>
      <w:numFmt w:val="bullet"/>
      <w:lvlText w:val="o"/>
      <w:lvlJc w:val="left"/>
      <w:pPr>
        <w:ind w:left="1440" w:hanging="360"/>
      </w:pPr>
      <w:rPr>
        <w:rFonts w:ascii="Courier New" w:hAnsi="Courier New" w:cs="Courier New" w:hint="default"/>
      </w:rPr>
    </w:lvl>
    <w:lvl w:ilvl="2" w:tplc="300C0005" w:tentative="1">
      <w:start w:val="1"/>
      <w:numFmt w:val="bullet"/>
      <w:lvlText w:val=""/>
      <w:lvlJc w:val="left"/>
      <w:pPr>
        <w:ind w:left="2160" w:hanging="360"/>
      </w:pPr>
      <w:rPr>
        <w:rFonts w:ascii="Wingdings" w:hAnsi="Wingdings" w:hint="default"/>
      </w:rPr>
    </w:lvl>
    <w:lvl w:ilvl="3" w:tplc="300C0001" w:tentative="1">
      <w:start w:val="1"/>
      <w:numFmt w:val="bullet"/>
      <w:lvlText w:val=""/>
      <w:lvlJc w:val="left"/>
      <w:pPr>
        <w:ind w:left="2880" w:hanging="360"/>
      </w:pPr>
      <w:rPr>
        <w:rFonts w:ascii="Symbol" w:hAnsi="Symbol" w:hint="default"/>
      </w:rPr>
    </w:lvl>
    <w:lvl w:ilvl="4" w:tplc="300C0003" w:tentative="1">
      <w:start w:val="1"/>
      <w:numFmt w:val="bullet"/>
      <w:lvlText w:val="o"/>
      <w:lvlJc w:val="left"/>
      <w:pPr>
        <w:ind w:left="3600" w:hanging="360"/>
      </w:pPr>
      <w:rPr>
        <w:rFonts w:ascii="Courier New" w:hAnsi="Courier New" w:cs="Courier New" w:hint="default"/>
      </w:rPr>
    </w:lvl>
    <w:lvl w:ilvl="5" w:tplc="300C0005" w:tentative="1">
      <w:start w:val="1"/>
      <w:numFmt w:val="bullet"/>
      <w:lvlText w:val=""/>
      <w:lvlJc w:val="left"/>
      <w:pPr>
        <w:ind w:left="4320" w:hanging="360"/>
      </w:pPr>
      <w:rPr>
        <w:rFonts w:ascii="Wingdings" w:hAnsi="Wingdings" w:hint="default"/>
      </w:rPr>
    </w:lvl>
    <w:lvl w:ilvl="6" w:tplc="300C0001" w:tentative="1">
      <w:start w:val="1"/>
      <w:numFmt w:val="bullet"/>
      <w:lvlText w:val=""/>
      <w:lvlJc w:val="left"/>
      <w:pPr>
        <w:ind w:left="5040" w:hanging="360"/>
      </w:pPr>
      <w:rPr>
        <w:rFonts w:ascii="Symbol" w:hAnsi="Symbol" w:hint="default"/>
      </w:rPr>
    </w:lvl>
    <w:lvl w:ilvl="7" w:tplc="300C0003" w:tentative="1">
      <w:start w:val="1"/>
      <w:numFmt w:val="bullet"/>
      <w:lvlText w:val="o"/>
      <w:lvlJc w:val="left"/>
      <w:pPr>
        <w:ind w:left="5760" w:hanging="360"/>
      </w:pPr>
      <w:rPr>
        <w:rFonts w:ascii="Courier New" w:hAnsi="Courier New" w:cs="Courier New" w:hint="default"/>
      </w:rPr>
    </w:lvl>
    <w:lvl w:ilvl="8" w:tplc="300C0005" w:tentative="1">
      <w:start w:val="1"/>
      <w:numFmt w:val="bullet"/>
      <w:lvlText w:val=""/>
      <w:lvlJc w:val="left"/>
      <w:pPr>
        <w:ind w:left="6480" w:hanging="360"/>
      </w:pPr>
      <w:rPr>
        <w:rFonts w:ascii="Wingdings" w:hAnsi="Wingdings" w:hint="default"/>
      </w:rPr>
    </w:lvl>
  </w:abstractNum>
  <w:abstractNum w:abstractNumId="194" w15:restartNumberingAfterBreak="0">
    <w:nsid w:val="7B472423"/>
    <w:multiLevelType w:val="hybridMultilevel"/>
    <w:tmpl w:val="28465A76"/>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5" w15:restartNumberingAfterBreak="0">
    <w:nsid w:val="7BAB2397"/>
    <w:multiLevelType w:val="multilevel"/>
    <w:tmpl w:val="0A141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CB32938"/>
    <w:multiLevelType w:val="multilevel"/>
    <w:tmpl w:val="27345BC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BF11CF"/>
    <w:multiLevelType w:val="hybridMultilevel"/>
    <w:tmpl w:val="B4EC530E"/>
    <w:lvl w:ilvl="0" w:tplc="300C0005">
      <w:start w:val="1"/>
      <w:numFmt w:val="bullet"/>
      <w:lvlText w:val=""/>
      <w:lvlJc w:val="left"/>
      <w:pPr>
        <w:ind w:left="360" w:hanging="360"/>
      </w:pPr>
      <w:rPr>
        <w:rFonts w:ascii="Wingdings" w:hAnsi="Wingdings" w:hint="default"/>
      </w:rPr>
    </w:lvl>
    <w:lvl w:ilvl="1" w:tplc="300C0003" w:tentative="1">
      <w:start w:val="1"/>
      <w:numFmt w:val="bullet"/>
      <w:lvlText w:val="o"/>
      <w:lvlJc w:val="left"/>
      <w:pPr>
        <w:ind w:left="1080" w:hanging="360"/>
      </w:pPr>
      <w:rPr>
        <w:rFonts w:ascii="Courier New" w:hAnsi="Courier New" w:cs="Courier New" w:hint="default"/>
      </w:rPr>
    </w:lvl>
    <w:lvl w:ilvl="2" w:tplc="300C0005" w:tentative="1">
      <w:start w:val="1"/>
      <w:numFmt w:val="bullet"/>
      <w:lvlText w:val=""/>
      <w:lvlJc w:val="left"/>
      <w:pPr>
        <w:ind w:left="1800" w:hanging="360"/>
      </w:pPr>
      <w:rPr>
        <w:rFonts w:ascii="Wingdings" w:hAnsi="Wingdings" w:hint="default"/>
      </w:rPr>
    </w:lvl>
    <w:lvl w:ilvl="3" w:tplc="300C0001" w:tentative="1">
      <w:start w:val="1"/>
      <w:numFmt w:val="bullet"/>
      <w:lvlText w:val=""/>
      <w:lvlJc w:val="left"/>
      <w:pPr>
        <w:ind w:left="2520" w:hanging="360"/>
      </w:pPr>
      <w:rPr>
        <w:rFonts w:ascii="Symbol" w:hAnsi="Symbol" w:hint="default"/>
      </w:rPr>
    </w:lvl>
    <w:lvl w:ilvl="4" w:tplc="300C0003" w:tentative="1">
      <w:start w:val="1"/>
      <w:numFmt w:val="bullet"/>
      <w:lvlText w:val="o"/>
      <w:lvlJc w:val="left"/>
      <w:pPr>
        <w:ind w:left="3240" w:hanging="360"/>
      </w:pPr>
      <w:rPr>
        <w:rFonts w:ascii="Courier New" w:hAnsi="Courier New" w:cs="Courier New" w:hint="default"/>
      </w:rPr>
    </w:lvl>
    <w:lvl w:ilvl="5" w:tplc="300C0005" w:tentative="1">
      <w:start w:val="1"/>
      <w:numFmt w:val="bullet"/>
      <w:lvlText w:val=""/>
      <w:lvlJc w:val="left"/>
      <w:pPr>
        <w:ind w:left="3960" w:hanging="360"/>
      </w:pPr>
      <w:rPr>
        <w:rFonts w:ascii="Wingdings" w:hAnsi="Wingdings" w:hint="default"/>
      </w:rPr>
    </w:lvl>
    <w:lvl w:ilvl="6" w:tplc="300C0001" w:tentative="1">
      <w:start w:val="1"/>
      <w:numFmt w:val="bullet"/>
      <w:lvlText w:val=""/>
      <w:lvlJc w:val="left"/>
      <w:pPr>
        <w:ind w:left="4680" w:hanging="360"/>
      </w:pPr>
      <w:rPr>
        <w:rFonts w:ascii="Symbol" w:hAnsi="Symbol" w:hint="default"/>
      </w:rPr>
    </w:lvl>
    <w:lvl w:ilvl="7" w:tplc="300C0003" w:tentative="1">
      <w:start w:val="1"/>
      <w:numFmt w:val="bullet"/>
      <w:lvlText w:val="o"/>
      <w:lvlJc w:val="left"/>
      <w:pPr>
        <w:ind w:left="5400" w:hanging="360"/>
      </w:pPr>
      <w:rPr>
        <w:rFonts w:ascii="Courier New" w:hAnsi="Courier New" w:cs="Courier New" w:hint="default"/>
      </w:rPr>
    </w:lvl>
    <w:lvl w:ilvl="8" w:tplc="300C0005" w:tentative="1">
      <w:start w:val="1"/>
      <w:numFmt w:val="bullet"/>
      <w:lvlText w:val=""/>
      <w:lvlJc w:val="left"/>
      <w:pPr>
        <w:ind w:left="6120" w:hanging="360"/>
      </w:pPr>
      <w:rPr>
        <w:rFonts w:ascii="Wingdings" w:hAnsi="Wingdings" w:hint="default"/>
      </w:rPr>
    </w:lvl>
  </w:abstractNum>
  <w:abstractNum w:abstractNumId="198" w15:restartNumberingAfterBreak="0">
    <w:nsid w:val="7CCC759A"/>
    <w:multiLevelType w:val="hybridMultilevel"/>
    <w:tmpl w:val="C02E1DD8"/>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9" w15:restartNumberingAfterBreak="0">
    <w:nsid w:val="7D156A63"/>
    <w:multiLevelType w:val="multilevel"/>
    <w:tmpl w:val="F0D0F6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D7E1B58"/>
    <w:multiLevelType w:val="hybridMultilevel"/>
    <w:tmpl w:val="785A9E5C"/>
    <w:lvl w:ilvl="0" w:tplc="5336C45A">
      <w:start w:val="1"/>
      <w:numFmt w:val="bullet"/>
      <w:lvlText w:val="▪"/>
      <w:lvlJc w:val="left"/>
      <w:pPr>
        <w:ind w:left="360" w:hanging="360"/>
      </w:pPr>
      <w:rPr>
        <w:rFonts w:ascii="Helvetica" w:eastAsia="Helvetica" w:hAnsi="Helvetica" w:cs="Helvetica" w:hint="default"/>
        <w:sz w:val="16"/>
        <w:szCs w:val="16"/>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01" w15:restartNumberingAfterBreak="0">
    <w:nsid w:val="7DE046A1"/>
    <w:multiLevelType w:val="hybridMultilevel"/>
    <w:tmpl w:val="AB9C147C"/>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2" w15:restartNumberingAfterBreak="0">
    <w:nsid w:val="7EB70D2B"/>
    <w:multiLevelType w:val="hybridMultilevel"/>
    <w:tmpl w:val="D3A85A6E"/>
    <w:lvl w:ilvl="0" w:tplc="5336C45A">
      <w:start w:val="1"/>
      <w:numFmt w:val="bullet"/>
      <w:lvlText w:val="▪"/>
      <w:lvlJc w:val="left"/>
      <w:pPr>
        <w:ind w:left="360" w:hanging="360"/>
      </w:pPr>
      <w:rPr>
        <w:rFonts w:ascii="Helvetica" w:eastAsia="Helvetica" w:hAnsi="Helvetica" w:cs="Helvetica"/>
        <w:sz w:val="16"/>
        <w:szCs w:val="1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01716378">
    <w:abstractNumId w:val="18"/>
  </w:num>
  <w:num w:numId="2" w16cid:durableId="827481906">
    <w:abstractNumId w:val="134"/>
  </w:num>
  <w:num w:numId="3" w16cid:durableId="1612127971">
    <w:abstractNumId w:val="74"/>
  </w:num>
  <w:num w:numId="4" w16cid:durableId="1551379516">
    <w:abstractNumId w:val="103"/>
  </w:num>
  <w:num w:numId="5" w16cid:durableId="585068767">
    <w:abstractNumId w:val="86"/>
  </w:num>
  <w:num w:numId="6" w16cid:durableId="1992101476">
    <w:abstractNumId w:val="142"/>
  </w:num>
  <w:num w:numId="7" w16cid:durableId="776564719">
    <w:abstractNumId w:val="199"/>
  </w:num>
  <w:num w:numId="8" w16cid:durableId="1824740789">
    <w:abstractNumId w:val="107"/>
  </w:num>
  <w:num w:numId="9" w16cid:durableId="1113476845">
    <w:abstractNumId w:val="25"/>
  </w:num>
  <w:num w:numId="10" w16cid:durableId="666134804">
    <w:abstractNumId w:val="197"/>
  </w:num>
  <w:num w:numId="11" w16cid:durableId="1619022094">
    <w:abstractNumId w:val="133"/>
  </w:num>
  <w:num w:numId="12" w16cid:durableId="95057559">
    <w:abstractNumId w:val="110"/>
  </w:num>
  <w:num w:numId="13" w16cid:durableId="1041632535">
    <w:abstractNumId w:val="146"/>
  </w:num>
  <w:num w:numId="14" w16cid:durableId="2080597357">
    <w:abstractNumId w:val="112"/>
  </w:num>
  <w:num w:numId="15" w16cid:durableId="1303852583">
    <w:abstractNumId w:val="81"/>
  </w:num>
  <w:num w:numId="16" w16cid:durableId="2146849235">
    <w:abstractNumId w:val="119"/>
  </w:num>
  <w:num w:numId="17" w16cid:durableId="478421837">
    <w:abstractNumId w:val="15"/>
  </w:num>
  <w:num w:numId="18" w16cid:durableId="1650597432">
    <w:abstractNumId w:val="1"/>
  </w:num>
  <w:num w:numId="19" w16cid:durableId="2023163879">
    <w:abstractNumId w:val="115"/>
  </w:num>
  <w:num w:numId="20" w16cid:durableId="530143435">
    <w:abstractNumId w:val="101"/>
  </w:num>
  <w:num w:numId="21" w16cid:durableId="550073306">
    <w:abstractNumId w:val="128"/>
  </w:num>
  <w:num w:numId="22" w16cid:durableId="1597441288">
    <w:abstractNumId w:val="82"/>
  </w:num>
  <w:num w:numId="23" w16cid:durableId="1635911370">
    <w:abstractNumId w:val="90"/>
  </w:num>
  <w:num w:numId="24" w16cid:durableId="250433106">
    <w:abstractNumId w:val="129"/>
  </w:num>
  <w:num w:numId="25" w16cid:durableId="818961810">
    <w:abstractNumId w:val="170"/>
  </w:num>
  <w:num w:numId="26" w16cid:durableId="214512143">
    <w:abstractNumId w:val="67"/>
  </w:num>
  <w:num w:numId="27" w16cid:durableId="106583589">
    <w:abstractNumId w:val="51"/>
  </w:num>
  <w:num w:numId="28" w16cid:durableId="1289239866">
    <w:abstractNumId w:val="72"/>
  </w:num>
  <w:num w:numId="29" w16cid:durableId="1747261678">
    <w:abstractNumId w:val="47"/>
  </w:num>
  <w:num w:numId="30" w16cid:durableId="1431507751">
    <w:abstractNumId w:val="158"/>
  </w:num>
  <w:num w:numId="31" w16cid:durableId="1913198515">
    <w:abstractNumId w:val="135"/>
  </w:num>
  <w:num w:numId="32" w16cid:durableId="1646355525">
    <w:abstractNumId w:val="166"/>
  </w:num>
  <w:num w:numId="33" w16cid:durableId="1923947822">
    <w:abstractNumId w:val="83"/>
  </w:num>
  <w:num w:numId="34" w16cid:durableId="2099787472">
    <w:abstractNumId w:val="193"/>
  </w:num>
  <w:num w:numId="35" w16cid:durableId="1653438609">
    <w:abstractNumId w:val="64"/>
  </w:num>
  <w:num w:numId="36" w16cid:durableId="646932178">
    <w:abstractNumId w:val="125"/>
  </w:num>
  <w:num w:numId="37" w16cid:durableId="395981861">
    <w:abstractNumId w:val="79"/>
  </w:num>
  <w:num w:numId="38" w16cid:durableId="1437402528">
    <w:abstractNumId w:val="17"/>
  </w:num>
  <w:num w:numId="39" w16cid:durableId="314771629">
    <w:abstractNumId w:val="187"/>
  </w:num>
  <w:num w:numId="40" w16cid:durableId="1493256539">
    <w:abstractNumId w:val="174"/>
  </w:num>
  <w:num w:numId="41" w16cid:durableId="608708624">
    <w:abstractNumId w:val="157"/>
  </w:num>
  <w:num w:numId="42" w16cid:durableId="1967000917">
    <w:abstractNumId w:val="106"/>
  </w:num>
  <w:num w:numId="43" w16cid:durableId="1754274267">
    <w:abstractNumId w:val="104"/>
  </w:num>
  <w:num w:numId="44" w16cid:durableId="36783895">
    <w:abstractNumId w:val="8"/>
  </w:num>
  <w:num w:numId="45" w16cid:durableId="1234774231">
    <w:abstractNumId w:val="80"/>
  </w:num>
  <w:num w:numId="46" w16cid:durableId="388069298">
    <w:abstractNumId w:val="9"/>
  </w:num>
  <w:num w:numId="47" w16cid:durableId="943919047">
    <w:abstractNumId w:val="189"/>
  </w:num>
  <w:num w:numId="48" w16cid:durableId="1024551951">
    <w:abstractNumId w:val="70"/>
  </w:num>
  <w:num w:numId="49" w16cid:durableId="900409084">
    <w:abstractNumId w:val="43"/>
  </w:num>
  <w:num w:numId="50" w16cid:durableId="838469083">
    <w:abstractNumId w:val="12"/>
  </w:num>
  <w:num w:numId="51" w16cid:durableId="1938168313">
    <w:abstractNumId w:val="21"/>
  </w:num>
  <w:num w:numId="52" w16cid:durableId="985160892">
    <w:abstractNumId w:val="195"/>
  </w:num>
  <w:num w:numId="53" w16cid:durableId="995257585">
    <w:abstractNumId w:val="123"/>
  </w:num>
  <w:num w:numId="54" w16cid:durableId="1077438368">
    <w:abstractNumId w:val="109"/>
  </w:num>
  <w:num w:numId="55" w16cid:durableId="458495134">
    <w:abstractNumId w:val="5"/>
  </w:num>
  <w:num w:numId="56" w16cid:durableId="1493716553">
    <w:abstractNumId w:val="46"/>
  </w:num>
  <w:num w:numId="57" w16cid:durableId="1999380414">
    <w:abstractNumId w:val="23"/>
  </w:num>
  <w:num w:numId="58" w16cid:durableId="1349211302">
    <w:abstractNumId w:val="92"/>
  </w:num>
  <w:num w:numId="59" w16cid:durableId="864442192">
    <w:abstractNumId w:val="169"/>
  </w:num>
  <w:num w:numId="60" w16cid:durableId="1128477805">
    <w:abstractNumId w:val="152"/>
  </w:num>
  <w:num w:numId="61" w16cid:durableId="1035277731">
    <w:abstractNumId w:val="38"/>
  </w:num>
  <w:num w:numId="62" w16cid:durableId="980115181">
    <w:abstractNumId w:val="180"/>
  </w:num>
  <w:num w:numId="63" w16cid:durableId="953444979">
    <w:abstractNumId w:val="94"/>
  </w:num>
  <w:num w:numId="64" w16cid:durableId="1756243760">
    <w:abstractNumId w:val="78"/>
  </w:num>
  <w:num w:numId="65" w16cid:durableId="1801613191">
    <w:abstractNumId w:val="168"/>
  </w:num>
  <w:num w:numId="66" w16cid:durableId="910458486">
    <w:abstractNumId w:val="179"/>
  </w:num>
  <w:num w:numId="67" w16cid:durableId="45493128">
    <w:abstractNumId w:val="50"/>
  </w:num>
  <w:num w:numId="68" w16cid:durableId="770319645">
    <w:abstractNumId w:val="172"/>
  </w:num>
  <w:num w:numId="69" w16cid:durableId="602346059">
    <w:abstractNumId w:val="66"/>
  </w:num>
  <w:num w:numId="70" w16cid:durableId="323970561">
    <w:abstractNumId w:val="7"/>
  </w:num>
  <w:num w:numId="71" w16cid:durableId="985427749">
    <w:abstractNumId w:val="75"/>
  </w:num>
  <w:num w:numId="72" w16cid:durableId="163520989">
    <w:abstractNumId w:val="76"/>
  </w:num>
  <w:num w:numId="73" w16cid:durableId="276641771">
    <w:abstractNumId w:val="191"/>
  </w:num>
  <w:num w:numId="74" w16cid:durableId="1941177979">
    <w:abstractNumId w:val="138"/>
  </w:num>
  <w:num w:numId="75" w16cid:durableId="86773398">
    <w:abstractNumId w:val="33"/>
  </w:num>
  <w:num w:numId="76" w16cid:durableId="1617788516">
    <w:abstractNumId w:val="188"/>
  </w:num>
  <w:num w:numId="77" w16cid:durableId="381641981">
    <w:abstractNumId w:val="196"/>
  </w:num>
  <w:num w:numId="78" w16cid:durableId="844439560">
    <w:abstractNumId w:val="2"/>
  </w:num>
  <w:num w:numId="79" w16cid:durableId="2063627856">
    <w:abstractNumId w:val="63"/>
  </w:num>
  <w:num w:numId="80" w16cid:durableId="1296717057">
    <w:abstractNumId w:val="122"/>
  </w:num>
  <w:num w:numId="81" w16cid:durableId="1962029844">
    <w:abstractNumId w:val="163"/>
  </w:num>
  <w:num w:numId="82" w16cid:durableId="1021203543">
    <w:abstractNumId w:val="182"/>
  </w:num>
  <w:num w:numId="83" w16cid:durableId="847409323">
    <w:abstractNumId w:val="155"/>
  </w:num>
  <w:num w:numId="84" w16cid:durableId="792744893">
    <w:abstractNumId w:val="4"/>
  </w:num>
  <w:num w:numId="85" w16cid:durableId="36980213">
    <w:abstractNumId w:val="141"/>
  </w:num>
  <w:num w:numId="86" w16cid:durableId="353119788">
    <w:abstractNumId w:val="156"/>
  </w:num>
  <w:num w:numId="87" w16cid:durableId="1379354277">
    <w:abstractNumId w:val="164"/>
  </w:num>
  <w:num w:numId="88" w16cid:durableId="1658414051">
    <w:abstractNumId w:val="117"/>
  </w:num>
  <w:num w:numId="89" w16cid:durableId="1244802833">
    <w:abstractNumId w:val="121"/>
  </w:num>
  <w:num w:numId="90" w16cid:durableId="1070079495">
    <w:abstractNumId w:val="41"/>
  </w:num>
  <w:num w:numId="91" w16cid:durableId="430974187">
    <w:abstractNumId w:val="185"/>
  </w:num>
  <w:num w:numId="92" w16cid:durableId="1247034432">
    <w:abstractNumId w:val="93"/>
  </w:num>
  <w:num w:numId="93" w16cid:durableId="361636714">
    <w:abstractNumId w:val="143"/>
  </w:num>
  <w:num w:numId="94" w16cid:durableId="634027099">
    <w:abstractNumId w:val="192"/>
  </w:num>
  <w:num w:numId="95" w16cid:durableId="515387173">
    <w:abstractNumId w:val="153"/>
  </w:num>
  <w:num w:numId="96" w16cid:durableId="1699819783">
    <w:abstractNumId w:val="14"/>
  </w:num>
  <w:num w:numId="97" w16cid:durableId="1781607050">
    <w:abstractNumId w:val="100"/>
  </w:num>
  <w:num w:numId="98" w16cid:durableId="1691685161">
    <w:abstractNumId w:val="0"/>
  </w:num>
  <w:num w:numId="99" w16cid:durableId="1887832107">
    <w:abstractNumId w:val="11"/>
  </w:num>
  <w:num w:numId="100" w16cid:durableId="966932153">
    <w:abstractNumId w:val="54"/>
  </w:num>
  <w:num w:numId="101" w16cid:durableId="1320885514">
    <w:abstractNumId w:val="102"/>
  </w:num>
  <w:num w:numId="102" w16cid:durableId="1222595115">
    <w:abstractNumId w:val="183"/>
  </w:num>
  <w:num w:numId="103" w16cid:durableId="334963084">
    <w:abstractNumId w:val="61"/>
  </w:num>
  <w:num w:numId="104" w16cid:durableId="180821661">
    <w:abstractNumId w:val="89"/>
  </w:num>
  <w:num w:numId="105" w16cid:durableId="679353025">
    <w:abstractNumId w:val="20"/>
  </w:num>
  <w:num w:numId="106" w16cid:durableId="1102457552">
    <w:abstractNumId w:val="60"/>
  </w:num>
  <w:num w:numId="107" w16cid:durableId="1345008964">
    <w:abstractNumId w:val="99"/>
  </w:num>
  <w:num w:numId="108" w16cid:durableId="1537890173">
    <w:abstractNumId w:val="28"/>
  </w:num>
  <w:num w:numId="109" w16cid:durableId="1639145887">
    <w:abstractNumId w:val="167"/>
  </w:num>
  <w:num w:numId="110" w16cid:durableId="606618675">
    <w:abstractNumId w:val="53"/>
  </w:num>
  <w:num w:numId="111" w16cid:durableId="322129821">
    <w:abstractNumId w:val="202"/>
  </w:num>
  <w:num w:numId="112" w16cid:durableId="182480114">
    <w:abstractNumId w:val="108"/>
  </w:num>
  <w:num w:numId="113" w16cid:durableId="1523515665">
    <w:abstractNumId w:val="34"/>
  </w:num>
  <w:num w:numId="114" w16cid:durableId="1947495188">
    <w:abstractNumId w:val="77"/>
  </w:num>
  <w:num w:numId="115" w16cid:durableId="133331611">
    <w:abstractNumId w:val="161"/>
  </w:num>
  <w:num w:numId="116" w16cid:durableId="872117239">
    <w:abstractNumId w:val="35"/>
  </w:num>
  <w:num w:numId="117" w16cid:durableId="839276822">
    <w:abstractNumId w:val="181"/>
  </w:num>
  <w:num w:numId="118" w16cid:durableId="1231112940">
    <w:abstractNumId w:val="186"/>
  </w:num>
  <w:num w:numId="119" w16cid:durableId="1549537815">
    <w:abstractNumId w:val="73"/>
  </w:num>
  <w:num w:numId="120" w16cid:durableId="332297194">
    <w:abstractNumId w:val="91"/>
  </w:num>
  <w:num w:numId="121" w16cid:durableId="310065567">
    <w:abstractNumId w:val="96"/>
  </w:num>
  <w:num w:numId="122" w16cid:durableId="1800956026">
    <w:abstractNumId w:val="162"/>
  </w:num>
  <w:num w:numId="123" w16cid:durableId="114566724">
    <w:abstractNumId w:val="113"/>
  </w:num>
  <w:num w:numId="124" w16cid:durableId="203395">
    <w:abstractNumId w:val="132"/>
  </w:num>
  <w:num w:numId="125" w16cid:durableId="945967836">
    <w:abstractNumId w:val="42"/>
  </w:num>
  <w:num w:numId="126" w16cid:durableId="1421371314">
    <w:abstractNumId w:val="139"/>
  </w:num>
  <w:num w:numId="127" w16cid:durableId="898787083">
    <w:abstractNumId w:val="116"/>
  </w:num>
  <w:num w:numId="128" w16cid:durableId="1822380291">
    <w:abstractNumId w:val="65"/>
  </w:num>
  <w:num w:numId="129" w16cid:durableId="372929504">
    <w:abstractNumId w:val="97"/>
  </w:num>
  <w:num w:numId="130" w16cid:durableId="912619556">
    <w:abstractNumId w:val="140"/>
  </w:num>
  <w:num w:numId="131" w16cid:durableId="1764839781">
    <w:abstractNumId w:val="137"/>
  </w:num>
  <w:num w:numId="132" w16cid:durableId="1106384942">
    <w:abstractNumId w:val="120"/>
  </w:num>
  <w:num w:numId="133" w16cid:durableId="1478718310">
    <w:abstractNumId w:val="145"/>
  </w:num>
  <w:num w:numId="134" w16cid:durableId="829097707">
    <w:abstractNumId w:val="19"/>
  </w:num>
  <w:num w:numId="135" w16cid:durableId="973028265">
    <w:abstractNumId w:val="24"/>
  </w:num>
  <w:num w:numId="136" w16cid:durableId="958147896">
    <w:abstractNumId w:val="160"/>
  </w:num>
  <w:num w:numId="137" w16cid:durableId="519396639">
    <w:abstractNumId w:val="105"/>
  </w:num>
  <w:num w:numId="138" w16cid:durableId="1212770875">
    <w:abstractNumId w:val="39"/>
  </w:num>
  <w:num w:numId="139" w16cid:durableId="815680939">
    <w:abstractNumId w:val="165"/>
  </w:num>
  <w:num w:numId="140" w16cid:durableId="286160667">
    <w:abstractNumId w:val="62"/>
  </w:num>
  <w:num w:numId="141" w16cid:durableId="1917591777">
    <w:abstractNumId w:val="6"/>
  </w:num>
  <w:num w:numId="142" w16cid:durableId="617684691">
    <w:abstractNumId w:val="118"/>
  </w:num>
  <w:num w:numId="143" w16cid:durableId="2052878574">
    <w:abstractNumId w:val="84"/>
  </w:num>
  <w:num w:numId="144" w16cid:durableId="254747186">
    <w:abstractNumId w:val="58"/>
  </w:num>
  <w:num w:numId="145" w16cid:durableId="1321958632">
    <w:abstractNumId w:val="57"/>
  </w:num>
  <w:num w:numId="146" w16cid:durableId="745999883">
    <w:abstractNumId w:val="147"/>
  </w:num>
  <w:num w:numId="147" w16cid:durableId="283384840">
    <w:abstractNumId w:val="49"/>
  </w:num>
  <w:num w:numId="148" w16cid:durableId="694186579">
    <w:abstractNumId w:val="69"/>
  </w:num>
  <w:num w:numId="149" w16cid:durableId="1660229331">
    <w:abstractNumId w:val="124"/>
  </w:num>
  <w:num w:numId="150" w16cid:durableId="987783928">
    <w:abstractNumId w:val="31"/>
  </w:num>
  <w:num w:numId="151" w16cid:durableId="1628462567">
    <w:abstractNumId w:val="55"/>
  </w:num>
  <w:num w:numId="152" w16cid:durableId="287442098">
    <w:abstractNumId w:val="127"/>
  </w:num>
  <w:num w:numId="153" w16cid:durableId="1629627760">
    <w:abstractNumId w:val="194"/>
  </w:num>
  <w:num w:numId="154" w16cid:durableId="610861118">
    <w:abstractNumId w:val="13"/>
  </w:num>
  <w:num w:numId="155" w16cid:durableId="2109036802">
    <w:abstractNumId w:val="200"/>
  </w:num>
  <w:num w:numId="156" w16cid:durableId="1962029598">
    <w:abstractNumId w:val="173"/>
  </w:num>
  <w:num w:numId="157" w16cid:durableId="1477918092">
    <w:abstractNumId w:val="126"/>
  </w:num>
  <w:num w:numId="158" w16cid:durableId="851801743">
    <w:abstractNumId w:val="48"/>
  </w:num>
  <w:num w:numId="159" w16cid:durableId="239871692">
    <w:abstractNumId w:val="71"/>
  </w:num>
  <w:num w:numId="160" w16cid:durableId="107939430">
    <w:abstractNumId w:val="59"/>
  </w:num>
  <w:num w:numId="161" w16cid:durableId="873689832">
    <w:abstractNumId w:val="22"/>
  </w:num>
  <w:num w:numId="162" w16cid:durableId="1733040463">
    <w:abstractNumId w:val="88"/>
  </w:num>
  <w:num w:numId="163" w16cid:durableId="1239630802">
    <w:abstractNumId w:val="45"/>
  </w:num>
  <w:num w:numId="164" w16cid:durableId="1018896760">
    <w:abstractNumId w:val="95"/>
  </w:num>
  <w:num w:numId="165" w16cid:durableId="1560818593">
    <w:abstractNumId w:val="159"/>
  </w:num>
  <w:num w:numId="166" w16cid:durableId="1433623807">
    <w:abstractNumId w:val="148"/>
  </w:num>
  <w:num w:numId="167" w16cid:durableId="1193688124">
    <w:abstractNumId w:val="27"/>
  </w:num>
  <w:num w:numId="168" w16cid:durableId="664011454">
    <w:abstractNumId w:val="177"/>
  </w:num>
  <w:num w:numId="169" w16cid:durableId="208032496">
    <w:abstractNumId w:val="29"/>
  </w:num>
  <w:num w:numId="170" w16cid:durableId="1925916702">
    <w:abstractNumId w:val="131"/>
  </w:num>
  <w:num w:numId="171" w16cid:durableId="1235582333">
    <w:abstractNumId w:val="178"/>
  </w:num>
  <w:num w:numId="172" w16cid:durableId="2104103118">
    <w:abstractNumId w:val="171"/>
  </w:num>
  <w:num w:numId="173" w16cid:durableId="1157841687">
    <w:abstractNumId w:val="32"/>
  </w:num>
  <w:num w:numId="174" w16cid:durableId="579145020">
    <w:abstractNumId w:val="150"/>
  </w:num>
  <w:num w:numId="175" w16cid:durableId="1041398373">
    <w:abstractNumId w:val="111"/>
  </w:num>
  <w:num w:numId="176" w16cid:durableId="586160122">
    <w:abstractNumId w:val="190"/>
  </w:num>
  <w:num w:numId="177" w16cid:durableId="2001545435">
    <w:abstractNumId w:val="26"/>
  </w:num>
  <w:num w:numId="178" w16cid:durableId="1048916621">
    <w:abstractNumId w:val="37"/>
  </w:num>
  <w:num w:numId="179" w16cid:durableId="1451317759">
    <w:abstractNumId w:val="130"/>
  </w:num>
  <w:num w:numId="180" w16cid:durableId="202057466">
    <w:abstractNumId w:val="201"/>
  </w:num>
  <w:num w:numId="181" w16cid:durableId="2090148276">
    <w:abstractNumId w:val="68"/>
  </w:num>
  <w:num w:numId="182" w16cid:durableId="1517115634">
    <w:abstractNumId w:val="198"/>
  </w:num>
  <w:num w:numId="183" w16cid:durableId="1641114755">
    <w:abstractNumId w:val="56"/>
  </w:num>
  <w:num w:numId="184" w16cid:durableId="1972779921">
    <w:abstractNumId w:val="149"/>
  </w:num>
  <w:num w:numId="185" w16cid:durableId="1085422540">
    <w:abstractNumId w:val="87"/>
  </w:num>
  <w:num w:numId="186" w16cid:durableId="1905606282">
    <w:abstractNumId w:val="176"/>
  </w:num>
  <w:num w:numId="187" w16cid:durableId="1559894572">
    <w:abstractNumId w:val="85"/>
  </w:num>
  <w:num w:numId="188" w16cid:durableId="1948195694">
    <w:abstractNumId w:val="30"/>
  </w:num>
  <w:num w:numId="189" w16cid:durableId="1275207582">
    <w:abstractNumId w:val="36"/>
  </w:num>
  <w:num w:numId="190" w16cid:durableId="1863280630">
    <w:abstractNumId w:val="40"/>
  </w:num>
  <w:num w:numId="191" w16cid:durableId="1709524511">
    <w:abstractNumId w:val="136"/>
  </w:num>
  <w:num w:numId="192" w16cid:durableId="230359887">
    <w:abstractNumId w:val="52"/>
  </w:num>
  <w:num w:numId="193" w16cid:durableId="404038383">
    <w:abstractNumId w:val="144"/>
  </w:num>
  <w:num w:numId="194" w16cid:durableId="291442601">
    <w:abstractNumId w:val="10"/>
  </w:num>
  <w:num w:numId="195" w16cid:durableId="1061907058">
    <w:abstractNumId w:val="151"/>
  </w:num>
  <w:num w:numId="196" w16cid:durableId="1508255961">
    <w:abstractNumId w:val="184"/>
  </w:num>
  <w:num w:numId="197" w16cid:durableId="2117481354">
    <w:abstractNumId w:val="175"/>
  </w:num>
  <w:num w:numId="198" w16cid:durableId="1070276509">
    <w:abstractNumId w:val="3"/>
  </w:num>
  <w:num w:numId="199" w16cid:durableId="1443455814">
    <w:abstractNumId w:val="98"/>
  </w:num>
  <w:num w:numId="200" w16cid:durableId="1653172253">
    <w:abstractNumId w:val="114"/>
  </w:num>
  <w:num w:numId="201" w16cid:durableId="1207068015">
    <w:abstractNumId w:val="44"/>
  </w:num>
  <w:num w:numId="202" w16cid:durableId="1480031379">
    <w:abstractNumId w:val="154"/>
  </w:num>
  <w:num w:numId="203" w16cid:durableId="1511794269">
    <w:abstractNumId w:val="16"/>
  </w:num>
  <w:numIdMacAtCleanup w:val="1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C4B"/>
    <w:rsid w:val="00000635"/>
    <w:rsid w:val="00000648"/>
    <w:rsid w:val="0000089C"/>
    <w:rsid w:val="00000A6C"/>
    <w:rsid w:val="00000D56"/>
    <w:rsid w:val="00002F00"/>
    <w:rsid w:val="000036EA"/>
    <w:rsid w:val="00003828"/>
    <w:rsid w:val="00003927"/>
    <w:rsid w:val="00004EE5"/>
    <w:rsid w:val="000054F7"/>
    <w:rsid w:val="00005CD4"/>
    <w:rsid w:val="00005DC1"/>
    <w:rsid w:val="0000612E"/>
    <w:rsid w:val="00006CA4"/>
    <w:rsid w:val="00006D6C"/>
    <w:rsid w:val="0000761B"/>
    <w:rsid w:val="000105ED"/>
    <w:rsid w:val="00010C47"/>
    <w:rsid w:val="00010DF7"/>
    <w:rsid w:val="00011C33"/>
    <w:rsid w:val="00011CC5"/>
    <w:rsid w:val="00011F7D"/>
    <w:rsid w:val="00012CA6"/>
    <w:rsid w:val="00012DFA"/>
    <w:rsid w:val="00012EC8"/>
    <w:rsid w:val="00013318"/>
    <w:rsid w:val="0001332A"/>
    <w:rsid w:val="00013695"/>
    <w:rsid w:val="00013AB0"/>
    <w:rsid w:val="0001432D"/>
    <w:rsid w:val="00014BD4"/>
    <w:rsid w:val="00014D05"/>
    <w:rsid w:val="00014D3E"/>
    <w:rsid w:val="000157BF"/>
    <w:rsid w:val="00016650"/>
    <w:rsid w:val="00016728"/>
    <w:rsid w:val="00016F37"/>
    <w:rsid w:val="0001706D"/>
    <w:rsid w:val="000173B8"/>
    <w:rsid w:val="0001794F"/>
    <w:rsid w:val="000179DD"/>
    <w:rsid w:val="000210EB"/>
    <w:rsid w:val="00021C6F"/>
    <w:rsid w:val="00022015"/>
    <w:rsid w:val="00022133"/>
    <w:rsid w:val="000224BE"/>
    <w:rsid w:val="000230E8"/>
    <w:rsid w:val="000234D5"/>
    <w:rsid w:val="0002430A"/>
    <w:rsid w:val="00024578"/>
    <w:rsid w:val="00024597"/>
    <w:rsid w:val="00024D27"/>
    <w:rsid w:val="0002585C"/>
    <w:rsid w:val="00025B5D"/>
    <w:rsid w:val="000260C6"/>
    <w:rsid w:val="00026F55"/>
    <w:rsid w:val="00027967"/>
    <w:rsid w:val="0002799A"/>
    <w:rsid w:val="000305FB"/>
    <w:rsid w:val="000307AD"/>
    <w:rsid w:val="000307BF"/>
    <w:rsid w:val="00030B9A"/>
    <w:rsid w:val="00030F9D"/>
    <w:rsid w:val="000313D0"/>
    <w:rsid w:val="000316A6"/>
    <w:rsid w:val="0003233A"/>
    <w:rsid w:val="00032E36"/>
    <w:rsid w:val="00033004"/>
    <w:rsid w:val="000331AB"/>
    <w:rsid w:val="000341FE"/>
    <w:rsid w:val="000343E9"/>
    <w:rsid w:val="0003487D"/>
    <w:rsid w:val="00034A59"/>
    <w:rsid w:val="00034C3D"/>
    <w:rsid w:val="00035312"/>
    <w:rsid w:val="0003537D"/>
    <w:rsid w:val="00035E65"/>
    <w:rsid w:val="00036741"/>
    <w:rsid w:val="000367DA"/>
    <w:rsid w:val="000370B7"/>
    <w:rsid w:val="00037761"/>
    <w:rsid w:val="00037C0C"/>
    <w:rsid w:val="00037F45"/>
    <w:rsid w:val="00037F4E"/>
    <w:rsid w:val="000405D4"/>
    <w:rsid w:val="00041232"/>
    <w:rsid w:val="00041626"/>
    <w:rsid w:val="000416B3"/>
    <w:rsid w:val="00041AD9"/>
    <w:rsid w:val="00042B3C"/>
    <w:rsid w:val="0004306E"/>
    <w:rsid w:val="000438D5"/>
    <w:rsid w:val="00043C77"/>
    <w:rsid w:val="00044002"/>
    <w:rsid w:val="0004544B"/>
    <w:rsid w:val="000454D7"/>
    <w:rsid w:val="00045801"/>
    <w:rsid w:val="000467E8"/>
    <w:rsid w:val="000468DF"/>
    <w:rsid w:val="00047330"/>
    <w:rsid w:val="00047D3D"/>
    <w:rsid w:val="000512CE"/>
    <w:rsid w:val="00051672"/>
    <w:rsid w:val="00052B1C"/>
    <w:rsid w:val="00053AF2"/>
    <w:rsid w:val="00054DE8"/>
    <w:rsid w:val="000568D8"/>
    <w:rsid w:val="000569CD"/>
    <w:rsid w:val="0005758C"/>
    <w:rsid w:val="00057EBA"/>
    <w:rsid w:val="000600EA"/>
    <w:rsid w:val="00060AE1"/>
    <w:rsid w:val="00060BC7"/>
    <w:rsid w:val="00061B23"/>
    <w:rsid w:val="00061BFF"/>
    <w:rsid w:val="00061FB1"/>
    <w:rsid w:val="00062279"/>
    <w:rsid w:val="00063279"/>
    <w:rsid w:val="00063C25"/>
    <w:rsid w:val="00063D8C"/>
    <w:rsid w:val="00065428"/>
    <w:rsid w:val="000660DE"/>
    <w:rsid w:val="00066EF4"/>
    <w:rsid w:val="0006721B"/>
    <w:rsid w:val="00067301"/>
    <w:rsid w:val="000676C9"/>
    <w:rsid w:val="00067A5F"/>
    <w:rsid w:val="00067B44"/>
    <w:rsid w:val="00067BF0"/>
    <w:rsid w:val="0007072F"/>
    <w:rsid w:val="00070E75"/>
    <w:rsid w:val="00070F89"/>
    <w:rsid w:val="00071988"/>
    <w:rsid w:val="00071C42"/>
    <w:rsid w:val="00071D89"/>
    <w:rsid w:val="00071D92"/>
    <w:rsid w:val="0007248E"/>
    <w:rsid w:val="00072500"/>
    <w:rsid w:val="000726FE"/>
    <w:rsid w:val="0007381E"/>
    <w:rsid w:val="00074076"/>
    <w:rsid w:val="000749DB"/>
    <w:rsid w:val="00075099"/>
    <w:rsid w:val="000750E3"/>
    <w:rsid w:val="0007517D"/>
    <w:rsid w:val="000757C5"/>
    <w:rsid w:val="00075E96"/>
    <w:rsid w:val="000762A4"/>
    <w:rsid w:val="0007661C"/>
    <w:rsid w:val="00076682"/>
    <w:rsid w:val="00076864"/>
    <w:rsid w:val="00077780"/>
    <w:rsid w:val="00077ED3"/>
    <w:rsid w:val="000801A9"/>
    <w:rsid w:val="00080394"/>
    <w:rsid w:val="00080778"/>
    <w:rsid w:val="00080925"/>
    <w:rsid w:val="0008096C"/>
    <w:rsid w:val="00081595"/>
    <w:rsid w:val="000821F3"/>
    <w:rsid w:val="0008221D"/>
    <w:rsid w:val="0008333A"/>
    <w:rsid w:val="00083416"/>
    <w:rsid w:val="00083F47"/>
    <w:rsid w:val="0008466F"/>
    <w:rsid w:val="000847CC"/>
    <w:rsid w:val="00084883"/>
    <w:rsid w:val="00085358"/>
    <w:rsid w:val="000859C2"/>
    <w:rsid w:val="00085DC9"/>
    <w:rsid w:val="000861F8"/>
    <w:rsid w:val="00086DBE"/>
    <w:rsid w:val="00086F25"/>
    <w:rsid w:val="000877A2"/>
    <w:rsid w:val="00087939"/>
    <w:rsid w:val="000879C2"/>
    <w:rsid w:val="000929E1"/>
    <w:rsid w:val="00092F04"/>
    <w:rsid w:val="0009359F"/>
    <w:rsid w:val="000936EF"/>
    <w:rsid w:val="0009378A"/>
    <w:rsid w:val="00093AE2"/>
    <w:rsid w:val="00093F58"/>
    <w:rsid w:val="000946FF"/>
    <w:rsid w:val="00095037"/>
    <w:rsid w:val="00095AC0"/>
    <w:rsid w:val="00095C13"/>
    <w:rsid w:val="0009614E"/>
    <w:rsid w:val="000969EE"/>
    <w:rsid w:val="00096A62"/>
    <w:rsid w:val="0009772B"/>
    <w:rsid w:val="000A0149"/>
    <w:rsid w:val="000A0969"/>
    <w:rsid w:val="000A0E6C"/>
    <w:rsid w:val="000A0F9C"/>
    <w:rsid w:val="000A1099"/>
    <w:rsid w:val="000A121A"/>
    <w:rsid w:val="000A20C6"/>
    <w:rsid w:val="000A29B2"/>
    <w:rsid w:val="000A2EE3"/>
    <w:rsid w:val="000A462D"/>
    <w:rsid w:val="000A4D33"/>
    <w:rsid w:val="000A54B2"/>
    <w:rsid w:val="000A621D"/>
    <w:rsid w:val="000A6508"/>
    <w:rsid w:val="000A6685"/>
    <w:rsid w:val="000A686E"/>
    <w:rsid w:val="000A697A"/>
    <w:rsid w:val="000A6E2D"/>
    <w:rsid w:val="000A708B"/>
    <w:rsid w:val="000A7588"/>
    <w:rsid w:val="000A767A"/>
    <w:rsid w:val="000A769D"/>
    <w:rsid w:val="000B02F4"/>
    <w:rsid w:val="000B0C57"/>
    <w:rsid w:val="000B2894"/>
    <w:rsid w:val="000B2B77"/>
    <w:rsid w:val="000B32ED"/>
    <w:rsid w:val="000B3AEF"/>
    <w:rsid w:val="000B3ED7"/>
    <w:rsid w:val="000B4187"/>
    <w:rsid w:val="000B505B"/>
    <w:rsid w:val="000B5232"/>
    <w:rsid w:val="000B58CC"/>
    <w:rsid w:val="000B60C6"/>
    <w:rsid w:val="000B6A9D"/>
    <w:rsid w:val="000B770F"/>
    <w:rsid w:val="000C1140"/>
    <w:rsid w:val="000C119E"/>
    <w:rsid w:val="000C13F3"/>
    <w:rsid w:val="000C1A43"/>
    <w:rsid w:val="000C1D19"/>
    <w:rsid w:val="000C2C26"/>
    <w:rsid w:val="000C31FB"/>
    <w:rsid w:val="000C435B"/>
    <w:rsid w:val="000C5072"/>
    <w:rsid w:val="000C5588"/>
    <w:rsid w:val="000C56C9"/>
    <w:rsid w:val="000C585F"/>
    <w:rsid w:val="000C67FB"/>
    <w:rsid w:val="000C6879"/>
    <w:rsid w:val="000C6D87"/>
    <w:rsid w:val="000C6EB3"/>
    <w:rsid w:val="000C7287"/>
    <w:rsid w:val="000C739F"/>
    <w:rsid w:val="000C7F03"/>
    <w:rsid w:val="000D0023"/>
    <w:rsid w:val="000D0848"/>
    <w:rsid w:val="000D0DB9"/>
    <w:rsid w:val="000D1071"/>
    <w:rsid w:val="000D10A2"/>
    <w:rsid w:val="000D139E"/>
    <w:rsid w:val="000D1518"/>
    <w:rsid w:val="000D2192"/>
    <w:rsid w:val="000D247F"/>
    <w:rsid w:val="000D34E9"/>
    <w:rsid w:val="000D4416"/>
    <w:rsid w:val="000D468F"/>
    <w:rsid w:val="000D4690"/>
    <w:rsid w:val="000D51FB"/>
    <w:rsid w:val="000D5232"/>
    <w:rsid w:val="000D5280"/>
    <w:rsid w:val="000D56DB"/>
    <w:rsid w:val="000D6184"/>
    <w:rsid w:val="000D68DF"/>
    <w:rsid w:val="000D7A86"/>
    <w:rsid w:val="000D7B97"/>
    <w:rsid w:val="000E0075"/>
    <w:rsid w:val="000E0CC2"/>
    <w:rsid w:val="000E0FAF"/>
    <w:rsid w:val="000E1266"/>
    <w:rsid w:val="000E176D"/>
    <w:rsid w:val="000E205E"/>
    <w:rsid w:val="000E2490"/>
    <w:rsid w:val="000E2660"/>
    <w:rsid w:val="000E2F11"/>
    <w:rsid w:val="000E3616"/>
    <w:rsid w:val="000E3EC2"/>
    <w:rsid w:val="000E438F"/>
    <w:rsid w:val="000E4EC6"/>
    <w:rsid w:val="000E5648"/>
    <w:rsid w:val="000E56A3"/>
    <w:rsid w:val="000E5BE1"/>
    <w:rsid w:val="000E6F3F"/>
    <w:rsid w:val="000E751A"/>
    <w:rsid w:val="000E7BE8"/>
    <w:rsid w:val="000F209E"/>
    <w:rsid w:val="000F212F"/>
    <w:rsid w:val="000F22D7"/>
    <w:rsid w:val="000F279A"/>
    <w:rsid w:val="000F2A6C"/>
    <w:rsid w:val="000F2D32"/>
    <w:rsid w:val="000F30E7"/>
    <w:rsid w:val="000F384C"/>
    <w:rsid w:val="000F4FE6"/>
    <w:rsid w:val="000F558C"/>
    <w:rsid w:val="000F5AE5"/>
    <w:rsid w:val="000F5AED"/>
    <w:rsid w:val="000F5FE2"/>
    <w:rsid w:val="000F6371"/>
    <w:rsid w:val="000F684A"/>
    <w:rsid w:val="000F7312"/>
    <w:rsid w:val="000F798A"/>
    <w:rsid w:val="000F7F4A"/>
    <w:rsid w:val="00100125"/>
    <w:rsid w:val="00100443"/>
    <w:rsid w:val="001008EB"/>
    <w:rsid w:val="0010107F"/>
    <w:rsid w:val="001018F5"/>
    <w:rsid w:val="00101AB3"/>
    <w:rsid w:val="00102B0B"/>
    <w:rsid w:val="00102B58"/>
    <w:rsid w:val="00102D55"/>
    <w:rsid w:val="00102F9D"/>
    <w:rsid w:val="00103151"/>
    <w:rsid w:val="00103C13"/>
    <w:rsid w:val="0010424C"/>
    <w:rsid w:val="00104515"/>
    <w:rsid w:val="00104ADB"/>
    <w:rsid w:val="0010591F"/>
    <w:rsid w:val="00105D1B"/>
    <w:rsid w:val="00105D61"/>
    <w:rsid w:val="00105E91"/>
    <w:rsid w:val="001062B3"/>
    <w:rsid w:val="00106FC7"/>
    <w:rsid w:val="001072C1"/>
    <w:rsid w:val="001077D5"/>
    <w:rsid w:val="00110119"/>
    <w:rsid w:val="00110736"/>
    <w:rsid w:val="00110D2B"/>
    <w:rsid w:val="00111AB6"/>
    <w:rsid w:val="00112ACA"/>
    <w:rsid w:val="00112B50"/>
    <w:rsid w:val="00113835"/>
    <w:rsid w:val="0011421D"/>
    <w:rsid w:val="00114C48"/>
    <w:rsid w:val="00115044"/>
    <w:rsid w:val="00115AA4"/>
    <w:rsid w:val="00115C59"/>
    <w:rsid w:val="00115CD0"/>
    <w:rsid w:val="00116429"/>
    <w:rsid w:val="00116669"/>
    <w:rsid w:val="00116AA2"/>
    <w:rsid w:val="00116AE6"/>
    <w:rsid w:val="00117C7C"/>
    <w:rsid w:val="00120224"/>
    <w:rsid w:val="0012029A"/>
    <w:rsid w:val="001203EC"/>
    <w:rsid w:val="001205D1"/>
    <w:rsid w:val="001209B9"/>
    <w:rsid w:val="00120AA7"/>
    <w:rsid w:val="00120B85"/>
    <w:rsid w:val="00121A4A"/>
    <w:rsid w:val="00121EC6"/>
    <w:rsid w:val="00122BB2"/>
    <w:rsid w:val="00123677"/>
    <w:rsid w:val="00124135"/>
    <w:rsid w:val="0012486D"/>
    <w:rsid w:val="00124B50"/>
    <w:rsid w:val="00124F67"/>
    <w:rsid w:val="001254F3"/>
    <w:rsid w:val="0012590C"/>
    <w:rsid w:val="001262F2"/>
    <w:rsid w:val="001275AB"/>
    <w:rsid w:val="00127A6E"/>
    <w:rsid w:val="00127BDF"/>
    <w:rsid w:val="001305B6"/>
    <w:rsid w:val="00130D19"/>
    <w:rsid w:val="0013101C"/>
    <w:rsid w:val="00131C1A"/>
    <w:rsid w:val="00133EF9"/>
    <w:rsid w:val="00134125"/>
    <w:rsid w:val="00135880"/>
    <w:rsid w:val="00135D32"/>
    <w:rsid w:val="00135E00"/>
    <w:rsid w:val="001360AE"/>
    <w:rsid w:val="0013684A"/>
    <w:rsid w:val="0013737F"/>
    <w:rsid w:val="00140565"/>
    <w:rsid w:val="001406FF"/>
    <w:rsid w:val="00141320"/>
    <w:rsid w:val="00141863"/>
    <w:rsid w:val="00141B4F"/>
    <w:rsid w:val="0014270F"/>
    <w:rsid w:val="00142B2C"/>
    <w:rsid w:val="0014310C"/>
    <w:rsid w:val="00143DE6"/>
    <w:rsid w:val="0014408F"/>
    <w:rsid w:val="001447C4"/>
    <w:rsid w:val="001451ED"/>
    <w:rsid w:val="00145944"/>
    <w:rsid w:val="00145C3D"/>
    <w:rsid w:val="00145F40"/>
    <w:rsid w:val="001470F2"/>
    <w:rsid w:val="00147589"/>
    <w:rsid w:val="00147AFD"/>
    <w:rsid w:val="00147E97"/>
    <w:rsid w:val="00150274"/>
    <w:rsid w:val="00150EFB"/>
    <w:rsid w:val="0015105B"/>
    <w:rsid w:val="00151342"/>
    <w:rsid w:val="0015215D"/>
    <w:rsid w:val="001526F5"/>
    <w:rsid w:val="00152CD8"/>
    <w:rsid w:val="001553A6"/>
    <w:rsid w:val="001557CB"/>
    <w:rsid w:val="00155F0A"/>
    <w:rsid w:val="001615F1"/>
    <w:rsid w:val="00161988"/>
    <w:rsid w:val="00161AF1"/>
    <w:rsid w:val="001621ED"/>
    <w:rsid w:val="00162BF3"/>
    <w:rsid w:val="00162F96"/>
    <w:rsid w:val="00163A22"/>
    <w:rsid w:val="00163B77"/>
    <w:rsid w:val="001641A9"/>
    <w:rsid w:val="001646EF"/>
    <w:rsid w:val="00164CD6"/>
    <w:rsid w:val="00165F05"/>
    <w:rsid w:val="00166238"/>
    <w:rsid w:val="00166BD3"/>
    <w:rsid w:val="0016752E"/>
    <w:rsid w:val="00167BCA"/>
    <w:rsid w:val="00167CB0"/>
    <w:rsid w:val="00170623"/>
    <w:rsid w:val="00170AB6"/>
    <w:rsid w:val="001710CB"/>
    <w:rsid w:val="00171450"/>
    <w:rsid w:val="0017164A"/>
    <w:rsid w:val="001719AE"/>
    <w:rsid w:val="00171E17"/>
    <w:rsid w:val="00171FBF"/>
    <w:rsid w:val="00172038"/>
    <w:rsid w:val="00172175"/>
    <w:rsid w:val="00172DFC"/>
    <w:rsid w:val="001740D8"/>
    <w:rsid w:val="0017483E"/>
    <w:rsid w:val="001748AF"/>
    <w:rsid w:val="001753A7"/>
    <w:rsid w:val="00176D0D"/>
    <w:rsid w:val="00176F6A"/>
    <w:rsid w:val="00176FA5"/>
    <w:rsid w:val="00177AB0"/>
    <w:rsid w:val="00180B20"/>
    <w:rsid w:val="00180D37"/>
    <w:rsid w:val="00181430"/>
    <w:rsid w:val="00181854"/>
    <w:rsid w:val="00182E20"/>
    <w:rsid w:val="00183BEA"/>
    <w:rsid w:val="00183FA8"/>
    <w:rsid w:val="00184957"/>
    <w:rsid w:val="00184A76"/>
    <w:rsid w:val="00184B58"/>
    <w:rsid w:val="00185C94"/>
    <w:rsid w:val="00185EC4"/>
    <w:rsid w:val="00186237"/>
    <w:rsid w:val="001869FA"/>
    <w:rsid w:val="00186A3C"/>
    <w:rsid w:val="001901F5"/>
    <w:rsid w:val="00190B54"/>
    <w:rsid w:val="001911C0"/>
    <w:rsid w:val="0019197C"/>
    <w:rsid w:val="001919AD"/>
    <w:rsid w:val="00191BDC"/>
    <w:rsid w:val="00191CED"/>
    <w:rsid w:val="00191E21"/>
    <w:rsid w:val="001926D1"/>
    <w:rsid w:val="00192872"/>
    <w:rsid w:val="00192C29"/>
    <w:rsid w:val="001933CB"/>
    <w:rsid w:val="001939D6"/>
    <w:rsid w:val="00193ADE"/>
    <w:rsid w:val="00193ADF"/>
    <w:rsid w:val="00194677"/>
    <w:rsid w:val="00194863"/>
    <w:rsid w:val="001948CC"/>
    <w:rsid w:val="00194B65"/>
    <w:rsid w:val="00194E90"/>
    <w:rsid w:val="001956B5"/>
    <w:rsid w:val="00196644"/>
    <w:rsid w:val="001970C8"/>
    <w:rsid w:val="001973E3"/>
    <w:rsid w:val="001975EC"/>
    <w:rsid w:val="0019763E"/>
    <w:rsid w:val="00197CF0"/>
    <w:rsid w:val="00197E3E"/>
    <w:rsid w:val="001A13FC"/>
    <w:rsid w:val="001A1473"/>
    <w:rsid w:val="001A1A6E"/>
    <w:rsid w:val="001A2D54"/>
    <w:rsid w:val="001A2D7E"/>
    <w:rsid w:val="001A2EFD"/>
    <w:rsid w:val="001A35C8"/>
    <w:rsid w:val="001A39DA"/>
    <w:rsid w:val="001A40FF"/>
    <w:rsid w:val="001A4B3E"/>
    <w:rsid w:val="001A52EE"/>
    <w:rsid w:val="001A5536"/>
    <w:rsid w:val="001A5BE9"/>
    <w:rsid w:val="001A61AF"/>
    <w:rsid w:val="001A7AC3"/>
    <w:rsid w:val="001A7B2D"/>
    <w:rsid w:val="001B0354"/>
    <w:rsid w:val="001B055F"/>
    <w:rsid w:val="001B144F"/>
    <w:rsid w:val="001B1A1B"/>
    <w:rsid w:val="001B21D3"/>
    <w:rsid w:val="001B2686"/>
    <w:rsid w:val="001B2D42"/>
    <w:rsid w:val="001B2F7D"/>
    <w:rsid w:val="001B3BEF"/>
    <w:rsid w:val="001B3E4D"/>
    <w:rsid w:val="001B4672"/>
    <w:rsid w:val="001B46A1"/>
    <w:rsid w:val="001B46AE"/>
    <w:rsid w:val="001B4A0F"/>
    <w:rsid w:val="001B4E2C"/>
    <w:rsid w:val="001B56A4"/>
    <w:rsid w:val="001B5F98"/>
    <w:rsid w:val="001B6027"/>
    <w:rsid w:val="001B605B"/>
    <w:rsid w:val="001B60EC"/>
    <w:rsid w:val="001B61EF"/>
    <w:rsid w:val="001B68AC"/>
    <w:rsid w:val="001B6A05"/>
    <w:rsid w:val="001B6CE1"/>
    <w:rsid w:val="001B76E4"/>
    <w:rsid w:val="001B7900"/>
    <w:rsid w:val="001B7E7E"/>
    <w:rsid w:val="001C04BA"/>
    <w:rsid w:val="001C177C"/>
    <w:rsid w:val="001C1CA2"/>
    <w:rsid w:val="001C25C0"/>
    <w:rsid w:val="001C275D"/>
    <w:rsid w:val="001C381D"/>
    <w:rsid w:val="001C3CC0"/>
    <w:rsid w:val="001C562C"/>
    <w:rsid w:val="001C5BBE"/>
    <w:rsid w:val="001C60D8"/>
    <w:rsid w:val="001C7490"/>
    <w:rsid w:val="001D08F4"/>
    <w:rsid w:val="001D0C96"/>
    <w:rsid w:val="001D192D"/>
    <w:rsid w:val="001D1FD7"/>
    <w:rsid w:val="001D21B5"/>
    <w:rsid w:val="001D28F3"/>
    <w:rsid w:val="001D295B"/>
    <w:rsid w:val="001D29CA"/>
    <w:rsid w:val="001D2A88"/>
    <w:rsid w:val="001D2C19"/>
    <w:rsid w:val="001D2C9D"/>
    <w:rsid w:val="001D316F"/>
    <w:rsid w:val="001D32BC"/>
    <w:rsid w:val="001D34C8"/>
    <w:rsid w:val="001D39DA"/>
    <w:rsid w:val="001D4BBE"/>
    <w:rsid w:val="001D5386"/>
    <w:rsid w:val="001D6139"/>
    <w:rsid w:val="001D6CC2"/>
    <w:rsid w:val="001D6DB4"/>
    <w:rsid w:val="001D73EB"/>
    <w:rsid w:val="001D7DD4"/>
    <w:rsid w:val="001E10AA"/>
    <w:rsid w:val="001E132A"/>
    <w:rsid w:val="001E293E"/>
    <w:rsid w:val="001E2AD5"/>
    <w:rsid w:val="001E2D30"/>
    <w:rsid w:val="001E3822"/>
    <w:rsid w:val="001E3E59"/>
    <w:rsid w:val="001E455A"/>
    <w:rsid w:val="001E46DE"/>
    <w:rsid w:val="001E4B3C"/>
    <w:rsid w:val="001E50E9"/>
    <w:rsid w:val="001E52A7"/>
    <w:rsid w:val="001E68FE"/>
    <w:rsid w:val="001E6FCD"/>
    <w:rsid w:val="001E74BC"/>
    <w:rsid w:val="001E7640"/>
    <w:rsid w:val="001E7B2E"/>
    <w:rsid w:val="001E7F5A"/>
    <w:rsid w:val="001F0390"/>
    <w:rsid w:val="001F08A7"/>
    <w:rsid w:val="001F0D1B"/>
    <w:rsid w:val="001F109A"/>
    <w:rsid w:val="001F2038"/>
    <w:rsid w:val="001F2415"/>
    <w:rsid w:val="001F2A11"/>
    <w:rsid w:val="001F2A44"/>
    <w:rsid w:val="001F2BD9"/>
    <w:rsid w:val="001F2CE4"/>
    <w:rsid w:val="001F301F"/>
    <w:rsid w:val="001F33D3"/>
    <w:rsid w:val="001F341A"/>
    <w:rsid w:val="001F3477"/>
    <w:rsid w:val="001F3B32"/>
    <w:rsid w:val="001F3BE0"/>
    <w:rsid w:val="001F3CDA"/>
    <w:rsid w:val="001F4384"/>
    <w:rsid w:val="001F4AB8"/>
    <w:rsid w:val="001F4E29"/>
    <w:rsid w:val="001F59E8"/>
    <w:rsid w:val="001F5A6D"/>
    <w:rsid w:val="001F65B1"/>
    <w:rsid w:val="001F698F"/>
    <w:rsid w:val="001F6C78"/>
    <w:rsid w:val="001F77D4"/>
    <w:rsid w:val="001F7B1C"/>
    <w:rsid w:val="002002C0"/>
    <w:rsid w:val="002007C9"/>
    <w:rsid w:val="0020184B"/>
    <w:rsid w:val="00201DF4"/>
    <w:rsid w:val="00202540"/>
    <w:rsid w:val="00203C69"/>
    <w:rsid w:val="00204176"/>
    <w:rsid w:val="00204379"/>
    <w:rsid w:val="0020454D"/>
    <w:rsid w:val="00204678"/>
    <w:rsid w:val="00204DDD"/>
    <w:rsid w:val="00204DE5"/>
    <w:rsid w:val="0020507A"/>
    <w:rsid w:val="00205EE7"/>
    <w:rsid w:val="00206187"/>
    <w:rsid w:val="00206E69"/>
    <w:rsid w:val="00207AEC"/>
    <w:rsid w:val="00207B2B"/>
    <w:rsid w:val="00210710"/>
    <w:rsid w:val="00210728"/>
    <w:rsid w:val="00210858"/>
    <w:rsid w:val="002115C6"/>
    <w:rsid w:val="0021184D"/>
    <w:rsid w:val="002119B5"/>
    <w:rsid w:val="00211BB8"/>
    <w:rsid w:val="00211D63"/>
    <w:rsid w:val="00212120"/>
    <w:rsid w:val="002129AE"/>
    <w:rsid w:val="00212BF4"/>
    <w:rsid w:val="0021343B"/>
    <w:rsid w:val="002142EE"/>
    <w:rsid w:val="002149B8"/>
    <w:rsid w:val="00214BCC"/>
    <w:rsid w:val="002153D6"/>
    <w:rsid w:val="002154C0"/>
    <w:rsid w:val="0021550A"/>
    <w:rsid w:val="00216000"/>
    <w:rsid w:val="002174F1"/>
    <w:rsid w:val="00217BE3"/>
    <w:rsid w:val="00217DC9"/>
    <w:rsid w:val="0022130B"/>
    <w:rsid w:val="00221608"/>
    <w:rsid w:val="00221EED"/>
    <w:rsid w:val="00223129"/>
    <w:rsid w:val="002232A0"/>
    <w:rsid w:val="00223E11"/>
    <w:rsid w:val="00224377"/>
    <w:rsid w:val="0022452D"/>
    <w:rsid w:val="00225733"/>
    <w:rsid w:val="00226257"/>
    <w:rsid w:val="00226B85"/>
    <w:rsid w:val="00226F7D"/>
    <w:rsid w:val="00227023"/>
    <w:rsid w:val="00227369"/>
    <w:rsid w:val="00227848"/>
    <w:rsid w:val="00230070"/>
    <w:rsid w:val="00230474"/>
    <w:rsid w:val="002312C8"/>
    <w:rsid w:val="0023141B"/>
    <w:rsid w:val="002318E8"/>
    <w:rsid w:val="00231BF1"/>
    <w:rsid w:val="0023203C"/>
    <w:rsid w:val="002323EE"/>
    <w:rsid w:val="00232458"/>
    <w:rsid w:val="002325C9"/>
    <w:rsid w:val="00232AB1"/>
    <w:rsid w:val="00232C18"/>
    <w:rsid w:val="00232CC5"/>
    <w:rsid w:val="00233713"/>
    <w:rsid w:val="00234699"/>
    <w:rsid w:val="00234B07"/>
    <w:rsid w:val="00235249"/>
    <w:rsid w:val="002357E5"/>
    <w:rsid w:val="00235981"/>
    <w:rsid w:val="00235E40"/>
    <w:rsid w:val="0023651E"/>
    <w:rsid w:val="00236654"/>
    <w:rsid w:val="00236E2E"/>
    <w:rsid w:val="00236E6D"/>
    <w:rsid w:val="00237437"/>
    <w:rsid w:val="002377E6"/>
    <w:rsid w:val="002378F6"/>
    <w:rsid w:val="002379EC"/>
    <w:rsid w:val="00237D10"/>
    <w:rsid w:val="00237DA4"/>
    <w:rsid w:val="00240E9A"/>
    <w:rsid w:val="002415C6"/>
    <w:rsid w:val="0024330D"/>
    <w:rsid w:val="00243B6F"/>
    <w:rsid w:val="00244060"/>
    <w:rsid w:val="00244EDD"/>
    <w:rsid w:val="002453EE"/>
    <w:rsid w:val="00245994"/>
    <w:rsid w:val="002459F1"/>
    <w:rsid w:val="002461CB"/>
    <w:rsid w:val="00246B94"/>
    <w:rsid w:val="002471FC"/>
    <w:rsid w:val="00247A08"/>
    <w:rsid w:val="00247F80"/>
    <w:rsid w:val="0025082B"/>
    <w:rsid w:val="00250AF3"/>
    <w:rsid w:val="00250CEE"/>
    <w:rsid w:val="002518F4"/>
    <w:rsid w:val="00252051"/>
    <w:rsid w:val="002521ED"/>
    <w:rsid w:val="00252349"/>
    <w:rsid w:val="002526F4"/>
    <w:rsid w:val="00252A1F"/>
    <w:rsid w:val="00252D8C"/>
    <w:rsid w:val="00253DD0"/>
    <w:rsid w:val="00254174"/>
    <w:rsid w:val="002545D9"/>
    <w:rsid w:val="00254970"/>
    <w:rsid w:val="00254FB4"/>
    <w:rsid w:val="0025562E"/>
    <w:rsid w:val="00255AAF"/>
    <w:rsid w:val="002563D7"/>
    <w:rsid w:val="002566F4"/>
    <w:rsid w:val="002578E7"/>
    <w:rsid w:val="00260044"/>
    <w:rsid w:val="0026017F"/>
    <w:rsid w:val="00260410"/>
    <w:rsid w:val="0026212E"/>
    <w:rsid w:val="00262BE4"/>
    <w:rsid w:val="00262C1C"/>
    <w:rsid w:val="00262CB6"/>
    <w:rsid w:val="00262FC0"/>
    <w:rsid w:val="00263237"/>
    <w:rsid w:val="00263359"/>
    <w:rsid w:val="0026349A"/>
    <w:rsid w:val="002635DE"/>
    <w:rsid w:val="00263733"/>
    <w:rsid w:val="00263A2F"/>
    <w:rsid w:val="00263A85"/>
    <w:rsid w:val="00264B8E"/>
    <w:rsid w:val="00264C8C"/>
    <w:rsid w:val="00264D4D"/>
    <w:rsid w:val="00264E5A"/>
    <w:rsid w:val="002662D2"/>
    <w:rsid w:val="002666EA"/>
    <w:rsid w:val="002668AD"/>
    <w:rsid w:val="0026691F"/>
    <w:rsid w:val="00266A9E"/>
    <w:rsid w:val="00266BD4"/>
    <w:rsid w:val="00266D4C"/>
    <w:rsid w:val="00267340"/>
    <w:rsid w:val="00267AA4"/>
    <w:rsid w:val="00267B91"/>
    <w:rsid w:val="00267BC3"/>
    <w:rsid w:val="00267BD4"/>
    <w:rsid w:val="00270301"/>
    <w:rsid w:val="002703F1"/>
    <w:rsid w:val="00270C5C"/>
    <w:rsid w:val="00270EA0"/>
    <w:rsid w:val="00271066"/>
    <w:rsid w:val="00271BDC"/>
    <w:rsid w:val="002721A0"/>
    <w:rsid w:val="002725D7"/>
    <w:rsid w:val="00272F73"/>
    <w:rsid w:val="00273353"/>
    <w:rsid w:val="0027370F"/>
    <w:rsid w:val="0027419F"/>
    <w:rsid w:val="0027456A"/>
    <w:rsid w:val="00274860"/>
    <w:rsid w:val="002751E8"/>
    <w:rsid w:val="002755E5"/>
    <w:rsid w:val="00275980"/>
    <w:rsid w:val="00276111"/>
    <w:rsid w:val="00276685"/>
    <w:rsid w:val="00276A8E"/>
    <w:rsid w:val="00276AEB"/>
    <w:rsid w:val="00276D6E"/>
    <w:rsid w:val="00276DD9"/>
    <w:rsid w:val="00281734"/>
    <w:rsid w:val="00281B5B"/>
    <w:rsid w:val="002820B1"/>
    <w:rsid w:val="00282D35"/>
    <w:rsid w:val="00283EA9"/>
    <w:rsid w:val="002848BD"/>
    <w:rsid w:val="0028496E"/>
    <w:rsid w:val="00284D13"/>
    <w:rsid w:val="00284F6D"/>
    <w:rsid w:val="0028530D"/>
    <w:rsid w:val="00285FBB"/>
    <w:rsid w:val="00286465"/>
    <w:rsid w:val="0028688C"/>
    <w:rsid w:val="002870C4"/>
    <w:rsid w:val="0029009F"/>
    <w:rsid w:val="002901A2"/>
    <w:rsid w:val="002913B3"/>
    <w:rsid w:val="00291565"/>
    <w:rsid w:val="00291A5F"/>
    <w:rsid w:val="002921EF"/>
    <w:rsid w:val="00292310"/>
    <w:rsid w:val="002925AB"/>
    <w:rsid w:val="002925BB"/>
    <w:rsid w:val="002926F5"/>
    <w:rsid w:val="0029271E"/>
    <w:rsid w:val="00292A86"/>
    <w:rsid w:val="002931BD"/>
    <w:rsid w:val="00293688"/>
    <w:rsid w:val="002938CB"/>
    <w:rsid w:val="00294B40"/>
    <w:rsid w:val="002953C8"/>
    <w:rsid w:val="002956C8"/>
    <w:rsid w:val="00295960"/>
    <w:rsid w:val="00295F74"/>
    <w:rsid w:val="00296725"/>
    <w:rsid w:val="002968BF"/>
    <w:rsid w:val="00296980"/>
    <w:rsid w:val="00296B6E"/>
    <w:rsid w:val="0029724F"/>
    <w:rsid w:val="00297784"/>
    <w:rsid w:val="00297F22"/>
    <w:rsid w:val="002A0898"/>
    <w:rsid w:val="002A091A"/>
    <w:rsid w:val="002A1073"/>
    <w:rsid w:val="002A1480"/>
    <w:rsid w:val="002A1D6A"/>
    <w:rsid w:val="002A2F6E"/>
    <w:rsid w:val="002A3122"/>
    <w:rsid w:val="002A34CB"/>
    <w:rsid w:val="002A38FC"/>
    <w:rsid w:val="002A3AC4"/>
    <w:rsid w:val="002A4588"/>
    <w:rsid w:val="002A485A"/>
    <w:rsid w:val="002A5825"/>
    <w:rsid w:val="002A5DBC"/>
    <w:rsid w:val="002A66D8"/>
    <w:rsid w:val="002A6DCC"/>
    <w:rsid w:val="002A6EA4"/>
    <w:rsid w:val="002A7DFA"/>
    <w:rsid w:val="002B0497"/>
    <w:rsid w:val="002B0603"/>
    <w:rsid w:val="002B12C9"/>
    <w:rsid w:val="002B1462"/>
    <w:rsid w:val="002B1B3B"/>
    <w:rsid w:val="002B2304"/>
    <w:rsid w:val="002B24C6"/>
    <w:rsid w:val="002B2867"/>
    <w:rsid w:val="002B28F9"/>
    <w:rsid w:val="002B2C56"/>
    <w:rsid w:val="002B3100"/>
    <w:rsid w:val="002B3A56"/>
    <w:rsid w:val="002B3EEF"/>
    <w:rsid w:val="002B4134"/>
    <w:rsid w:val="002B420C"/>
    <w:rsid w:val="002B4F23"/>
    <w:rsid w:val="002B5517"/>
    <w:rsid w:val="002B5B9D"/>
    <w:rsid w:val="002B5E5A"/>
    <w:rsid w:val="002B61D5"/>
    <w:rsid w:val="002B6870"/>
    <w:rsid w:val="002B69D9"/>
    <w:rsid w:val="002B70D6"/>
    <w:rsid w:val="002B73EE"/>
    <w:rsid w:val="002B7BA3"/>
    <w:rsid w:val="002C0872"/>
    <w:rsid w:val="002C0C83"/>
    <w:rsid w:val="002C1480"/>
    <w:rsid w:val="002C1F5C"/>
    <w:rsid w:val="002C217B"/>
    <w:rsid w:val="002C25A6"/>
    <w:rsid w:val="002C2EF3"/>
    <w:rsid w:val="002C2F71"/>
    <w:rsid w:val="002C4533"/>
    <w:rsid w:val="002C47E1"/>
    <w:rsid w:val="002C499C"/>
    <w:rsid w:val="002C4A0F"/>
    <w:rsid w:val="002C4BEE"/>
    <w:rsid w:val="002C55E8"/>
    <w:rsid w:val="002C5B08"/>
    <w:rsid w:val="002C62CF"/>
    <w:rsid w:val="002C646B"/>
    <w:rsid w:val="002C6572"/>
    <w:rsid w:val="002C6A26"/>
    <w:rsid w:val="002C7337"/>
    <w:rsid w:val="002C7BA5"/>
    <w:rsid w:val="002D045F"/>
    <w:rsid w:val="002D0E31"/>
    <w:rsid w:val="002D0E62"/>
    <w:rsid w:val="002D1073"/>
    <w:rsid w:val="002D19AE"/>
    <w:rsid w:val="002D1F60"/>
    <w:rsid w:val="002D2805"/>
    <w:rsid w:val="002D2FBD"/>
    <w:rsid w:val="002D40F0"/>
    <w:rsid w:val="002D4392"/>
    <w:rsid w:val="002D4429"/>
    <w:rsid w:val="002D45E7"/>
    <w:rsid w:val="002D48FE"/>
    <w:rsid w:val="002D4D7E"/>
    <w:rsid w:val="002D4E4E"/>
    <w:rsid w:val="002D4F98"/>
    <w:rsid w:val="002D5383"/>
    <w:rsid w:val="002D69AC"/>
    <w:rsid w:val="002D6A87"/>
    <w:rsid w:val="002D75FA"/>
    <w:rsid w:val="002D7C0F"/>
    <w:rsid w:val="002D7DC1"/>
    <w:rsid w:val="002D7E4D"/>
    <w:rsid w:val="002E02D9"/>
    <w:rsid w:val="002E1D7B"/>
    <w:rsid w:val="002E302D"/>
    <w:rsid w:val="002E39CE"/>
    <w:rsid w:val="002E48B2"/>
    <w:rsid w:val="002E4DBD"/>
    <w:rsid w:val="002E59FE"/>
    <w:rsid w:val="002E6FB0"/>
    <w:rsid w:val="002F0087"/>
    <w:rsid w:val="002F0474"/>
    <w:rsid w:val="002F074D"/>
    <w:rsid w:val="002F0A4D"/>
    <w:rsid w:val="002F1501"/>
    <w:rsid w:val="002F1964"/>
    <w:rsid w:val="002F2427"/>
    <w:rsid w:val="002F2BA0"/>
    <w:rsid w:val="002F3BE5"/>
    <w:rsid w:val="002F3CA1"/>
    <w:rsid w:val="002F4914"/>
    <w:rsid w:val="002F4E37"/>
    <w:rsid w:val="002F5F91"/>
    <w:rsid w:val="002F68FC"/>
    <w:rsid w:val="002F7D4B"/>
    <w:rsid w:val="0030216E"/>
    <w:rsid w:val="00302806"/>
    <w:rsid w:val="00302D86"/>
    <w:rsid w:val="00302DD6"/>
    <w:rsid w:val="00303D20"/>
    <w:rsid w:val="00304536"/>
    <w:rsid w:val="00304645"/>
    <w:rsid w:val="003047C2"/>
    <w:rsid w:val="00304C02"/>
    <w:rsid w:val="00304E3B"/>
    <w:rsid w:val="00304E3F"/>
    <w:rsid w:val="00304F55"/>
    <w:rsid w:val="00305DDF"/>
    <w:rsid w:val="00305FEE"/>
    <w:rsid w:val="00306610"/>
    <w:rsid w:val="00306774"/>
    <w:rsid w:val="00306E96"/>
    <w:rsid w:val="003072C8"/>
    <w:rsid w:val="00307E57"/>
    <w:rsid w:val="0031075A"/>
    <w:rsid w:val="00311713"/>
    <w:rsid w:val="00311E81"/>
    <w:rsid w:val="003122B0"/>
    <w:rsid w:val="00312613"/>
    <w:rsid w:val="003126E7"/>
    <w:rsid w:val="003129E6"/>
    <w:rsid w:val="003130B3"/>
    <w:rsid w:val="00313B13"/>
    <w:rsid w:val="00314643"/>
    <w:rsid w:val="00314C53"/>
    <w:rsid w:val="00315732"/>
    <w:rsid w:val="0031605F"/>
    <w:rsid w:val="00316931"/>
    <w:rsid w:val="00316B77"/>
    <w:rsid w:val="00316D86"/>
    <w:rsid w:val="00316E6E"/>
    <w:rsid w:val="003174D0"/>
    <w:rsid w:val="00317749"/>
    <w:rsid w:val="00317861"/>
    <w:rsid w:val="0032015A"/>
    <w:rsid w:val="00320262"/>
    <w:rsid w:val="003203E5"/>
    <w:rsid w:val="003206A2"/>
    <w:rsid w:val="0032072B"/>
    <w:rsid w:val="00320827"/>
    <w:rsid w:val="00320D11"/>
    <w:rsid w:val="00320E69"/>
    <w:rsid w:val="00320EF3"/>
    <w:rsid w:val="003215B0"/>
    <w:rsid w:val="00321A6A"/>
    <w:rsid w:val="00321B2C"/>
    <w:rsid w:val="00321D03"/>
    <w:rsid w:val="00322574"/>
    <w:rsid w:val="00322630"/>
    <w:rsid w:val="003227C6"/>
    <w:rsid w:val="003229F3"/>
    <w:rsid w:val="0032385E"/>
    <w:rsid w:val="00323CB8"/>
    <w:rsid w:val="003242F2"/>
    <w:rsid w:val="00324D0B"/>
    <w:rsid w:val="003254C3"/>
    <w:rsid w:val="00325FA1"/>
    <w:rsid w:val="003263B7"/>
    <w:rsid w:val="0032695B"/>
    <w:rsid w:val="00327534"/>
    <w:rsid w:val="003275B9"/>
    <w:rsid w:val="00327B04"/>
    <w:rsid w:val="0033017F"/>
    <w:rsid w:val="003309DC"/>
    <w:rsid w:val="003310CD"/>
    <w:rsid w:val="003323E6"/>
    <w:rsid w:val="00333159"/>
    <w:rsid w:val="003335BF"/>
    <w:rsid w:val="003350A2"/>
    <w:rsid w:val="00335140"/>
    <w:rsid w:val="00335E89"/>
    <w:rsid w:val="003360D4"/>
    <w:rsid w:val="003364E1"/>
    <w:rsid w:val="00336B6E"/>
    <w:rsid w:val="00337174"/>
    <w:rsid w:val="0033729F"/>
    <w:rsid w:val="003374A3"/>
    <w:rsid w:val="00340A20"/>
    <w:rsid w:val="00341800"/>
    <w:rsid w:val="00341F12"/>
    <w:rsid w:val="00342197"/>
    <w:rsid w:val="00342264"/>
    <w:rsid w:val="00342380"/>
    <w:rsid w:val="003426AF"/>
    <w:rsid w:val="00342A4D"/>
    <w:rsid w:val="00343589"/>
    <w:rsid w:val="003458F3"/>
    <w:rsid w:val="00345970"/>
    <w:rsid w:val="003459A2"/>
    <w:rsid w:val="00345B80"/>
    <w:rsid w:val="00345B87"/>
    <w:rsid w:val="00345EFE"/>
    <w:rsid w:val="00346209"/>
    <w:rsid w:val="003468B5"/>
    <w:rsid w:val="0034763F"/>
    <w:rsid w:val="003508B5"/>
    <w:rsid w:val="00350A94"/>
    <w:rsid w:val="00350B3B"/>
    <w:rsid w:val="00350CCD"/>
    <w:rsid w:val="003512A7"/>
    <w:rsid w:val="003513EF"/>
    <w:rsid w:val="00351AB4"/>
    <w:rsid w:val="00351D93"/>
    <w:rsid w:val="00351DCB"/>
    <w:rsid w:val="003524FA"/>
    <w:rsid w:val="003528DB"/>
    <w:rsid w:val="0035291F"/>
    <w:rsid w:val="00352A59"/>
    <w:rsid w:val="00352D98"/>
    <w:rsid w:val="003532AC"/>
    <w:rsid w:val="003536CA"/>
    <w:rsid w:val="003539F0"/>
    <w:rsid w:val="00353F63"/>
    <w:rsid w:val="003546AE"/>
    <w:rsid w:val="003556BF"/>
    <w:rsid w:val="00355A5E"/>
    <w:rsid w:val="003562F5"/>
    <w:rsid w:val="003578EB"/>
    <w:rsid w:val="00360213"/>
    <w:rsid w:val="00360834"/>
    <w:rsid w:val="003609DD"/>
    <w:rsid w:val="00360A1A"/>
    <w:rsid w:val="00361B05"/>
    <w:rsid w:val="00361FCA"/>
    <w:rsid w:val="003624D5"/>
    <w:rsid w:val="0036256E"/>
    <w:rsid w:val="00362E99"/>
    <w:rsid w:val="00362ECB"/>
    <w:rsid w:val="00362F7B"/>
    <w:rsid w:val="00364169"/>
    <w:rsid w:val="003643B2"/>
    <w:rsid w:val="00364747"/>
    <w:rsid w:val="003649F9"/>
    <w:rsid w:val="003650BE"/>
    <w:rsid w:val="003654B3"/>
    <w:rsid w:val="00366D2B"/>
    <w:rsid w:val="003671C4"/>
    <w:rsid w:val="003700ED"/>
    <w:rsid w:val="00370403"/>
    <w:rsid w:val="00370D7D"/>
    <w:rsid w:val="00371A4C"/>
    <w:rsid w:val="00372EA2"/>
    <w:rsid w:val="00372FF7"/>
    <w:rsid w:val="0037310A"/>
    <w:rsid w:val="00373F72"/>
    <w:rsid w:val="00374B97"/>
    <w:rsid w:val="00374CF4"/>
    <w:rsid w:val="00374D74"/>
    <w:rsid w:val="003752B9"/>
    <w:rsid w:val="00376514"/>
    <w:rsid w:val="003769FF"/>
    <w:rsid w:val="00376FF2"/>
    <w:rsid w:val="003776B3"/>
    <w:rsid w:val="0038084A"/>
    <w:rsid w:val="00381CF6"/>
    <w:rsid w:val="00381E3F"/>
    <w:rsid w:val="003837AF"/>
    <w:rsid w:val="00383AB1"/>
    <w:rsid w:val="00383B6E"/>
    <w:rsid w:val="00383CB5"/>
    <w:rsid w:val="00383D15"/>
    <w:rsid w:val="003842F8"/>
    <w:rsid w:val="0038492C"/>
    <w:rsid w:val="00384F38"/>
    <w:rsid w:val="00385212"/>
    <w:rsid w:val="00385491"/>
    <w:rsid w:val="003859E5"/>
    <w:rsid w:val="00385B01"/>
    <w:rsid w:val="00385EA9"/>
    <w:rsid w:val="00386545"/>
    <w:rsid w:val="00386AAA"/>
    <w:rsid w:val="00387455"/>
    <w:rsid w:val="0038778E"/>
    <w:rsid w:val="00387CD5"/>
    <w:rsid w:val="00390D70"/>
    <w:rsid w:val="0039144E"/>
    <w:rsid w:val="00391BA2"/>
    <w:rsid w:val="0039217E"/>
    <w:rsid w:val="003924F3"/>
    <w:rsid w:val="003925FC"/>
    <w:rsid w:val="00392775"/>
    <w:rsid w:val="003929A8"/>
    <w:rsid w:val="00392FD2"/>
    <w:rsid w:val="00393217"/>
    <w:rsid w:val="003933E1"/>
    <w:rsid w:val="003933E6"/>
    <w:rsid w:val="00393AE3"/>
    <w:rsid w:val="00394720"/>
    <w:rsid w:val="003949AB"/>
    <w:rsid w:val="00394A05"/>
    <w:rsid w:val="00396D1A"/>
    <w:rsid w:val="003975CC"/>
    <w:rsid w:val="003979CC"/>
    <w:rsid w:val="003A0448"/>
    <w:rsid w:val="003A18E3"/>
    <w:rsid w:val="003A1B00"/>
    <w:rsid w:val="003A282D"/>
    <w:rsid w:val="003A2EAF"/>
    <w:rsid w:val="003A3D05"/>
    <w:rsid w:val="003A45C8"/>
    <w:rsid w:val="003A4653"/>
    <w:rsid w:val="003A55D0"/>
    <w:rsid w:val="003A630B"/>
    <w:rsid w:val="003A63CB"/>
    <w:rsid w:val="003A6D47"/>
    <w:rsid w:val="003A6EF8"/>
    <w:rsid w:val="003A6F47"/>
    <w:rsid w:val="003A76E0"/>
    <w:rsid w:val="003B0AD5"/>
    <w:rsid w:val="003B0B15"/>
    <w:rsid w:val="003B0BE0"/>
    <w:rsid w:val="003B16DB"/>
    <w:rsid w:val="003B1735"/>
    <w:rsid w:val="003B2795"/>
    <w:rsid w:val="003B2FC6"/>
    <w:rsid w:val="003B3967"/>
    <w:rsid w:val="003B3B6D"/>
    <w:rsid w:val="003B3BFC"/>
    <w:rsid w:val="003B3FF7"/>
    <w:rsid w:val="003B402E"/>
    <w:rsid w:val="003B41F9"/>
    <w:rsid w:val="003B462C"/>
    <w:rsid w:val="003B4F03"/>
    <w:rsid w:val="003B55E2"/>
    <w:rsid w:val="003B5DD9"/>
    <w:rsid w:val="003B625A"/>
    <w:rsid w:val="003B68B9"/>
    <w:rsid w:val="003B6A2C"/>
    <w:rsid w:val="003B6B52"/>
    <w:rsid w:val="003B6FC1"/>
    <w:rsid w:val="003B718F"/>
    <w:rsid w:val="003B7DC2"/>
    <w:rsid w:val="003B7EAA"/>
    <w:rsid w:val="003C0A29"/>
    <w:rsid w:val="003C0A49"/>
    <w:rsid w:val="003C191F"/>
    <w:rsid w:val="003C25E9"/>
    <w:rsid w:val="003C2FF1"/>
    <w:rsid w:val="003C41E2"/>
    <w:rsid w:val="003C45B8"/>
    <w:rsid w:val="003C473A"/>
    <w:rsid w:val="003C48BF"/>
    <w:rsid w:val="003C490C"/>
    <w:rsid w:val="003C4B53"/>
    <w:rsid w:val="003C5035"/>
    <w:rsid w:val="003C50B1"/>
    <w:rsid w:val="003C52F4"/>
    <w:rsid w:val="003C5A37"/>
    <w:rsid w:val="003C662D"/>
    <w:rsid w:val="003C6D48"/>
    <w:rsid w:val="003C7047"/>
    <w:rsid w:val="003C78E7"/>
    <w:rsid w:val="003C793A"/>
    <w:rsid w:val="003C7943"/>
    <w:rsid w:val="003D01A9"/>
    <w:rsid w:val="003D0AD9"/>
    <w:rsid w:val="003D11F3"/>
    <w:rsid w:val="003D13A8"/>
    <w:rsid w:val="003D22BE"/>
    <w:rsid w:val="003D23A2"/>
    <w:rsid w:val="003D24B8"/>
    <w:rsid w:val="003D3742"/>
    <w:rsid w:val="003D381B"/>
    <w:rsid w:val="003D4188"/>
    <w:rsid w:val="003D43B8"/>
    <w:rsid w:val="003D466A"/>
    <w:rsid w:val="003D4EE1"/>
    <w:rsid w:val="003D52E1"/>
    <w:rsid w:val="003D5504"/>
    <w:rsid w:val="003D6316"/>
    <w:rsid w:val="003D64A4"/>
    <w:rsid w:val="003D6652"/>
    <w:rsid w:val="003D6930"/>
    <w:rsid w:val="003D6C57"/>
    <w:rsid w:val="003D6CA1"/>
    <w:rsid w:val="003D73BC"/>
    <w:rsid w:val="003D76C1"/>
    <w:rsid w:val="003E00DE"/>
    <w:rsid w:val="003E0C6A"/>
    <w:rsid w:val="003E0D9F"/>
    <w:rsid w:val="003E0E91"/>
    <w:rsid w:val="003E1061"/>
    <w:rsid w:val="003E15DB"/>
    <w:rsid w:val="003E1892"/>
    <w:rsid w:val="003E226A"/>
    <w:rsid w:val="003E2BCF"/>
    <w:rsid w:val="003E2E1A"/>
    <w:rsid w:val="003E3446"/>
    <w:rsid w:val="003E361E"/>
    <w:rsid w:val="003E3867"/>
    <w:rsid w:val="003E3B24"/>
    <w:rsid w:val="003E41D7"/>
    <w:rsid w:val="003E42C6"/>
    <w:rsid w:val="003E50E9"/>
    <w:rsid w:val="003E5A36"/>
    <w:rsid w:val="003E5C3D"/>
    <w:rsid w:val="003E5C73"/>
    <w:rsid w:val="003E750A"/>
    <w:rsid w:val="003E7A98"/>
    <w:rsid w:val="003F02B4"/>
    <w:rsid w:val="003F0ADE"/>
    <w:rsid w:val="003F160B"/>
    <w:rsid w:val="003F17AE"/>
    <w:rsid w:val="003F18A5"/>
    <w:rsid w:val="003F1AAF"/>
    <w:rsid w:val="003F1E18"/>
    <w:rsid w:val="003F1E6B"/>
    <w:rsid w:val="003F20E1"/>
    <w:rsid w:val="003F32A3"/>
    <w:rsid w:val="003F35BE"/>
    <w:rsid w:val="003F3754"/>
    <w:rsid w:val="003F384D"/>
    <w:rsid w:val="003F3E68"/>
    <w:rsid w:val="003F3F8A"/>
    <w:rsid w:val="003F46DD"/>
    <w:rsid w:val="003F50D2"/>
    <w:rsid w:val="003F59A4"/>
    <w:rsid w:val="003F5EB6"/>
    <w:rsid w:val="003F62AA"/>
    <w:rsid w:val="003F6C27"/>
    <w:rsid w:val="003F703B"/>
    <w:rsid w:val="003F7350"/>
    <w:rsid w:val="003F74D4"/>
    <w:rsid w:val="003F7A94"/>
    <w:rsid w:val="003F7F33"/>
    <w:rsid w:val="003F7FF0"/>
    <w:rsid w:val="00400035"/>
    <w:rsid w:val="004008E0"/>
    <w:rsid w:val="0040110B"/>
    <w:rsid w:val="00401159"/>
    <w:rsid w:val="004019BD"/>
    <w:rsid w:val="004029CC"/>
    <w:rsid w:val="00402D51"/>
    <w:rsid w:val="00402DE1"/>
    <w:rsid w:val="00403032"/>
    <w:rsid w:val="00403101"/>
    <w:rsid w:val="00403155"/>
    <w:rsid w:val="00403F7A"/>
    <w:rsid w:val="00404672"/>
    <w:rsid w:val="004050DD"/>
    <w:rsid w:val="00405209"/>
    <w:rsid w:val="004054DA"/>
    <w:rsid w:val="00405D5E"/>
    <w:rsid w:val="00405F05"/>
    <w:rsid w:val="00406058"/>
    <w:rsid w:val="00406DF9"/>
    <w:rsid w:val="00406F29"/>
    <w:rsid w:val="00406F8C"/>
    <w:rsid w:val="004077F5"/>
    <w:rsid w:val="0041038C"/>
    <w:rsid w:val="00410A62"/>
    <w:rsid w:val="0041182D"/>
    <w:rsid w:val="00411C98"/>
    <w:rsid w:val="0041284E"/>
    <w:rsid w:val="00413552"/>
    <w:rsid w:val="0041386C"/>
    <w:rsid w:val="00414550"/>
    <w:rsid w:val="0041456D"/>
    <w:rsid w:val="00414A38"/>
    <w:rsid w:val="004154F3"/>
    <w:rsid w:val="004157AA"/>
    <w:rsid w:val="00415FF1"/>
    <w:rsid w:val="00416D0A"/>
    <w:rsid w:val="004173AA"/>
    <w:rsid w:val="00417870"/>
    <w:rsid w:val="00417C4D"/>
    <w:rsid w:val="00421631"/>
    <w:rsid w:val="00421D4B"/>
    <w:rsid w:val="004227A0"/>
    <w:rsid w:val="00422B67"/>
    <w:rsid w:val="00422DA6"/>
    <w:rsid w:val="0042399F"/>
    <w:rsid w:val="004245FC"/>
    <w:rsid w:val="0042517E"/>
    <w:rsid w:val="00425497"/>
    <w:rsid w:val="004255EC"/>
    <w:rsid w:val="00425AB7"/>
    <w:rsid w:val="00426CD0"/>
    <w:rsid w:val="00426F73"/>
    <w:rsid w:val="0042788A"/>
    <w:rsid w:val="00427DA1"/>
    <w:rsid w:val="004317B6"/>
    <w:rsid w:val="00431D6A"/>
    <w:rsid w:val="004323DE"/>
    <w:rsid w:val="004327B0"/>
    <w:rsid w:val="00432B3D"/>
    <w:rsid w:val="00433679"/>
    <w:rsid w:val="00433AB6"/>
    <w:rsid w:val="00434198"/>
    <w:rsid w:val="004344C2"/>
    <w:rsid w:val="0043451A"/>
    <w:rsid w:val="00435558"/>
    <w:rsid w:val="004357F7"/>
    <w:rsid w:val="00436742"/>
    <w:rsid w:val="00436854"/>
    <w:rsid w:val="00436ACD"/>
    <w:rsid w:val="00436B6B"/>
    <w:rsid w:val="00436BFE"/>
    <w:rsid w:val="00436CF8"/>
    <w:rsid w:val="00437A49"/>
    <w:rsid w:val="0044012B"/>
    <w:rsid w:val="00440224"/>
    <w:rsid w:val="00440C85"/>
    <w:rsid w:val="00440CEA"/>
    <w:rsid w:val="00440F27"/>
    <w:rsid w:val="004413F5"/>
    <w:rsid w:val="00441EBD"/>
    <w:rsid w:val="00442C17"/>
    <w:rsid w:val="00444460"/>
    <w:rsid w:val="00444556"/>
    <w:rsid w:val="0044501B"/>
    <w:rsid w:val="004453B3"/>
    <w:rsid w:val="00445722"/>
    <w:rsid w:val="00445DAE"/>
    <w:rsid w:val="004465E1"/>
    <w:rsid w:val="00446963"/>
    <w:rsid w:val="004469E8"/>
    <w:rsid w:val="00447200"/>
    <w:rsid w:val="004477BA"/>
    <w:rsid w:val="00447956"/>
    <w:rsid w:val="00450513"/>
    <w:rsid w:val="004508EA"/>
    <w:rsid w:val="0045113F"/>
    <w:rsid w:val="00451B57"/>
    <w:rsid w:val="00452A5E"/>
    <w:rsid w:val="0045357E"/>
    <w:rsid w:val="00453A0E"/>
    <w:rsid w:val="00455514"/>
    <w:rsid w:val="00455523"/>
    <w:rsid w:val="004565CF"/>
    <w:rsid w:val="00456AA9"/>
    <w:rsid w:val="00457356"/>
    <w:rsid w:val="00457433"/>
    <w:rsid w:val="004601B0"/>
    <w:rsid w:val="0046037D"/>
    <w:rsid w:val="00460626"/>
    <w:rsid w:val="00461AEB"/>
    <w:rsid w:val="00462ACB"/>
    <w:rsid w:val="004630E1"/>
    <w:rsid w:val="00463504"/>
    <w:rsid w:val="00463A12"/>
    <w:rsid w:val="00463E7B"/>
    <w:rsid w:val="00463E83"/>
    <w:rsid w:val="00463F72"/>
    <w:rsid w:val="00464509"/>
    <w:rsid w:val="0046498D"/>
    <w:rsid w:val="004654B9"/>
    <w:rsid w:val="00465B34"/>
    <w:rsid w:val="004663E5"/>
    <w:rsid w:val="00466460"/>
    <w:rsid w:val="004666DC"/>
    <w:rsid w:val="00466AB0"/>
    <w:rsid w:val="00467522"/>
    <w:rsid w:val="00467C18"/>
    <w:rsid w:val="0047110C"/>
    <w:rsid w:val="004713CE"/>
    <w:rsid w:val="004715A3"/>
    <w:rsid w:val="00471B7C"/>
    <w:rsid w:val="00471CC0"/>
    <w:rsid w:val="00472717"/>
    <w:rsid w:val="00472C16"/>
    <w:rsid w:val="0047324F"/>
    <w:rsid w:val="00473294"/>
    <w:rsid w:val="00473B45"/>
    <w:rsid w:val="00473EA8"/>
    <w:rsid w:val="00474486"/>
    <w:rsid w:val="00475938"/>
    <w:rsid w:val="00475E64"/>
    <w:rsid w:val="00476501"/>
    <w:rsid w:val="0047662E"/>
    <w:rsid w:val="004769C4"/>
    <w:rsid w:val="00476B37"/>
    <w:rsid w:val="00477DE8"/>
    <w:rsid w:val="004801E2"/>
    <w:rsid w:val="004802E7"/>
    <w:rsid w:val="00480D28"/>
    <w:rsid w:val="00480E6E"/>
    <w:rsid w:val="004823E1"/>
    <w:rsid w:val="004824B6"/>
    <w:rsid w:val="00482757"/>
    <w:rsid w:val="00482ABC"/>
    <w:rsid w:val="00482D53"/>
    <w:rsid w:val="004834D4"/>
    <w:rsid w:val="004836E9"/>
    <w:rsid w:val="00484313"/>
    <w:rsid w:val="00484807"/>
    <w:rsid w:val="0048498F"/>
    <w:rsid w:val="00484EBB"/>
    <w:rsid w:val="00484FEA"/>
    <w:rsid w:val="00485052"/>
    <w:rsid w:val="00485231"/>
    <w:rsid w:val="00485393"/>
    <w:rsid w:val="004855EF"/>
    <w:rsid w:val="0048634E"/>
    <w:rsid w:val="004863B1"/>
    <w:rsid w:val="00486490"/>
    <w:rsid w:val="0048721C"/>
    <w:rsid w:val="0049002D"/>
    <w:rsid w:val="00490B17"/>
    <w:rsid w:val="00490BF1"/>
    <w:rsid w:val="00491073"/>
    <w:rsid w:val="004915DE"/>
    <w:rsid w:val="00491D47"/>
    <w:rsid w:val="00492DBF"/>
    <w:rsid w:val="004948DF"/>
    <w:rsid w:val="00495EFF"/>
    <w:rsid w:val="004969D7"/>
    <w:rsid w:val="00496BB6"/>
    <w:rsid w:val="00496FB6"/>
    <w:rsid w:val="004970FF"/>
    <w:rsid w:val="004A0245"/>
    <w:rsid w:val="004A072B"/>
    <w:rsid w:val="004A0E2F"/>
    <w:rsid w:val="004A164C"/>
    <w:rsid w:val="004A20A9"/>
    <w:rsid w:val="004A29F1"/>
    <w:rsid w:val="004A2EB8"/>
    <w:rsid w:val="004A34CD"/>
    <w:rsid w:val="004A4E78"/>
    <w:rsid w:val="004A50A8"/>
    <w:rsid w:val="004A5E0B"/>
    <w:rsid w:val="004A7048"/>
    <w:rsid w:val="004A7169"/>
    <w:rsid w:val="004A78A1"/>
    <w:rsid w:val="004B02DE"/>
    <w:rsid w:val="004B1E07"/>
    <w:rsid w:val="004B1F9A"/>
    <w:rsid w:val="004B24E5"/>
    <w:rsid w:val="004B26DC"/>
    <w:rsid w:val="004B31F2"/>
    <w:rsid w:val="004B3390"/>
    <w:rsid w:val="004B36AD"/>
    <w:rsid w:val="004B3B68"/>
    <w:rsid w:val="004B5E62"/>
    <w:rsid w:val="004B60E8"/>
    <w:rsid w:val="004B656E"/>
    <w:rsid w:val="004B667B"/>
    <w:rsid w:val="004C0060"/>
    <w:rsid w:val="004C03D1"/>
    <w:rsid w:val="004C0D36"/>
    <w:rsid w:val="004C0D8E"/>
    <w:rsid w:val="004C3E28"/>
    <w:rsid w:val="004C41B2"/>
    <w:rsid w:val="004C46E3"/>
    <w:rsid w:val="004C49F0"/>
    <w:rsid w:val="004C4ADD"/>
    <w:rsid w:val="004C4D4C"/>
    <w:rsid w:val="004C4F4C"/>
    <w:rsid w:val="004C50A5"/>
    <w:rsid w:val="004C574E"/>
    <w:rsid w:val="004C57E8"/>
    <w:rsid w:val="004C622B"/>
    <w:rsid w:val="004C6B32"/>
    <w:rsid w:val="004C73B0"/>
    <w:rsid w:val="004D050C"/>
    <w:rsid w:val="004D0686"/>
    <w:rsid w:val="004D0BDB"/>
    <w:rsid w:val="004D1C52"/>
    <w:rsid w:val="004D22EF"/>
    <w:rsid w:val="004D2618"/>
    <w:rsid w:val="004D26A8"/>
    <w:rsid w:val="004D29E4"/>
    <w:rsid w:val="004D32EE"/>
    <w:rsid w:val="004D4F6C"/>
    <w:rsid w:val="004D5055"/>
    <w:rsid w:val="004D50BE"/>
    <w:rsid w:val="004D598E"/>
    <w:rsid w:val="004D5B55"/>
    <w:rsid w:val="004D5E1F"/>
    <w:rsid w:val="004D5F34"/>
    <w:rsid w:val="004D5FD8"/>
    <w:rsid w:val="004D60BE"/>
    <w:rsid w:val="004D67F2"/>
    <w:rsid w:val="004D683A"/>
    <w:rsid w:val="004D6B57"/>
    <w:rsid w:val="004D6E8E"/>
    <w:rsid w:val="004D73C7"/>
    <w:rsid w:val="004D765D"/>
    <w:rsid w:val="004D7A52"/>
    <w:rsid w:val="004D7AF9"/>
    <w:rsid w:val="004D7FAA"/>
    <w:rsid w:val="004E1D97"/>
    <w:rsid w:val="004E20A2"/>
    <w:rsid w:val="004E2590"/>
    <w:rsid w:val="004E301C"/>
    <w:rsid w:val="004E3081"/>
    <w:rsid w:val="004E3147"/>
    <w:rsid w:val="004E392E"/>
    <w:rsid w:val="004E3E7E"/>
    <w:rsid w:val="004E47EE"/>
    <w:rsid w:val="004E4A10"/>
    <w:rsid w:val="004E4ACB"/>
    <w:rsid w:val="004E5494"/>
    <w:rsid w:val="004E61DE"/>
    <w:rsid w:val="004E656E"/>
    <w:rsid w:val="004E6903"/>
    <w:rsid w:val="004E6AA2"/>
    <w:rsid w:val="004E6DEC"/>
    <w:rsid w:val="004E75FC"/>
    <w:rsid w:val="004E7942"/>
    <w:rsid w:val="004F02A0"/>
    <w:rsid w:val="004F0493"/>
    <w:rsid w:val="004F0CA1"/>
    <w:rsid w:val="004F2060"/>
    <w:rsid w:val="004F20E4"/>
    <w:rsid w:val="004F2353"/>
    <w:rsid w:val="004F24CC"/>
    <w:rsid w:val="004F2A8F"/>
    <w:rsid w:val="004F48B6"/>
    <w:rsid w:val="004F5226"/>
    <w:rsid w:val="004F558B"/>
    <w:rsid w:val="004F5A2B"/>
    <w:rsid w:val="004F5EEA"/>
    <w:rsid w:val="004F7019"/>
    <w:rsid w:val="004F7738"/>
    <w:rsid w:val="004F7C7A"/>
    <w:rsid w:val="004F7DAA"/>
    <w:rsid w:val="004F7DE3"/>
    <w:rsid w:val="00500077"/>
    <w:rsid w:val="0050067A"/>
    <w:rsid w:val="00500729"/>
    <w:rsid w:val="0050082C"/>
    <w:rsid w:val="00501025"/>
    <w:rsid w:val="0050125D"/>
    <w:rsid w:val="005018F4"/>
    <w:rsid w:val="00501D1A"/>
    <w:rsid w:val="00501F60"/>
    <w:rsid w:val="0050204E"/>
    <w:rsid w:val="005031DB"/>
    <w:rsid w:val="0050393B"/>
    <w:rsid w:val="00503EFB"/>
    <w:rsid w:val="00504662"/>
    <w:rsid w:val="00504912"/>
    <w:rsid w:val="005054CA"/>
    <w:rsid w:val="00506F77"/>
    <w:rsid w:val="005077C4"/>
    <w:rsid w:val="00507FF0"/>
    <w:rsid w:val="00510509"/>
    <w:rsid w:val="00510A81"/>
    <w:rsid w:val="00510BED"/>
    <w:rsid w:val="00510D52"/>
    <w:rsid w:val="00510EB8"/>
    <w:rsid w:val="005113D1"/>
    <w:rsid w:val="00511E23"/>
    <w:rsid w:val="00511EF1"/>
    <w:rsid w:val="0051253D"/>
    <w:rsid w:val="00512BAD"/>
    <w:rsid w:val="00513E50"/>
    <w:rsid w:val="005140F6"/>
    <w:rsid w:val="005149A8"/>
    <w:rsid w:val="00514FCE"/>
    <w:rsid w:val="00515223"/>
    <w:rsid w:val="0051551D"/>
    <w:rsid w:val="00515A2C"/>
    <w:rsid w:val="00515B6C"/>
    <w:rsid w:val="005167F3"/>
    <w:rsid w:val="00516CA1"/>
    <w:rsid w:val="00516D24"/>
    <w:rsid w:val="00516E5D"/>
    <w:rsid w:val="00517DEC"/>
    <w:rsid w:val="00517EDC"/>
    <w:rsid w:val="00520BCF"/>
    <w:rsid w:val="0052118A"/>
    <w:rsid w:val="0052146C"/>
    <w:rsid w:val="0052155A"/>
    <w:rsid w:val="00522F92"/>
    <w:rsid w:val="00523668"/>
    <w:rsid w:val="00524379"/>
    <w:rsid w:val="00524D07"/>
    <w:rsid w:val="00524F65"/>
    <w:rsid w:val="005250E2"/>
    <w:rsid w:val="0052527E"/>
    <w:rsid w:val="00525776"/>
    <w:rsid w:val="005257A9"/>
    <w:rsid w:val="0052602A"/>
    <w:rsid w:val="005264C7"/>
    <w:rsid w:val="005265FD"/>
    <w:rsid w:val="00526B28"/>
    <w:rsid w:val="00526DDF"/>
    <w:rsid w:val="00526F90"/>
    <w:rsid w:val="005271E7"/>
    <w:rsid w:val="00527470"/>
    <w:rsid w:val="00527ABD"/>
    <w:rsid w:val="00530326"/>
    <w:rsid w:val="00531E5E"/>
    <w:rsid w:val="00532B9D"/>
    <w:rsid w:val="00532C90"/>
    <w:rsid w:val="00532D26"/>
    <w:rsid w:val="00532FC2"/>
    <w:rsid w:val="00533193"/>
    <w:rsid w:val="0053612A"/>
    <w:rsid w:val="0053639F"/>
    <w:rsid w:val="0053715F"/>
    <w:rsid w:val="00537679"/>
    <w:rsid w:val="00540102"/>
    <w:rsid w:val="00540365"/>
    <w:rsid w:val="0054062C"/>
    <w:rsid w:val="00540826"/>
    <w:rsid w:val="005408E2"/>
    <w:rsid w:val="00540905"/>
    <w:rsid w:val="00541B6F"/>
    <w:rsid w:val="00541C6F"/>
    <w:rsid w:val="00543021"/>
    <w:rsid w:val="005432D7"/>
    <w:rsid w:val="00543F22"/>
    <w:rsid w:val="0054401D"/>
    <w:rsid w:val="00544599"/>
    <w:rsid w:val="00544D92"/>
    <w:rsid w:val="005475E4"/>
    <w:rsid w:val="005500FC"/>
    <w:rsid w:val="00550CE6"/>
    <w:rsid w:val="00552647"/>
    <w:rsid w:val="00552A6E"/>
    <w:rsid w:val="00552D12"/>
    <w:rsid w:val="005530C3"/>
    <w:rsid w:val="005539C2"/>
    <w:rsid w:val="00553C0F"/>
    <w:rsid w:val="00553DE6"/>
    <w:rsid w:val="00554C2D"/>
    <w:rsid w:val="00555443"/>
    <w:rsid w:val="00556589"/>
    <w:rsid w:val="0055683B"/>
    <w:rsid w:val="00556ABA"/>
    <w:rsid w:val="00556B9D"/>
    <w:rsid w:val="00557107"/>
    <w:rsid w:val="00557155"/>
    <w:rsid w:val="0055730F"/>
    <w:rsid w:val="00557CE1"/>
    <w:rsid w:val="00557FE3"/>
    <w:rsid w:val="00561ACA"/>
    <w:rsid w:val="00561DE0"/>
    <w:rsid w:val="0056203A"/>
    <w:rsid w:val="00562393"/>
    <w:rsid w:val="005637F0"/>
    <w:rsid w:val="00563B44"/>
    <w:rsid w:val="00564932"/>
    <w:rsid w:val="0056494A"/>
    <w:rsid w:val="00564A22"/>
    <w:rsid w:val="00565617"/>
    <w:rsid w:val="005656C3"/>
    <w:rsid w:val="0056616A"/>
    <w:rsid w:val="0056677B"/>
    <w:rsid w:val="0056692D"/>
    <w:rsid w:val="00566F80"/>
    <w:rsid w:val="00567B5E"/>
    <w:rsid w:val="00570AFD"/>
    <w:rsid w:val="00570B16"/>
    <w:rsid w:val="00571343"/>
    <w:rsid w:val="005713ED"/>
    <w:rsid w:val="00571680"/>
    <w:rsid w:val="00571FA0"/>
    <w:rsid w:val="00572189"/>
    <w:rsid w:val="00572B06"/>
    <w:rsid w:val="00572DC4"/>
    <w:rsid w:val="00573942"/>
    <w:rsid w:val="00573DE2"/>
    <w:rsid w:val="00575D2C"/>
    <w:rsid w:val="00576EFD"/>
    <w:rsid w:val="00577053"/>
    <w:rsid w:val="00577157"/>
    <w:rsid w:val="005773AC"/>
    <w:rsid w:val="0057797B"/>
    <w:rsid w:val="00577CF8"/>
    <w:rsid w:val="00580311"/>
    <w:rsid w:val="00580314"/>
    <w:rsid w:val="00580345"/>
    <w:rsid w:val="005805FF"/>
    <w:rsid w:val="00580874"/>
    <w:rsid w:val="00580F88"/>
    <w:rsid w:val="00581879"/>
    <w:rsid w:val="00582135"/>
    <w:rsid w:val="005824A7"/>
    <w:rsid w:val="005828F5"/>
    <w:rsid w:val="0058313B"/>
    <w:rsid w:val="005837AF"/>
    <w:rsid w:val="00583873"/>
    <w:rsid w:val="005839B9"/>
    <w:rsid w:val="005839E5"/>
    <w:rsid w:val="00583C5C"/>
    <w:rsid w:val="00583DA1"/>
    <w:rsid w:val="00583E4A"/>
    <w:rsid w:val="005851B6"/>
    <w:rsid w:val="00585A23"/>
    <w:rsid w:val="00585B1F"/>
    <w:rsid w:val="00585B48"/>
    <w:rsid w:val="00585E5D"/>
    <w:rsid w:val="005862BD"/>
    <w:rsid w:val="00586CA0"/>
    <w:rsid w:val="00587BAA"/>
    <w:rsid w:val="00590877"/>
    <w:rsid w:val="00591A74"/>
    <w:rsid w:val="00592050"/>
    <w:rsid w:val="00592053"/>
    <w:rsid w:val="00592395"/>
    <w:rsid w:val="00592446"/>
    <w:rsid w:val="00592708"/>
    <w:rsid w:val="005928F3"/>
    <w:rsid w:val="00592ABE"/>
    <w:rsid w:val="00592BD1"/>
    <w:rsid w:val="005931B6"/>
    <w:rsid w:val="005936FE"/>
    <w:rsid w:val="00593888"/>
    <w:rsid w:val="005938EF"/>
    <w:rsid w:val="00593AB3"/>
    <w:rsid w:val="00593ACD"/>
    <w:rsid w:val="005948EA"/>
    <w:rsid w:val="00594915"/>
    <w:rsid w:val="00594A9C"/>
    <w:rsid w:val="00594C66"/>
    <w:rsid w:val="005957A2"/>
    <w:rsid w:val="005958CB"/>
    <w:rsid w:val="005960D6"/>
    <w:rsid w:val="0059751E"/>
    <w:rsid w:val="005978D4"/>
    <w:rsid w:val="005A0A43"/>
    <w:rsid w:val="005A13F3"/>
    <w:rsid w:val="005A1469"/>
    <w:rsid w:val="005A2D23"/>
    <w:rsid w:val="005A39CF"/>
    <w:rsid w:val="005A3C3F"/>
    <w:rsid w:val="005A3D24"/>
    <w:rsid w:val="005A4899"/>
    <w:rsid w:val="005A48D1"/>
    <w:rsid w:val="005A4B00"/>
    <w:rsid w:val="005A4BF1"/>
    <w:rsid w:val="005A4D3D"/>
    <w:rsid w:val="005A5B4F"/>
    <w:rsid w:val="005A6E88"/>
    <w:rsid w:val="005A776E"/>
    <w:rsid w:val="005B0A9C"/>
    <w:rsid w:val="005B0F77"/>
    <w:rsid w:val="005B1080"/>
    <w:rsid w:val="005B11B4"/>
    <w:rsid w:val="005B11D1"/>
    <w:rsid w:val="005B1A6F"/>
    <w:rsid w:val="005B1AB7"/>
    <w:rsid w:val="005B1ACA"/>
    <w:rsid w:val="005B1B0D"/>
    <w:rsid w:val="005B2089"/>
    <w:rsid w:val="005B53F7"/>
    <w:rsid w:val="005B5A78"/>
    <w:rsid w:val="005B60B2"/>
    <w:rsid w:val="005B7F29"/>
    <w:rsid w:val="005C0656"/>
    <w:rsid w:val="005C06A5"/>
    <w:rsid w:val="005C0951"/>
    <w:rsid w:val="005C14F3"/>
    <w:rsid w:val="005C1861"/>
    <w:rsid w:val="005C1FED"/>
    <w:rsid w:val="005C213B"/>
    <w:rsid w:val="005C2610"/>
    <w:rsid w:val="005C3AA9"/>
    <w:rsid w:val="005C3BC5"/>
    <w:rsid w:val="005C3FFE"/>
    <w:rsid w:val="005C4A31"/>
    <w:rsid w:val="005C51F5"/>
    <w:rsid w:val="005C593D"/>
    <w:rsid w:val="005C67AA"/>
    <w:rsid w:val="005C6ED5"/>
    <w:rsid w:val="005C7A30"/>
    <w:rsid w:val="005C7BA3"/>
    <w:rsid w:val="005D026E"/>
    <w:rsid w:val="005D08F3"/>
    <w:rsid w:val="005D1065"/>
    <w:rsid w:val="005D1094"/>
    <w:rsid w:val="005D1DFA"/>
    <w:rsid w:val="005D1F35"/>
    <w:rsid w:val="005D2077"/>
    <w:rsid w:val="005D2513"/>
    <w:rsid w:val="005D2794"/>
    <w:rsid w:val="005D3106"/>
    <w:rsid w:val="005D3317"/>
    <w:rsid w:val="005D368F"/>
    <w:rsid w:val="005D428C"/>
    <w:rsid w:val="005D4780"/>
    <w:rsid w:val="005D4A41"/>
    <w:rsid w:val="005D54AF"/>
    <w:rsid w:val="005D626E"/>
    <w:rsid w:val="005D64C4"/>
    <w:rsid w:val="005D694E"/>
    <w:rsid w:val="005D6E66"/>
    <w:rsid w:val="005D787F"/>
    <w:rsid w:val="005E0799"/>
    <w:rsid w:val="005E0FA6"/>
    <w:rsid w:val="005E1305"/>
    <w:rsid w:val="005E185E"/>
    <w:rsid w:val="005E1E53"/>
    <w:rsid w:val="005E2004"/>
    <w:rsid w:val="005E20E9"/>
    <w:rsid w:val="005E220A"/>
    <w:rsid w:val="005E2DCA"/>
    <w:rsid w:val="005E2ECB"/>
    <w:rsid w:val="005E2F2E"/>
    <w:rsid w:val="005E30D8"/>
    <w:rsid w:val="005E32F1"/>
    <w:rsid w:val="005E37A6"/>
    <w:rsid w:val="005E3D53"/>
    <w:rsid w:val="005E3EC6"/>
    <w:rsid w:val="005E3F64"/>
    <w:rsid w:val="005E4108"/>
    <w:rsid w:val="005E4890"/>
    <w:rsid w:val="005E644D"/>
    <w:rsid w:val="005E6694"/>
    <w:rsid w:val="005E6F9F"/>
    <w:rsid w:val="005E7745"/>
    <w:rsid w:val="005E781C"/>
    <w:rsid w:val="005F003A"/>
    <w:rsid w:val="005F056D"/>
    <w:rsid w:val="005F0989"/>
    <w:rsid w:val="005F10EE"/>
    <w:rsid w:val="005F13E3"/>
    <w:rsid w:val="005F17FF"/>
    <w:rsid w:val="005F1BD3"/>
    <w:rsid w:val="005F1C6D"/>
    <w:rsid w:val="005F1E56"/>
    <w:rsid w:val="005F2065"/>
    <w:rsid w:val="005F219D"/>
    <w:rsid w:val="005F23FB"/>
    <w:rsid w:val="005F30A3"/>
    <w:rsid w:val="005F3215"/>
    <w:rsid w:val="005F3B62"/>
    <w:rsid w:val="005F3C1A"/>
    <w:rsid w:val="005F48A8"/>
    <w:rsid w:val="005F4D28"/>
    <w:rsid w:val="005F511C"/>
    <w:rsid w:val="005F51A6"/>
    <w:rsid w:val="005F52B6"/>
    <w:rsid w:val="005F6723"/>
    <w:rsid w:val="005F6B88"/>
    <w:rsid w:val="005F6BC2"/>
    <w:rsid w:val="005F6F4A"/>
    <w:rsid w:val="005F77D1"/>
    <w:rsid w:val="005F793E"/>
    <w:rsid w:val="005F7BE2"/>
    <w:rsid w:val="00600E69"/>
    <w:rsid w:val="00601607"/>
    <w:rsid w:val="00601C17"/>
    <w:rsid w:val="00602105"/>
    <w:rsid w:val="00602301"/>
    <w:rsid w:val="00602535"/>
    <w:rsid w:val="0060268F"/>
    <w:rsid w:val="00603620"/>
    <w:rsid w:val="00603770"/>
    <w:rsid w:val="006037FF"/>
    <w:rsid w:val="00603D39"/>
    <w:rsid w:val="0060430D"/>
    <w:rsid w:val="00604530"/>
    <w:rsid w:val="006052FD"/>
    <w:rsid w:val="006057E4"/>
    <w:rsid w:val="00605B29"/>
    <w:rsid w:val="0060638F"/>
    <w:rsid w:val="00606517"/>
    <w:rsid w:val="00606A94"/>
    <w:rsid w:val="0060725D"/>
    <w:rsid w:val="0061016D"/>
    <w:rsid w:val="00610D43"/>
    <w:rsid w:val="00611459"/>
    <w:rsid w:val="00611B2E"/>
    <w:rsid w:val="00612061"/>
    <w:rsid w:val="006124E2"/>
    <w:rsid w:val="006130FD"/>
    <w:rsid w:val="006134F3"/>
    <w:rsid w:val="00614071"/>
    <w:rsid w:val="00614094"/>
    <w:rsid w:val="006147BF"/>
    <w:rsid w:val="00614801"/>
    <w:rsid w:val="006148C5"/>
    <w:rsid w:val="006166AC"/>
    <w:rsid w:val="00616828"/>
    <w:rsid w:val="00617378"/>
    <w:rsid w:val="00617953"/>
    <w:rsid w:val="00617AE3"/>
    <w:rsid w:val="0062010B"/>
    <w:rsid w:val="00620E67"/>
    <w:rsid w:val="00621573"/>
    <w:rsid w:val="0062160F"/>
    <w:rsid w:val="00621AB3"/>
    <w:rsid w:val="00621AF1"/>
    <w:rsid w:val="006226A3"/>
    <w:rsid w:val="00622C25"/>
    <w:rsid w:val="0062335D"/>
    <w:rsid w:val="00623BDD"/>
    <w:rsid w:val="00624495"/>
    <w:rsid w:val="00624DCD"/>
    <w:rsid w:val="00624E0C"/>
    <w:rsid w:val="00625983"/>
    <w:rsid w:val="006261CF"/>
    <w:rsid w:val="00627CEB"/>
    <w:rsid w:val="00627E63"/>
    <w:rsid w:val="00630023"/>
    <w:rsid w:val="00630036"/>
    <w:rsid w:val="0063074F"/>
    <w:rsid w:val="006307A1"/>
    <w:rsid w:val="00632439"/>
    <w:rsid w:val="0063352A"/>
    <w:rsid w:val="00633BE9"/>
    <w:rsid w:val="0063402C"/>
    <w:rsid w:val="0063403A"/>
    <w:rsid w:val="006340E0"/>
    <w:rsid w:val="00634412"/>
    <w:rsid w:val="00634520"/>
    <w:rsid w:val="006346D1"/>
    <w:rsid w:val="006347F1"/>
    <w:rsid w:val="00634C46"/>
    <w:rsid w:val="00634E4C"/>
    <w:rsid w:val="00634F03"/>
    <w:rsid w:val="0063550D"/>
    <w:rsid w:val="0063556A"/>
    <w:rsid w:val="00635594"/>
    <w:rsid w:val="00635D9F"/>
    <w:rsid w:val="006361D5"/>
    <w:rsid w:val="00636775"/>
    <w:rsid w:val="006378D8"/>
    <w:rsid w:val="00637AC5"/>
    <w:rsid w:val="00640607"/>
    <w:rsid w:val="00640A35"/>
    <w:rsid w:val="00641154"/>
    <w:rsid w:val="00641BD0"/>
    <w:rsid w:val="006423C5"/>
    <w:rsid w:val="0064251C"/>
    <w:rsid w:val="00642AC7"/>
    <w:rsid w:val="00642E8E"/>
    <w:rsid w:val="00642F7F"/>
    <w:rsid w:val="00643440"/>
    <w:rsid w:val="00643707"/>
    <w:rsid w:val="0064377A"/>
    <w:rsid w:val="00644753"/>
    <w:rsid w:val="00644BD4"/>
    <w:rsid w:val="00644E37"/>
    <w:rsid w:val="006451E5"/>
    <w:rsid w:val="0064542F"/>
    <w:rsid w:val="00645F48"/>
    <w:rsid w:val="00646B0B"/>
    <w:rsid w:val="00646EAD"/>
    <w:rsid w:val="0064748E"/>
    <w:rsid w:val="0065048C"/>
    <w:rsid w:val="0065099C"/>
    <w:rsid w:val="00650EA6"/>
    <w:rsid w:val="00651220"/>
    <w:rsid w:val="00651BA6"/>
    <w:rsid w:val="006524EF"/>
    <w:rsid w:val="00652C74"/>
    <w:rsid w:val="006531B1"/>
    <w:rsid w:val="006532E0"/>
    <w:rsid w:val="00653340"/>
    <w:rsid w:val="006536BD"/>
    <w:rsid w:val="00653893"/>
    <w:rsid w:val="00653A20"/>
    <w:rsid w:val="00653A6F"/>
    <w:rsid w:val="00653F11"/>
    <w:rsid w:val="00654333"/>
    <w:rsid w:val="00654615"/>
    <w:rsid w:val="00654DC0"/>
    <w:rsid w:val="00655740"/>
    <w:rsid w:val="00655D11"/>
    <w:rsid w:val="00656BEC"/>
    <w:rsid w:val="00656FA9"/>
    <w:rsid w:val="00657420"/>
    <w:rsid w:val="006574FA"/>
    <w:rsid w:val="00657707"/>
    <w:rsid w:val="006605CE"/>
    <w:rsid w:val="006609DA"/>
    <w:rsid w:val="006613E6"/>
    <w:rsid w:val="00661916"/>
    <w:rsid w:val="00661F59"/>
    <w:rsid w:val="00662914"/>
    <w:rsid w:val="00662E38"/>
    <w:rsid w:val="00663272"/>
    <w:rsid w:val="0066377F"/>
    <w:rsid w:val="006640C5"/>
    <w:rsid w:val="00664DB1"/>
    <w:rsid w:val="006650B8"/>
    <w:rsid w:val="006658A4"/>
    <w:rsid w:val="00666DD0"/>
    <w:rsid w:val="006672EB"/>
    <w:rsid w:val="00667425"/>
    <w:rsid w:val="006678DE"/>
    <w:rsid w:val="00667985"/>
    <w:rsid w:val="00667B86"/>
    <w:rsid w:val="00670287"/>
    <w:rsid w:val="00670433"/>
    <w:rsid w:val="00673173"/>
    <w:rsid w:val="006735ED"/>
    <w:rsid w:val="00673A16"/>
    <w:rsid w:val="00674322"/>
    <w:rsid w:val="006749B1"/>
    <w:rsid w:val="00674FC9"/>
    <w:rsid w:val="00676876"/>
    <w:rsid w:val="00676D11"/>
    <w:rsid w:val="00680786"/>
    <w:rsid w:val="00680C4F"/>
    <w:rsid w:val="0068108E"/>
    <w:rsid w:val="0068195A"/>
    <w:rsid w:val="00681F61"/>
    <w:rsid w:val="00682846"/>
    <w:rsid w:val="00682BDD"/>
    <w:rsid w:val="0068379E"/>
    <w:rsid w:val="006853BD"/>
    <w:rsid w:val="0068631A"/>
    <w:rsid w:val="00686482"/>
    <w:rsid w:val="006864F3"/>
    <w:rsid w:val="00686509"/>
    <w:rsid w:val="00686B51"/>
    <w:rsid w:val="00687225"/>
    <w:rsid w:val="0068755B"/>
    <w:rsid w:val="00687F6E"/>
    <w:rsid w:val="006904A6"/>
    <w:rsid w:val="0069068B"/>
    <w:rsid w:val="00691B24"/>
    <w:rsid w:val="00691D49"/>
    <w:rsid w:val="00692744"/>
    <w:rsid w:val="00692A57"/>
    <w:rsid w:val="00692BA8"/>
    <w:rsid w:val="006931AA"/>
    <w:rsid w:val="006932A7"/>
    <w:rsid w:val="00693531"/>
    <w:rsid w:val="006937A0"/>
    <w:rsid w:val="006938D2"/>
    <w:rsid w:val="006939F7"/>
    <w:rsid w:val="00693C0B"/>
    <w:rsid w:val="00693D03"/>
    <w:rsid w:val="006948D7"/>
    <w:rsid w:val="00695DB2"/>
    <w:rsid w:val="00695EA0"/>
    <w:rsid w:val="00695EBD"/>
    <w:rsid w:val="00696089"/>
    <w:rsid w:val="006963D6"/>
    <w:rsid w:val="00696828"/>
    <w:rsid w:val="00697086"/>
    <w:rsid w:val="006A022E"/>
    <w:rsid w:val="006A07A9"/>
    <w:rsid w:val="006A096F"/>
    <w:rsid w:val="006A0BC0"/>
    <w:rsid w:val="006A0BC4"/>
    <w:rsid w:val="006A0C49"/>
    <w:rsid w:val="006A1D04"/>
    <w:rsid w:val="006A249A"/>
    <w:rsid w:val="006A3570"/>
    <w:rsid w:val="006A3642"/>
    <w:rsid w:val="006A3FFA"/>
    <w:rsid w:val="006A4FA6"/>
    <w:rsid w:val="006A52FD"/>
    <w:rsid w:val="006A55CB"/>
    <w:rsid w:val="006A58CB"/>
    <w:rsid w:val="006A6D32"/>
    <w:rsid w:val="006A6DC6"/>
    <w:rsid w:val="006B02A7"/>
    <w:rsid w:val="006B02D3"/>
    <w:rsid w:val="006B18DC"/>
    <w:rsid w:val="006B191D"/>
    <w:rsid w:val="006B328B"/>
    <w:rsid w:val="006B3378"/>
    <w:rsid w:val="006B34B6"/>
    <w:rsid w:val="006B3636"/>
    <w:rsid w:val="006B3C97"/>
    <w:rsid w:val="006B433F"/>
    <w:rsid w:val="006B4C16"/>
    <w:rsid w:val="006B5460"/>
    <w:rsid w:val="006B5843"/>
    <w:rsid w:val="006B7E64"/>
    <w:rsid w:val="006B7F32"/>
    <w:rsid w:val="006C010B"/>
    <w:rsid w:val="006C09A5"/>
    <w:rsid w:val="006C190B"/>
    <w:rsid w:val="006C1D96"/>
    <w:rsid w:val="006C2301"/>
    <w:rsid w:val="006C2760"/>
    <w:rsid w:val="006C2D09"/>
    <w:rsid w:val="006C2D6F"/>
    <w:rsid w:val="006C2ED3"/>
    <w:rsid w:val="006C377D"/>
    <w:rsid w:val="006C4615"/>
    <w:rsid w:val="006C5BA6"/>
    <w:rsid w:val="006C5C9A"/>
    <w:rsid w:val="006C6EC5"/>
    <w:rsid w:val="006D083B"/>
    <w:rsid w:val="006D0E3D"/>
    <w:rsid w:val="006D1F7A"/>
    <w:rsid w:val="006D2638"/>
    <w:rsid w:val="006D3D76"/>
    <w:rsid w:val="006D3FF2"/>
    <w:rsid w:val="006D4E93"/>
    <w:rsid w:val="006D58EE"/>
    <w:rsid w:val="006D662B"/>
    <w:rsid w:val="006D709D"/>
    <w:rsid w:val="006D788D"/>
    <w:rsid w:val="006D7A9E"/>
    <w:rsid w:val="006E0089"/>
    <w:rsid w:val="006E0809"/>
    <w:rsid w:val="006E0CDF"/>
    <w:rsid w:val="006E0EA2"/>
    <w:rsid w:val="006E1091"/>
    <w:rsid w:val="006E1D40"/>
    <w:rsid w:val="006E24FB"/>
    <w:rsid w:val="006E27A7"/>
    <w:rsid w:val="006E353F"/>
    <w:rsid w:val="006E3609"/>
    <w:rsid w:val="006E3616"/>
    <w:rsid w:val="006E4175"/>
    <w:rsid w:val="006E437B"/>
    <w:rsid w:val="006E5070"/>
    <w:rsid w:val="006E5ABA"/>
    <w:rsid w:val="006E6014"/>
    <w:rsid w:val="006E64BB"/>
    <w:rsid w:val="006E64E0"/>
    <w:rsid w:val="006E6BAD"/>
    <w:rsid w:val="006E6BE8"/>
    <w:rsid w:val="006E6FBB"/>
    <w:rsid w:val="006E70BE"/>
    <w:rsid w:val="006E7153"/>
    <w:rsid w:val="006E7B72"/>
    <w:rsid w:val="006F0310"/>
    <w:rsid w:val="006F078A"/>
    <w:rsid w:val="006F08AA"/>
    <w:rsid w:val="006F0BF1"/>
    <w:rsid w:val="006F0CB0"/>
    <w:rsid w:val="006F0CF3"/>
    <w:rsid w:val="006F1183"/>
    <w:rsid w:val="006F1741"/>
    <w:rsid w:val="006F1D31"/>
    <w:rsid w:val="006F286F"/>
    <w:rsid w:val="006F2B8D"/>
    <w:rsid w:val="006F2E5E"/>
    <w:rsid w:val="006F316E"/>
    <w:rsid w:val="006F3173"/>
    <w:rsid w:val="006F33C3"/>
    <w:rsid w:val="006F3CAF"/>
    <w:rsid w:val="006F42B6"/>
    <w:rsid w:val="006F4F5F"/>
    <w:rsid w:val="006F5D2A"/>
    <w:rsid w:val="006F5E0F"/>
    <w:rsid w:val="006F5F5A"/>
    <w:rsid w:val="006F6289"/>
    <w:rsid w:val="006F6574"/>
    <w:rsid w:val="006F77F7"/>
    <w:rsid w:val="006F7AF3"/>
    <w:rsid w:val="006F7D42"/>
    <w:rsid w:val="007000B7"/>
    <w:rsid w:val="0070072C"/>
    <w:rsid w:val="007007C7"/>
    <w:rsid w:val="00700C65"/>
    <w:rsid w:val="00701D84"/>
    <w:rsid w:val="00702812"/>
    <w:rsid w:val="0070293C"/>
    <w:rsid w:val="007036F4"/>
    <w:rsid w:val="00703E53"/>
    <w:rsid w:val="0070420C"/>
    <w:rsid w:val="00704DE2"/>
    <w:rsid w:val="007053A6"/>
    <w:rsid w:val="0070589D"/>
    <w:rsid w:val="00705EF2"/>
    <w:rsid w:val="00706D01"/>
    <w:rsid w:val="00706ED7"/>
    <w:rsid w:val="0070712D"/>
    <w:rsid w:val="007072B0"/>
    <w:rsid w:val="007075FC"/>
    <w:rsid w:val="0070775A"/>
    <w:rsid w:val="00707A0D"/>
    <w:rsid w:val="00707D67"/>
    <w:rsid w:val="00707D95"/>
    <w:rsid w:val="00710109"/>
    <w:rsid w:val="007105D4"/>
    <w:rsid w:val="007108E7"/>
    <w:rsid w:val="00710C59"/>
    <w:rsid w:val="00710CCF"/>
    <w:rsid w:val="00711173"/>
    <w:rsid w:val="0071248E"/>
    <w:rsid w:val="00712559"/>
    <w:rsid w:val="007140F9"/>
    <w:rsid w:val="0071520B"/>
    <w:rsid w:val="0071525C"/>
    <w:rsid w:val="00715E49"/>
    <w:rsid w:val="00715F3A"/>
    <w:rsid w:val="00715F44"/>
    <w:rsid w:val="007163A8"/>
    <w:rsid w:val="007163F4"/>
    <w:rsid w:val="00716A2F"/>
    <w:rsid w:val="00716CB6"/>
    <w:rsid w:val="00717AB2"/>
    <w:rsid w:val="00717DFD"/>
    <w:rsid w:val="00720143"/>
    <w:rsid w:val="0072056F"/>
    <w:rsid w:val="0072111F"/>
    <w:rsid w:val="0072221A"/>
    <w:rsid w:val="00722A27"/>
    <w:rsid w:val="0072330F"/>
    <w:rsid w:val="00723894"/>
    <w:rsid w:val="00723CD7"/>
    <w:rsid w:val="0072462C"/>
    <w:rsid w:val="00724A9D"/>
    <w:rsid w:val="00724B73"/>
    <w:rsid w:val="0072525C"/>
    <w:rsid w:val="007253AA"/>
    <w:rsid w:val="00725D57"/>
    <w:rsid w:val="00726184"/>
    <w:rsid w:val="007267FC"/>
    <w:rsid w:val="007268F4"/>
    <w:rsid w:val="00726C7B"/>
    <w:rsid w:val="007270E4"/>
    <w:rsid w:val="00727F70"/>
    <w:rsid w:val="0073190A"/>
    <w:rsid w:val="00731C73"/>
    <w:rsid w:val="00731EFB"/>
    <w:rsid w:val="00732AE3"/>
    <w:rsid w:val="00732CB2"/>
    <w:rsid w:val="00732F59"/>
    <w:rsid w:val="0073370B"/>
    <w:rsid w:val="0073412D"/>
    <w:rsid w:val="00734F7F"/>
    <w:rsid w:val="007350EF"/>
    <w:rsid w:val="00735C92"/>
    <w:rsid w:val="00736A8B"/>
    <w:rsid w:val="00737323"/>
    <w:rsid w:val="007373C2"/>
    <w:rsid w:val="007378EC"/>
    <w:rsid w:val="00741358"/>
    <w:rsid w:val="00741CE9"/>
    <w:rsid w:val="007425FA"/>
    <w:rsid w:val="0074264A"/>
    <w:rsid w:val="00742B99"/>
    <w:rsid w:val="00743591"/>
    <w:rsid w:val="00743A83"/>
    <w:rsid w:val="00743FB9"/>
    <w:rsid w:val="0074444F"/>
    <w:rsid w:val="007446E2"/>
    <w:rsid w:val="00744889"/>
    <w:rsid w:val="00744EE3"/>
    <w:rsid w:val="00744F18"/>
    <w:rsid w:val="00745E84"/>
    <w:rsid w:val="00746946"/>
    <w:rsid w:val="007478B3"/>
    <w:rsid w:val="00751A6F"/>
    <w:rsid w:val="00751ACD"/>
    <w:rsid w:val="00751C0B"/>
    <w:rsid w:val="007520B7"/>
    <w:rsid w:val="0075238E"/>
    <w:rsid w:val="00752DAE"/>
    <w:rsid w:val="007534D6"/>
    <w:rsid w:val="00753718"/>
    <w:rsid w:val="0075396C"/>
    <w:rsid w:val="00754691"/>
    <w:rsid w:val="00755234"/>
    <w:rsid w:val="007553BC"/>
    <w:rsid w:val="00755C3E"/>
    <w:rsid w:val="00755D11"/>
    <w:rsid w:val="00755F87"/>
    <w:rsid w:val="007562A4"/>
    <w:rsid w:val="007568F2"/>
    <w:rsid w:val="00756CE4"/>
    <w:rsid w:val="00756E49"/>
    <w:rsid w:val="0075700D"/>
    <w:rsid w:val="0075729E"/>
    <w:rsid w:val="0075779A"/>
    <w:rsid w:val="00760190"/>
    <w:rsid w:val="007604C5"/>
    <w:rsid w:val="00760905"/>
    <w:rsid w:val="007612EE"/>
    <w:rsid w:val="00761471"/>
    <w:rsid w:val="00761821"/>
    <w:rsid w:val="0076187C"/>
    <w:rsid w:val="0076232F"/>
    <w:rsid w:val="00762AF2"/>
    <w:rsid w:val="00762C4F"/>
    <w:rsid w:val="00763604"/>
    <w:rsid w:val="00763C5B"/>
    <w:rsid w:val="00764A1B"/>
    <w:rsid w:val="007652F5"/>
    <w:rsid w:val="00765A0B"/>
    <w:rsid w:val="0076662A"/>
    <w:rsid w:val="00766B16"/>
    <w:rsid w:val="00767297"/>
    <w:rsid w:val="00767B29"/>
    <w:rsid w:val="00767DE8"/>
    <w:rsid w:val="00770066"/>
    <w:rsid w:val="007703FB"/>
    <w:rsid w:val="00770737"/>
    <w:rsid w:val="00770802"/>
    <w:rsid w:val="007709C7"/>
    <w:rsid w:val="0077177B"/>
    <w:rsid w:val="00771945"/>
    <w:rsid w:val="00771F9D"/>
    <w:rsid w:val="00772100"/>
    <w:rsid w:val="0077215A"/>
    <w:rsid w:val="007726C8"/>
    <w:rsid w:val="00772939"/>
    <w:rsid w:val="00772F96"/>
    <w:rsid w:val="00773088"/>
    <w:rsid w:val="00773B06"/>
    <w:rsid w:val="00774B16"/>
    <w:rsid w:val="00774CC3"/>
    <w:rsid w:val="00775969"/>
    <w:rsid w:val="00776A6E"/>
    <w:rsid w:val="00776B64"/>
    <w:rsid w:val="00776C88"/>
    <w:rsid w:val="00777867"/>
    <w:rsid w:val="0077797B"/>
    <w:rsid w:val="00780147"/>
    <w:rsid w:val="007806E3"/>
    <w:rsid w:val="00780725"/>
    <w:rsid w:val="007807D2"/>
    <w:rsid w:val="00780A49"/>
    <w:rsid w:val="00780C8C"/>
    <w:rsid w:val="007815D6"/>
    <w:rsid w:val="0078179B"/>
    <w:rsid w:val="0078196F"/>
    <w:rsid w:val="0078211B"/>
    <w:rsid w:val="007821E0"/>
    <w:rsid w:val="007822BD"/>
    <w:rsid w:val="00783580"/>
    <w:rsid w:val="0078384F"/>
    <w:rsid w:val="00783C02"/>
    <w:rsid w:val="0078442E"/>
    <w:rsid w:val="00785084"/>
    <w:rsid w:val="00785273"/>
    <w:rsid w:val="007860A9"/>
    <w:rsid w:val="007863E2"/>
    <w:rsid w:val="007864C9"/>
    <w:rsid w:val="007869E5"/>
    <w:rsid w:val="00786BC2"/>
    <w:rsid w:val="00786F51"/>
    <w:rsid w:val="0078732D"/>
    <w:rsid w:val="00787BB4"/>
    <w:rsid w:val="007900A6"/>
    <w:rsid w:val="007905ED"/>
    <w:rsid w:val="00790738"/>
    <w:rsid w:val="007907ED"/>
    <w:rsid w:val="00790AE8"/>
    <w:rsid w:val="0079285E"/>
    <w:rsid w:val="00792C01"/>
    <w:rsid w:val="00793065"/>
    <w:rsid w:val="00793540"/>
    <w:rsid w:val="00794012"/>
    <w:rsid w:val="007940F1"/>
    <w:rsid w:val="00794617"/>
    <w:rsid w:val="00794694"/>
    <w:rsid w:val="00795572"/>
    <w:rsid w:val="007958F3"/>
    <w:rsid w:val="00795E22"/>
    <w:rsid w:val="007961DC"/>
    <w:rsid w:val="0079658C"/>
    <w:rsid w:val="0079759D"/>
    <w:rsid w:val="0079775E"/>
    <w:rsid w:val="007977A7"/>
    <w:rsid w:val="007977A8"/>
    <w:rsid w:val="007A0474"/>
    <w:rsid w:val="007A0803"/>
    <w:rsid w:val="007A0809"/>
    <w:rsid w:val="007A0A2A"/>
    <w:rsid w:val="007A0B50"/>
    <w:rsid w:val="007A0D3F"/>
    <w:rsid w:val="007A14AB"/>
    <w:rsid w:val="007A19EE"/>
    <w:rsid w:val="007A1A29"/>
    <w:rsid w:val="007A1A64"/>
    <w:rsid w:val="007A2C57"/>
    <w:rsid w:val="007A323A"/>
    <w:rsid w:val="007A34AF"/>
    <w:rsid w:val="007A3810"/>
    <w:rsid w:val="007A38DB"/>
    <w:rsid w:val="007A3FB4"/>
    <w:rsid w:val="007A406F"/>
    <w:rsid w:val="007A41B8"/>
    <w:rsid w:val="007A4D3C"/>
    <w:rsid w:val="007A6507"/>
    <w:rsid w:val="007A6CE0"/>
    <w:rsid w:val="007A711A"/>
    <w:rsid w:val="007A7517"/>
    <w:rsid w:val="007B091C"/>
    <w:rsid w:val="007B0B3E"/>
    <w:rsid w:val="007B2751"/>
    <w:rsid w:val="007B3398"/>
    <w:rsid w:val="007B42C9"/>
    <w:rsid w:val="007B4DDB"/>
    <w:rsid w:val="007B5C0E"/>
    <w:rsid w:val="007B7E8F"/>
    <w:rsid w:val="007C0866"/>
    <w:rsid w:val="007C0949"/>
    <w:rsid w:val="007C0D82"/>
    <w:rsid w:val="007C0E1D"/>
    <w:rsid w:val="007C179C"/>
    <w:rsid w:val="007C1B06"/>
    <w:rsid w:val="007C1DE3"/>
    <w:rsid w:val="007C1FD1"/>
    <w:rsid w:val="007C293D"/>
    <w:rsid w:val="007C2F4B"/>
    <w:rsid w:val="007C318D"/>
    <w:rsid w:val="007C453A"/>
    <w:rsid w:val="007C4731"/>
    <w:rsid w:val="007C4D33"/>
    <w:rsid w:val="007C50C3"/>
    <w:rsid w:val="007C5AED"/>
    <w:rsid w:val="007C5F61"/>
    <w:rsid w:val="007C64BB"/>
    <w:rsid w:val="007C689A"/>
    <w:rsid w:val="007C78D1"/>
    <w:rsid w:val="007D0A71"/>
    <w:rsid w:val="007D0DFA"/>
    <w:rsid w:val="007D1185"/>
    <w:rsid w:val="007D1543"/>
    <w:rsid w:val="007D1712"/>
    <w:rsid w:val="007D22A0"/>
    <w:rsid w:val="007D2AD0"/>
    <w:rsid w:val="007D4F7F"/>
    <w:rsid w:val="007D51E9"/>
    <w:rsid w:val="007D52E2"/>
    <w:rsid w:val="007D6002"/>
    <w:rsid w:val="007D65AD"/>
    <w:rsid w:val="007D6D83"/>
    <w:rsid w:val="007D73DE"/>
    <w:rsid w:val="007D7E8F"/>
    <w:rsid w:val="007D7FB0"/>
    <w:rsid w:val="007E05D8"/>
    <w:rsid w:val="007E0785"/>
    <w:rsid w:val="007E0CD6"/>
    <w:rsid w:val="007E1ADA"/>
    <w:rsid w:val="007E1F97"/>
    <w:rsid w:val="007E2240"/>
    <w:rsid w:val="007E290E"/>
    <w:rsid w:val="007E32F2"/>
    <w:rsid w:val="007E3304"/>
    <w:rsid w:val="007E4CFB"/>
    <w:rsid w:val="007E54EF"/>
    <w:rsid w:val="007E55AA"/>
    <w:rsid w:val="007E5639"/>
    <w:rsid w:val="007E5C9E"/>
    <w:rsid w:val="007E6DC3"/>
    <w:rsid w:val="007E7502"/>
    <w:rsid w:val="007E7942"/>
    <w:rsid w:val="007E7952"/>
    <w:rsid w:val="007E7971"/>
    <w:rsid w:val="007F0C1E"/>
    <w:rsid w:val="007F10EC"/>
    <w:rsid w:val="007F11E5"/>
    <w:rsid w:val="007F12F4"/>
    <w:rsid w:val="007F2270"/>
    <w:rsid w:val="007F2B4B"/>
    <w:rsid w:val="007F2C23"/>
    <w:rsid w:val="007F32E2"/>
    <w:rsid w:val="007F33ED"/>
    <w:rsid w:val="007F34FF"/>
    <w:rsid w:val="007F4433"/>
    <w:rsid w:val="007F62A4"/>
    <w:rsid w:val="007F65AD"/>
    <w:rsid w:val="007F6AFB"/>
    <w:rsid w:val="007F6BFC"/>
    <w:rsid w:val="007F6CB7"/>
    <w:rsid w:val="007F6D57"/>
    <w:rsid w:val="007F7068"/>
    <w:rsid w:val="007F763A"/>
    <w:rsid w:val="008005E3"/>
    <w:rsid w:val="00800C59"/>
    <w:rsid w:val="0080215C"/>
    <w:rsid w:val="008024AF"/>
    <w:rsid w:val="00802D88"/>
    <w:rsid w:val="00803369"/>
    <w:rsid w:val="008035F9"/>
    <w:rsid w:val="008037AE"/>
    <w:rsid w:val="00803A54"/>
    <w:rsid w:val="008056FB"/>
    <w:rsid w:val="0080591B"/>
    <w:rsid w:val="00805946"/>
    <w:rsid w:val="00806135"/>
    <w:rsid w:val="00806742"/>
    <w:rsid w:val="008074A9"/>
    <w:rsid w:val="008077C8"/>
    <w:rsid w:val="008105A5"/>
    <w:rsid w:val="00810A3D"/>
    <w:rsid w:val="00810B55"/>
    <w:rsid w:val="00810BDA"/>
    <w:rsid w:val="008116F9"/>
    <w:rsid w:val="008118A5"/>
    <w:rsid w:val="00811DFE"/>
    <w:rsid w:val="008122B6"/>
    <w:rsid w:val="00812552"/>
    <w:rsid w:val="008151FB"/>
    <w:rsid w:val="00815743"/>
    <w:rsid w:val="00815D2F"/>
    <w:rsid w:val="00816A23"/>
    <w:rsid w:val="00817C8B"/>
    <w:rsid w:val="00820DDA"/>
    <w:rsid w:val="00821389"/>
    <w:rsid w:val="00822AA1"/>
    <w:rsid w:val="00822E4A"/>
    <w:rsid w:val="0082389A"/>
    <w:rsid w:val="00823DBA"/>
    <w:rsid w:val="00823EC6"/>
    <w:rsid w:val="0082451B"/>
    <w:rsid w:val="0082581C"/>
    <w:rsid w:val="00825A17"/>
    <w:rsid w:val="00825A2F"/>
    <w:rsid w:val="0082625D"/>
    <w:rsid w:val="008269CF"/>
    <w:rsid w:val="0082705C"/>
    <w:rsid w:val="00830C1F"/>
    <w:rsid w:val="0083136C"/>
    <w:rsid w:val="008317DC"/>
    <w:rsid w:val="00831939"/>
    <w:rsid w:val="0083330F"/>
    <w:rsid w:val="00833584"/>
    <w:rsid w:val="0083369D"/>
    <w:rsid w:val="008339AD"/>
    <w:rsid w:val="00834265"/>
    <w:rsid w:val="0083436F"/>
    <w:rsid w:val="008343FD"/>
    <w:rsid w:val="0083463A"/>
    <w:rsid w:val="00834D16"/>
    <w:rsid w:val="00834EBB"/>
    <w:rsid w:val="008356A9"/>
    <w:rsid w:val="008361A5"/>
    <w:rsid w:val="00836339"/>
    <w:rsid w:val="00836480"/>
    <w:rsid w:val="008377CC"/>
    <w:rsid w:val="008402C8"/>
    <w:rsid w:val="00841455"/>
    <w:rsid w:val="00841487"/>
    <w:rsid w:val="008415C8"/>
    <w:rsid w:val="00841EEB"/>
    <w:rsid w:val="00842331"/>
    <w:rsid w:val="00842627"/>
    <w:rsid w:val="00842D5D"/>
    <w:rsid w:val="00842FC3"/>
    <w:rsid w:val="008444B4"/>
    <w:rsid w:val="008447F5"/>
    <w:rsid w:val="00844DD2"/>
    <w:rsid w:val="00845837"/>
    <w:rsid w:val="00845B8A"/>
    <w:rsid w:val="00845E36"/>
    <w:rsid w:val="008462DE"/>
    <w:rsid w:val="00846799"/>
    <w:rsid w:val="00847343"/>
    <w:rsid w:val="00847600"/>
    <w:rsid w:val="00847BFA"/>
    <w:rsid w:val="00847C5C"/>
    <w:rsid w:val="00847FDC"/>
    <w:rsid w:val="00850364"/>
    <w:rsid w:val="00850529"/>
    <w:rsid w:val="008506F5"/>
    <w:rsid w:val="00851091"/>
    <w:rsid w:val="00851B03"/>
    <w:rsid w:val="00852015"/>
    <w:rsid w:val="00852686"/>
    <w:rsid w:val="0085269A"/>
    <w:rsid w:val="00852DD3"/>
    <w:rsid w:val="00853267"/>
    <w:rsid w:val="008539EA"/>
    <w:rsid w:val="00853A1E"/>
    <w:rsid w:val="00854041"/>
    <w:rsid w:val="00854069"/>
    <w:rsid w:val="008540DA"/>
    <w:rsid w:val="00854D49"/>
    <w:rsid w:val="00855865"/>
    <w:rsid w:val="008573AF"/>
    <w:rsid w:val="00857830"/>
    <w:rsid w:val="008579F7"/>
    <w:rsid w:val="00857A19"/>
    <w:rsid w:val="00857A60"/>
    <w:rsid w:val="00860722"/>
    <w:rsid w:val="0086092C"/>
    <w:rsid w:val="008610AC"/>
    <w:rsid w:val="00861D74"/>
    <w:rsid w:val="00862638"/>
    <w:rsid w:val="00862AA9"/>
    <w:rsid w:val="00863309"/>
    <w:rsid w:val="00863A06"/>
    <w:rsid w:val="00863D5A"/>
    <w:rsid w:val="008643A2"/>
    <w:rsid w:val="00864CAE"/>
    <w:rsid w:val="00864EBA"/>
    <w:rsid w:val="008656FF"/>
    <w:rsid w:val="00865CDE"/>
    <w:rsid w:val="00865F04"/>
    <w:rsid w:val="00866115"/>
    <w:rsid w:val="00866C90"/>
    <w:rsid w:val="00866CE5"/>
    <w:rsid w:val="008674C5"/>
    <w:rsid w:val="00867DF0"/>
    <w:rsid w:val="008709CA"/>
    <w:rsid w:val="008713AD"/>
    <w:rsid w:val="00871F00"/>
    <w:rsid w:val="00872366"/>
    <w:rsid w:val="00872752"/>
    <w:rsid w:val="0087297F"/>
    <w:rsid w:val="00873348"/>
    <w:rsid w:val="00873F1D"/>
    <w:rsid w:val="00874334"/>
    <w:rsid w:val="008744AE"/>
    <w:rsid w:val="00874ADE"/>
    <w:rsid w:val="00874F07"/>
    <w:rsid w:val="00875E40"/>
    <w:rsid w:val="00875FBB"/>
    <w:rsid w:val="008769E9"/>
    <w:rsid w:val="00876AAB"/>
    <w:rsid w:val="00876E07"/>
    <w:rsid w:val="00876E08"/>
    <w:rsid w:val="00876F34"/>
    <w:rsid w:val="00877330"/>
    <w:rsid w:val="00877B77"/>
    <w:rsid w:val="008802A3"/>
    <w:rsid w:val="00880BE5"/>
    <w:rsid w:val="0088192D"/>
    <w:rsid w:val="00881E34"/>
    <w:rsid w:val="00881F05"/>
    <w:rsid w:val="0088273E"/>
    <w:rsid w:val="00882A41"/>
    <w:rsid w:val="0088317C"/>
    <w:rsid w:val="008845E2"/>
    <w:rsid w:val="008849C5"/>
    <w:rsid w:val="0088554A"/>
    <w:rsid w:val="00885C1C"/>
    <w:rsid w:val="0088602C"/>
    <w:rsid w:val="00887289"/>
    <w:rsid w:val="00887383"/>
    <w:rsid w:val="0089031A"/>
    <w:rsid w:val="00890C37"/>
    <w:rsid w:val="0089133D"/>
    <w:rsid w:val="00891C31"/>
    <w:rsid w:val="008921E7"/>
    <w:rsid w:val="008925F1"/>
    <w:rsid w:val="00892B91"/>
    <w:rsid w:val="008930C4"/>
    <w:rsid w:val="0089351A"/>
    <w:rsid w:val="00893E37"/>
    <w:rsid w:val="00895D21"/>
    <w:rsid w:val="00895F7D"/>
    <w:rsid w:val="00897886"/>
    <w:rsid w:val="00897A1D"/>
    <w:rsid w:val="00897A24"/>
    <w:rsid w:val="00897EE1"/>
    <w:rsid w:val="008A08F9"/>
    <w:rsid w:val="008A0CD9"/>
    <w:rsid w:val="008A0CDC"/>
    <w:rsid w:val="008A11B5"/>
    <w:rsid w:val="008A15ED"/>
    <w:rsid w:val="008A3820"/>
    <w:rsid w:val="008A3C34"/>
    <w:rsid w:val="008A42B1"/>
    <w:rsid w:val="008A4BEA"/>
    <w:rsid w:val="008A5154"/>
    <w:rsid w:val="008A5ECA"/>
    <w:rsid w:val="008A6742"/>
    <w:rsid w:val="008A6867"/>
    <w:rsid w:val="008A71C1"/>
    <w:rsid w:val="008A7433"/>
    <w:rsid w:val="008A75E0"/>
    <w:rsid w:val="008A7EEC"/>
    <w:rsid w:val="008B035D"/>
    <w:rsid w:val="008B18BA"/>
    <w:rsid w:val="008B1FBE"/>
    <w:rsid w:val="008B2563"/>
    <w:rsid w:val="008B2957"/>
    <w:rsid w:val="008B3586"/>
    <w:rsid w:val="008B4530"/>
    <w:rsid w:val="008B45B0"/>
    <w:rsid w:val="008B4791"/>
    <w:rsid w:val="008B4CC8"/>
    <w:rsid w:val="008B58C0"/>
    <w:rsid w:val="008B6B7E"/>
    <w:rsid w:val="008B717D"/>
    <w:rsid w:val="008B7475"/>
    <w:rsid w:val="008B78CC"/>
    <w:rsid w:val="008B7E42"/>
    <w:rsid w:val="008C0405"/>
    <w:rsid w:val="008C0F1B"/>
    <w:rsid w:val="008C1A1F"/>
    <w:rsid w:val="008C1A22"/>
    <w:rsid w:val="008C1BE8"/>
    <w:rsid w:val="008C21C3"/>
    <w:rsid w:val="008C2EEA"/>
    <w:rsid w:val="008C3BC1"/>
    <w:rsid w:val="008C4338"/>
    <w:rsid w:val="008C4B3D"/>
    <w:rsid w:val="008C53A7"/>
    <w:rsid w:val="008C56FF"/>
    <w:rsid w:val="008C5A3D"/>
    <w:rsid w:val="008C641E"/>
    <w:rsid w:val="008C73BC"/>
    <w:rsid w:val="008C75A8"/>
    <w:rsid w:val="008C7A10"/>
    <w:rsid w:val="008D0C12"/>
    <w:rsid w:val="008D0DFE"/>
    <w:rsid w:val="008D0E2F"/>
    <w:rsid w:val="008D1954"/>
    <w:rsid w:val="008D1AC8"/>
    <w:rsid w:val="008D1B63"/>
    <w:rsid w:val="008D26B0"/>
    <w:rsid w:val="008D2992"/>
    <w:rsid w:val="008D29B7"/>
    <w:rsid w:val="008D2E2F"/>
    <w:rsid w:val="008D2E4D"/>
    <w:rsid w:val="008D2F40"/>
    <w:rsid w:val="008D2F55"/>
    <w:rsid w:val="008D349A"/>
    <w:rsid w:val="008D4289"/>
    <w:rsid w:val="008D46FC"/>
    <w:rsid w:val="008D54F7"/>
    <w:rsid w:val="008D5CBD"/>
    <w:rsid w:val="008D663C"/>
    <w:rsid w:val="008D67CC"/>
    <w:rsid w:val="008D72B9"/>
    <w:rsid w:val="008D7496"/>
    <w:rsid w:val="008D7836"/>
    <w:rsid w:val="008D7C91"/>
    <w:rsid w:val="008E00F1"/>
    <w:rsid w:val="008E05EC"/>
    <w:rsid w:val="008E0715"/>
    <w:rsid w:val="008E0960"/>
    <w:rsid w:val="008E1564"/>
    <w:rsid w:val="008E1886"/>
    <w:rsid w:val="008E1B2F"/>
    <w:rsid w:val="008E2C7A"/>
    <w:rsid w:val="008E3D51"/>
    <w:rsid w:val="008E4883"/>
    <w:rsid w:val="008E4A3F"/>
    <w:rsid w:val="008E4E91"/>
    <w:rsid w:val="008E5164"/>
    <w:rsid w:val="008E6313"/>
    <w:rsid w:val="008E6C56"/>
    <w:rsid w:val="008E7AB6"/>
    <w:rsid w:val="008E7DA2"/>
    <w:rsid w:val="008F00E0"/>
    <w:rsid w:val="008F133A"/>
    <w:rsid w:val="008F2B3C"/>
    <w:rsid w:val="008F2B4A"/>
    <w:rsid w:val="008F3B79"/>
    <w:rsid w:val="008F3DEC"/>
    <w:rsid w:val="008F4190"/>
    <w:rsid w:val="008F481A"/>
    <w:rsid w:val="008F4ED8"/>
    <w:rsid w:val="008F63D9"/>
    <w:rsid w:val="008F689A"/>
    <w:rsid w:val="009000E4"/>
    <w:rsid w:val="0090015A"/>
    <w:rsid w:val="0090072C"/>
    <w:rsid w:val="00900CA3"/>
    <w:rsid w:val="009011AA"/>
    <w:rsid w:val="009011E2"/>
    <w:rsid w:val="00901659"/>
    <w:rsid w:val="009017C1"/>
    <w:rsid w:val="009017C7"/>
    <w:rsid w:val="00902AC0"/>
    <w:rsid w:val="00903373"/>
    <w:rsid w:val="00903AB1"/>
    <w:rsid w:val="00903C8A"/>
    <w:rsid w:val="0090401A"/>
    <w:rsid w:val="0090457F"/>
    <w:rsid w:val="009048CE"/>
    <w:rsid w:val="00904B12"/>
    <w:rsid w:val="00904F95"/>
    <w:rsid w:val="009053AE"/>
    <w:rsid w:val="00907118"/>
    <w:rsid w:val="00910701"/>
    <w:rsid w:val="00911837"/>
    <w:rsid w:val="00911DBF"/>
    <w:rsid w:val="00913070"/>
    <w:rsid w:val="009132C6"/>
    <w:rsid w:val="009133B9"/>
    <w:rsid w:val="00913835"/>
    <w:rsid w:val="009141D6"/>
    <w:rsid w:val="009142DF"/>
    <w:rsid w:val="00914AF5"/>
    <w:rsid w:val="00915954"/>
    <w:rsid w:val="0091635A"/>
    <w:rsid w:val="0091652A"/>
    <w:rsid w:val="00916846"/>
    <w:rsid w:val="00916E69"/>
    <w:rsid w:val="0091782D"/>
    <w:rsid w:val="00917A80"/>
    <w:rsid w:val="00917BD3"/>
    <w:rsid w:val="00917DBE"/>
    <w:rsid w:val="009200CB"/>
    <w:rsid w:val="00920986"/>
    <w:rsid w:val="009212A8"/>
    <w:rsid w:val="00921411"/>
    <w:rsid w:val="0092159F"/>
    <w:rsid w:val="009216B5"/>
    <w:rsid w:val="00921AAA"/>
    <w:rsid w:val="00921E97"/>
    <w:rsid w:val="00922017"/>
    <w:rsid w:val="009226E8"/>
    <w:rsid w:val="00923199"/>
    <w:rsid w:val="00923530"/>
    <w:rsid w:val="00923D52"/>
    <w:rsid w:val="00924230"/>
    <w:rsid w:val="00924886"/>
    <w:rsid w:val="00924B2D"/>
    <w:rsid w:val="00924C48"/>
    <w:rsid w:val="00924EBF"/>
    <w:rsid w:val="0092505A"/>
    <w:rsid w:val="00925E58"/>
    <w:rsid w:val="00925E8F"/>
    <w:rsid w:val="00926010"/>
    <w:rsid w:val="009262FD"/>
    <w:rsid w:val="0092656D"/>
    <w:rsid w:val="0092727A"/>
    <w:rsid w:val="0092790A"/>
    <w:rsid w:val="00930538"/>
    <w:rsid w:val="00930DA7"/>
    <w:rsid w:val="009312A1"/>
    <w:rsid w:val="0093174D"/>
    <w:rsid w:val="00931C12"/>
    <w:rsid w:val="0093233D"/>
    <w:rsid w:val="00932855"/>
    <w:rsid w:val="009328BC"/>
    <w:rsid w:val="00932F12"/>
    <w:rsid w:val="00933117"/>
    <w:rsid w:val="009331E2"/>
    <w:rsid w:val="009332AB"/>
    <w:rsid w:val="0093346C"/>
    <w:rsid w:val="009334E5"/>
    <w:rsid w:val="009335F4"/>
    <w:rsid w:val="00933E8E"/>
    <w:rsid w:val="00934713"/>
    <w:rsid w:val="00935443"/>
    <w:rsid w:val="00935A00"/>
    <w:rsid w:val="00936020"/>
    <w:rsid w:val="00936352"/>
    <w:rsid w:val="00936CB0"/>
    <w:rsid w:val="00936FF5"/>
    <w:rsid w:val="009370E4"/>
    <w:rsid w:val="009376DD"/>
    <w:rsid w:val="009378E0"/>
    <w:rsid w:val="00940478"/>
    <w:rsid w:val="0094072B"/>
    <w:rsid w:val="009409ED"/>
    <w:rsid w:val="009415EC"/>
    <w:rsid w:val="00941A12"/>
    <w:rsid w:val="00941E76"/>
    <w:rsid w:val="0094223B"/>
    <w:rsid w:val="00942312"/>
    <w:rsid w:val="009432C1"/>
    <w:rsid w:val="00944ABE"/>
    <w:rsid w:val="00944DC6"/>
    <w:rsid w:val="00945757"/>
    <w:rsid w:val="00945C2C"/>
    <w:rsid w:val="00946804"/>
    <w:rsid w:val="00946AF6"/>
    <w:rsid w:val="00946DC6"/>
    <w:rsid w:val="00947490"/>
    <w:rsid w:val="00947EFE"/>
    <w:rsid w:val="0095174A"/>
    <w:rsid w:val="0095188E"/>
    <w:rsid w:val="00952346"/>
    <w:rsid w:val="00952AD9"/>
    <w:rsid w:val="009533DC"/>
    <w:rsid w:val="009541B5"/>
    <w:rsid w:val="00954408"/>
    <w:rsid w:val="00954813"/>
    <w:rsid w:val="00954B3C"/>
    <w:rsid w:val="00954CE8"/>
    <w:rsid w:val="009557C4"/>
    <w:rsid w:val="009569B1"/>
    <w:rsid w:val="009571AE"/>
    <w:rsid w:val="00957A6E"/>
    <w:rsid w:val="00957F5C"/>
    <w:rsid w:val="00957FE1"/>
    <w:rsid w:val="009603B5"/>
    <w:rsid w:val="009603B7"/>
    <w:rsid w:val="009609CA"/>
    <w:rsid w:val="009610D3"/>
    <w:rsid w:val="00961A98"/>
    <w:rsid w:val="00961FD6"/>
    <w:rsid w:val="00962C45"/>
    <w:rsid w:val="00963181"/>
    <w:rsid w:val="00964055"/>
    <w:rsid w:val="009648F4"/>
    <w:rsid w:val="00964BE1"/>
    <w:rsid w:val="00964D29"/>
    <w:rsid w:val="00965695"/>
    <w:rsid w:val="00965AAF"/>
    <w:rsid w:val="00966B4C"/>
    <w:rsid w:val="00966F1F"/>
    <w:rsid w:val="00967A47"/>
    <w:rsid w:val="00970A0C"/>
    <w:rsid w:val="0097145B"/>
    <w:rsid w:val="00971778"/>
    <w:rsid w:val="00971975"/>
    <w:rsid w:val="00971C15"/>
    <w:rsid w:val="00971D5F"/>
    <w:rsid w:val="009721B3"/>
    <w:rsid w:val="0097236D"/>
    <w:rsid w:val="00972C02"/>
    <w:rsid w:val="00973051"/>
    <w:rsid w:val="009732C1"/>
    <w:rsid w:val="009743D8"/>
    <w:rsid w:val="00974CC6"/>
    <w:rsid w:val="00975113"/>
    <w:rsid w:val="00975790"/>
    <w:rsid w:val="009759AD"/>
    <w:rsid w:val="00975BAE"/>
    <w:rsid w:val="00975C1D"/>
    <w:rsid w:val="00975FC4"/>
    <w:rsid w:val="009760EC"/>
    <w:rsid w:val="009763DA"/>
    <w:rsid w:val="00976D7D"/>
    <w:rsid w:val="00976E97"/>
    <w:rsid w:val="009771D4"/>
    <w:rsid w:val="009777C5"/>
    <w:rsid w:val="00977ECA"/>
    <w:rsid w:val="00980091"/>
    <w:rsid w:val="009807CB"/>
    <w:rsid w:val="00980E0B"/>
    <w:rsid w:val="00981788"/>
    <w:rsid w:val="00982CCB"/>
    <w:rsid w:val="00982DE5"/>
    <w:rsid w:val="00982F25"/>
    <w:rsid w:val="00983262"/>
    <w:rsid w:val="009834A0"/>
    <w:rsid w:val="0098526E"/>
    <w:rsid w:val="00985A9F"/>
    <w:rsid w:val="00985E9B"/>
    <w:rsid w:val="00986168"/>
    <w:rsid w:val="0098665A"/>
    <w:rsid w:val="009866E1"/>
    <w:rsid w:val="0098725B"/>
    <w:rsid w:val="00987B3D"/>
    <w:rsid w:val="00987BF7"/>
    <w:rsid w:val="0099006F"/>
    <w:rsid w:val="009906A7"/>
    <w:rsid w:val="009906D2"/>
    <w:rsid w:val="009906D5"/>
    <w:rsid w:val="00990E7D"/>
    <w:rsid w:val="00991057"/>
    <w:rsid w:val="009911B4"/>
    <w:rsid w:val="009911D0"/>
    <w:rsid w:val="00992027"/>
    <w:rsid w:val="00992296"/>
    <w:rsid w:val="009926FA"/>
    <w:rsid w:val="009927EA"/>
    <w:rsid w:val="009938FB"/>
    <w:rsid w:val="00993A14"/>
    <w:rsid w:val="00993F7E"/>
    <w:rsid w:val="00994920"/>
    <w:rsid w:val="009953B0"/>
    <w:rsid w:val="00995812"/>
    <w:rsid w:val="009962B0"/>
    <w:rsid w:val="00996314"/>
    <w:rsid w:val="00996468"/>
    <w:rsid w:val="00996B4B"/>
    <w:rsid w:val="00996D72"/>
    <w:rsid w:val="009974E2"/>
    <w:rsid w:val="0099766E"/>
    <w:rsid w:val="009A04BD"/>
    <w:rsid w:val="009A06F0"/>
    <w:rsid w:val="009A0764"/>
    <w:rsid w:val="009A12DE"/>
    <w:rsid w:val="009A1760"/>
    <w:rsid w:val="009A1B06"/>
    <w:rsid w:val="009A1DCC"/>
    <w:rsid w:val="009A30B9"/>
    <w:rsid w:val="009A3596"/>
    <w:rsid w:val="009A421D"/>
    <w:rsid w:val="009A5723"/>
    <w:rsid w:val="009A5893"/>
    <w:rsid w:val="009A5BEE"/>
    <w:rsid w:val="009A5FA2"/>
    <w:rsid w:val="009A6D6B"/>
    <w:rsid w:val="009A6E24"/>
    <w:rsid w:val="009A70A2"/>
    <w:rsid w:val="009B02DD"/>
    <w:rsid w:val="009B040C"/>
    <w:rsid w:val="009B04C3"/>
    <w:rsid w:val="009B07EF"/>
    <w:rsid w:val="009B0DA5"/>
    <w:rsid w:val="009B1B2F"/>
    <w:rsid w:val="009B29B4"/>
    <w:rsid w:val="009B31F0"/>
    <w:rsid w:val="009B371E"/>
    <w:rsid w:val="009B41D8"/>
    <w:rsid w:val="009B46A7"/>
    <w:rsid w:val="009B4D6C"/>
    <w:rsid w:val="009B6058"/>
    <w:rsid w:val="009B62EE"/>
    <w:rsid w:val="009B6463"/>
    <w:rsid w:val="009B67D1"/>
    <w:rsid w:val="009B7065"/>
    <w:rsid w:val="009B77B7"/>
    <w:rsid w:val="009B7A9E"/>
    <w:rsid w:val="009B7EAB"/>
    <w:rsid w:val="009C146C"/>
    <w:rsid w:val="009C1ADA"/>
    <w:rsid w:val="009C21BB"/>
    <w:rsid w:val="009C2B2A"/>
    <w:rsid w:val="009C33E8"/>
    <w:rsid w:val="009C35AD"/>
    <w:rsid w:val="009C39C9"/>
    <w:rsid w:val="009C417B"/>
    <w:rsid w:val="009C4568"/>
    <w:rsid w:val="009C61E3"/>
    <w:rsid w:val="009C6564"/>
    <w:rsid w:val="009C67CB"/>
    <w:rsid w:val="009C6B61"/>
    <w:rsid w:val="009C710E"/>
    <w:rsid w:val="009D1398"/>
    <w:rsid w:val="009D15E5"/>
    <w:rsid w:val="009D1798"/>
    <w:rsid w:val="009D1F3C"/>
    <w:rsid w:val="009D2207"/>
    <w:rsid w:val="009D250F"/>
    <w:rsid w:val="009D2539"/>
    <w:rsid w:val="009D2748"/>
    <w:rsid w:val="009D2A48"/>
    <w:rsid w:val="009D2B9E"/>
    <w:rsid w:val="009D2EBF"/>
    <w:rsid w:val="009D3209"/>
    <w:rsid w:val="009D3445"/>
    <w:rsid w:val="009D3C95"/>
    <w:rsid w:val="009D4945"/>
    <w:rsid w:val="009D4EF0"/>
    <w:rsid w:val="009D4FC6"/>
    <w:rsid w:val="009D603F"/>
    <w:rsid w:val="009D64DE"/>
    <w:rsid w:val="009D73CC"/>
    <w:rsid w:val="009D77E4"/>
    <w:rsid w:val="009E0164"/>
    <w:rsid w:val="009E032B"/>
    <w:rsid w:val="009E0E4A"/>
    <w:rsid w:val="009E103A"/>
    <w:rsid w:val="009E1293"/>
    <w:rsid w:val="009E1497"/>
    <w:rsid w:val="009E21A7"/>
    <w:rsid w:val="009E2DF0"/>
    <w:rsid w:val="009E37D0"/>
    <w:rsid w:val="009E5145"/>
    <w:rsid w:val="009E5512"/>
    <w:rsid w:val="009E6284"/>
    <w:rsid w:val="009E695B"/>
    <w:rsid w:val="009E7BF9"/>
    <w:rsid w:val="009E7C1F"/>
    <w:rsid w:val="009F0227"/>
    <w:rsid w:val="009F1802"/>
    <w:rsid w:val="009F19AA"/>
    <w:rsid w:val="009F19FB"/>
    <w:rsid w:val="009F20E2"/>
    <w:rsid w:val="009F20FF"/>
    <w:rsid w:val="009F2AEC"/>
    <w:rsid w:val="009F2B9A"/>
    <w:rsid w:val="009F2DF2"/>
    <w:rsid w:val="009F368E"/>
    <w:rsid w:val="009F39D8"/>
    <w:rsid w:val="009F41A4"/>
    <w:rsid w:val="009F48AA"/>
    <w:rsid w:val="009F4B7E"/>
    <w:rsid w:val="009F4BBC"/>
    <w:rsid w:val="009F4C83"/>
    <w:rsid w:val="009F4D60"/>
    <w:rsid w:val="009F4DA8"/>
    <w:rsid w:val="009F4F76"/>
    <w:rsid w:val="009F52D3"/>
    <w:rsid w:val="009F5ADF"/>
    <w:rsid w:val="009F6D32"/>
    <w:rsid w:val="009F6E4C"/>
    <w:rsid w:val="009F7BA5"/>
    <w:rsid w:val="00A00601"/>
    <w:rsid w:val="00A0081E"/>
    <w:rsid w:val="00A02277"/>
    <w:rsid w:val="00A02BA8"/>
    <w:rsid w:val="00A036FA"/>
    <w:rsid w:val="00A03D32"/>
    <w:rsid w:val="00A03F53"/>
    <w:rsid w:val="00A040CE"/>
    <w:rsid w:val="00A04322"/>
    <w:rsid w:val="00A05307"/>
    <w:rsid w:val="00A05489"/>
    <w:rsid w:val="00A05D9B"/>
    <w:rsid w:val="00A05E2C"/>
    <w:rsid w:val="00A06047"/>
    <w:rsid w:val="00A0670E"/>
    <w:rsid w:val="00A075F6"/>
    <w:rsid w:val="00A07FB6"/>
    <w:rsid w:val="00A10ACB"/>
    <w:rsid w:val="00A10BA4"/>
    <w:rsid w:val="00A10E9C"/>
    <w:rsid w:val="00A1121F"/>
    <w:rsid w:val="00A119CE"/>
    <w:rsid w:val="00A11A4F"/>
    <w:rsid w:val="00A11A63"/>
    <w:rsid w:val="00A126A9"/>
    <w:rsid w:val="00A12816"/>
    <w:rsid w:val="00A13265"/>
    <w:rsid w:val="00A13F34"/>
    <w:rsid w:val="00A14788"/>
    <w:rsid w:val="00A14C90"/>
    <w:rsid w:val="00A15A52"/>
    <w:rsid w:val="00A15F0A"/>
    <w:rsid w:val="00A16A0C"/>
    <w:rsid w:val="00A16AD0"/>
    <w:rsid w:val="00A179DA"/>
    <w:rsid w:val="00A2156B"/>
    <w:rsid w:val="00A21E2A"/>
    <w:rsid w:val="00A22055"/>
    <w:rsid w:val="00A2252F"/>
    <w:rsid w:val="00A22860"/>
    <w:rsid w:val="00A22F75"/>
    <w:rsid w:val="00A22FAF"/>
    <w:rsid w:val="00A2345F"/>
    <w:rsid w:val="00A23536"/>
    <w:rsid w:val="00A23C48"/>
    <w:rsid w:val="00A24484"/>
    <w:rsid w:val="00A24B2D"/>
    <w:rsid w:val="00A24E4C"/>
    <w:rsid w:val="00A258C4"/>
    <w:rsid w:val="00A25B18"/>
    <w:rsid w:val="00A25E4B"/>
    <w:rsid w:val="00A26D05"/>
    <w:rsid w:val="00A27268"/>
    <w:rsid w:val="00A27BAD"/>
    <w:rsid w:val="00A30F88"/>
    <w:rsid w:val="00A3154A"/>
    <w:rsid w:val="00A3186A"/>
    <w:rsid w:val="00A3193B"/>
    <w:rsid w:val="00A31E88"/>
    <w:rsid w:val="00A3278D"/>
    <w:rsid w:val="00A32B0B"/>
    <w:rsid w:val="00A32B1E"/>
    <w:rsid w:val="00A340A5"/>
    <w:rsid w:val="00A34139"/>
    <w:rsid w:val="00A3479B"/>
    <w:rsid w:val="00A34F24"/>
    <w:rsid w:val="00A35288"/>
    <w:rsid w:val="00A355BE"/>
    <w:rsid w:val="00A35603"/>
    <w:rsid w:val="00A35924"/>
    <w:rsid w:val="00A35F9F"/>
    <w:rsid w:val="00A3640F"/>
    <w:rsid w:val="00A36869"/>
    <w:rsid w:val="00A37387"/>
    <w:rsid w:val="00A409F1"/>
    <w:rsid w:val="00A40DDF"/>
    <w:rsid w:val="00A41497"/>
    <w:rsid w:val="00A41722"/>
    <w:rsid w:val="00A41949"/>
    <w:rsid w:val="00A41B13"/>
    <w:rsid w:val="00A41F0F"/>
    <w:rsid w:val="00A424B6"/>
    <w:rsid w:val="00A43D6D"/>
    <w:rsid w:val="00A44414"/>
    <w:rsid w:val="00A446D8"/>
    <w:rsid w:val="00A45B3F"/>
    <w:rsid w:val="00A45FB3"/>
    <w:rsid w:val="00A46702"/>
    <w:rsid w:val="00A46BDD"/>
    <w:rsid w:val="00A46D81"/>
    <w:rsid w:val="00A47561"/>
    <w:rsid w:val="00A50091"/>
    <w:rsid w:val="00A5056B"/>
    <w:rsid w:val="00A50686"/>
    <w:rsid w:val="00A50B92"/>
    <w:rsid w:val="00A51873"/>
    <w:rsid w:val="00A51B48"/>
    <w:rsid w:val="00A51F10"/>
    <w:rsid w:val="00A521E6"/>
    <w:rsid w:val="00A536ED"/>
    <w:rsid w:val="00A53B07"/>
    <w:rsid w:val="00A541C1"/>
    <w:rsid w:val="00A54E7D"/>
    <w:rsid w:val="00A54F9C"/>
    <w:rsid w:val="00A55351"/>
    <w:rsid w:val="00A561BD"/>
    <w:rsid w:val="00A56BA8"/>
    <w:rsid w:val="00A57269"/>
    <w:rsid w:val="00A572D6"/>
    <w:rsid w:val="00A57693"/>
    <w:rsid w:val="00A6059F"/>
    <w:rsid w:val="00A60720"/>
    <w:rsid w:val="00A61FDE"/>
    <w:rsid w:val="00A62068"/>
    <w:rsid w:val="00A6343C"/>
    <w:rsid w:val="00A636BF"/>
    <w:rsid w:val="00A63CDB"/>
    <w:rsid w:val="00A6509E"/>
    <w:rsid w:val="00A650BE"/>
    <w:rsid w:val="00A6617C"/>
    <w:rsid w:val="00A669A9"/>
    <w:rsid w:val="00A673E8"/>
    <w:rsid w:val="00A67EBA"/>
    <w:rsid w:val="00A7074A"/>
    <w:rsid w:val="00A70F02"/>
    <w:rsid w:val="00A71AA0"/>
    <w:rsid w:val="00A72433"/>
    <w:rsid w:val="00A725DD"/>
    <w:rsid w:val="00A72BEF"/>
    <w:rsid w:val="00A7304D"/>
    <w:rsid w:val="00A74059"/>
    <w:rsid w:val="00A7450A"/>
    <w:rsid w:val="00A74F31"/>
    <w:rsid w:val="00A754F3"/>
    <w:rsid w:val="00A756F6"/>
    <w:rsid w:val="00A76042"/>
    <w:rsid w:val="00A777F1"/>
    <w:rsid w:val="00A77B01"/>
    <w:rsid w:val="00A80070"/>
    <w:rsid w:val="00A802E0"/>
    <w:rsid w:val="00A806C5"/>
    <w:rsid w:val="00A81025"/>
    <w:rsid w:val="00A812FA"/>
    <w:rsid w:val="00A81314"/>
    <w:rsid w:val="00A8146D"/>
    <w:rsid w:val="00A8166B"/>
    <w:rsid w:val="00A82227"/>
    <w:rsid w:val="00A82780"/>
    <w:rsid w:val="00A82877"/>
    <w:rsid w:val="00A8379F"/>
    <w:rsid w:val="00A837CF"/>
    <w:rsid w:val="00A839C1"/>
    <w:rsid w:val="00A83EF0"/>
    <w:rsid w:val="00A83FFE"/>
    <w:rsid w:val="00A84D99"/>
    <w:rsid w:val="00A85571"/>
    <w:rsid w:val="00A85F71"/>
    <w:rsid w:val="00A862DA"/>
    <w:rsid w:val="00A86C05"/>
    <w:rsid w:val="00A86FF7"/>
    <w:rsid w:val="00A87075"/>
    <w:rsid w:val="00A87D57"/>
    <w:rsid w:val="00A9115E"/>
    <w:rsid w:val="00A91B75"/>
    <w:rsid w:val="00A92512"/>
    <w:rsid w:val="00A925C5"/>
    <w:rsid w:val="00A92741"/>
    <w:rsid w:val="00A92AA8"/>
    <w:rsid w:val="00A939D0"/>
    <w:rsid w:val="00A95654"/>
    <w:rsid w:val="00A9580B"/>
    <w:rsid w:val="00A95C77"/>
    <w:rsid w:val="00A95F15"/>
    <w:rsid w:val="00A9673A"/>
    <w:rsid w:val="00A96931"/>
    <w:rsid w:val="00A96941"/>
    <w:rsid w:val="00A97621"/>
    <w:rsid w:val="00A97B45"/>
    <w:rsid w:val="00AA0394"/>
    <w:rsid w:val="00AA0577"/>
    <w:rsid w:val="00AA09BE"/>
    <w:rsid w:val="00AA0A21"/>
    <w:rsid w:val="00AA1681"/>
    <w:rsid w:val="00AA1AC2"/>
    <w:rsid w:val="00AA1E9E"/>
    <w:rsid w:val="00AA1F2E"/>
    <w:rsid w:val="00AA21C2"/>
    <w:rsid w:val="00AA266E"/>
    <w:rsid w:val="00AA2A3C"/>
    <w:rsid w:val="00AA31C3"/>
    <w:rsid w:val="00AA3238"/>
    <w:rsid w:val="00AA3247"/>
    <w:rsid w:val="00AA366B"/>
    <w:rsid w:val="00AA41ED"/>
    <w:rsid w:val="00AA4570"/>
    <w:rsid w:val="00AA4D37"/>
    <w:rsid w:val="00AA6102"/>
    <w:rsid w:val="00AA6ACF"/>
    <w:rsid w:val="00AA6DDF"/>
    <w:rsid w:val="00AA7902"/>
    <w:rsid w:val="00AA7ED1"/>
    <w:rsid w:val="00AA7FFD"/>
    <w:rsid w:val="00AB0F9E"/>
    <w:rsid w:val="00AB17A4"/>
    <w:rsid w:val="00AB239A"/>
    <w:rsid w:val="00AB2FCF"/>
    <w:rsid w:val="00AB428E"/>
    <w:rsid w:val="00AB4868"/>
    <w:rsid w:val="00AB4A92"/>
    <w:rsid w:val="00AB4AA0"/>
    <w:rsid w:val="00AB4C85"/>
    <w:rsid w:val="00AB51A1"/>
    <w:rsid w:val="00AB5D8D"/>
    <w:rsid w:val="00AB5E47"/>
    <w:rsid w:val="00AB7BA3"/>
    <w:rsid w:val="00AB7BF4"/>
    <w:rsid w:val="00AB7D06"/>
    <w:rsid w:val="00AC0233"/>
    <w:rsid w:val="00AC06C9"/>
    <w:rsid w:val="00AC0D86"/>
    <w:rsid w:val="00AC152D"/>
    <w:rsid w:val="00AC17BA"/>
    <w:rsid w:val="00AC1B9C"/>
    <w:rsid w:val="00AC2388"/>
    <w:rsid w:val="00AC23E8"/>
    <w:rsid w:val="00AC2415"/>
    <w:rsid w:val="00AC39E4"/>
    <w:rsid w:val="00AC3CB8"/>
    <w:rsid w:val="00AC3EE3"/>
    <w:rsid w:val="00AC4273"/>
    <w:rsid w:val="00AC42E6"/>
    <w:rsid w:val="00AC43D8"/>
    <w:rsid w:val="00AC465C"/>
    <w:rsid w:val="00AC4AF2"/>
    <w:rsid w:val="00AC5250"/>
    <w:rsid w:val="00AC548A"/>
    <w:rsid w:val="00AC5495"/>
    <w:rsid w:val="00AC5910"/>
    <w:rsid w:val="00AC5A77"/>
    <w:rsid w:val="00AC6379"/>
    <w:rsid w:val="00AC67DE"/>
    <w:rsid w:val="00AC68DA"/>
    <w:rsid w:val="00AC6B6F"/>
    <w:rsid w:val="00AC788F"/>
    <w:rsid w:val="00AC7A28"/>
    <w:rsid w:val="00AC7C36"/>
    <w:rsid w:val="00AC7D71"/>
    <w:rsid w:val="00AD0056"/>
    <w:rsid w:val="00AD092C"/>
    <w:rsid w:val="00AD0E02"/>
    <w:rsid w:val="00AD12BE"/>
    <w:rsid w:val="00AD14EA"/>
    <w:rsid w:val="00AD2039"/>
    <w:rsid w:val="00AD3EAF"/>
    <w:rsid w:val="00AD554C"/>
    <w:rsid w:val="00AD574D"/>
    <w:rsid w:val="00AD59AF"/>
    <w:rsid w:val="00AD5ABD"/>
    <w:rsid w:val="00AD702A"/>
    <w:rsid w:val="00AD7184"/>
    <w:rsid w:val="00AD7864"/>
    <w:rsid w:val="00AD7C5A"/>
    <w:rsid w:val="00AE0A17"/>
    <w:rsid w:val="00AE1C11"/>
    <w:rsid w:val="00AE2371"/>
    <w:rsid w:val="00AE23AB"/>
    <w:rsid w:val="00AE2B96"/>
    <w:rsid w:val="00AE2D47"/>
    <w:rsid w:val="00AE2DEC"/>
    <w:rsid w:val="00AE36E0"/>
    <w:rsid w:val="00AE38BD"/>
    <w:rsid w:val="00AE3BDA"/>
    <w:rsid w:val="00AE3C2F"/>
    <w:rsid w:val="00AE443C"/>
    <w:rsid w:val="00AE5180"/>
    <w:rsid w:val="00AE5496"/>
    <w:rsid w:val="00AE54C5"/>
    <w:rsid w:val="00AE5B53"/>
    <w:rsid w:val="00AE66D2"/>
    <w:rsid w:val="00AE6A8D"/>
    <w:rsid w:val="00AE73C7"/>
    <w:rsid w:val="00AF0A2C"/>
    <w:rsid w:val="00AF1B95"/>
    <w:rsid w:val="00AF3777"/>
    <w:rsid w:val="00AF39B0"/>
    <w:rsid w:val="00AF40ED"/>
    <w:rsid w:val="00AF5061"/>
    <w:rsid w:val="00AF5D70"/>
    <w:rsid w:val="00AF6785"/>
    <w:rsid w:val="00AF720D"/>
    <w:rsid w:val="00AF7605"/>
    <w:rsid w:val="00AF784F"/>
    <w:rsid w:val="00AF7BC6"/>
    <w:rsid w:val="00B009F3"/>
    <w:rsid w:val="00B00AFF"/>
    <w:rsid w:val="00B00C62"/>
    <w:rsid w:val="00B0153B"/>
    <w:rsid w:val="00B0154E"/>
    <w:rsid w:val="00B01D6A"/>
    <w:rsid w:val="00B01FD2"/>
    <w:rsid w:val="00B02420"/>
    <w:rsid w:val="00B0339E"/>
    <w:rsid w:val="00B03CB7"/>
    <w:rsid w:val="00B03D32"/>
    <w:rsid w:val="00B03D6A"/>
    <w:rsid w:val="00B0487E"/>
    <w:rsid w:val="00B0554E"/>
    <w:rsid w:val="00B05E43"/>
    <w:rsid w:val="00B06584"/>
    <w:rsid w:val="00B0696C"/>
    <w:rsid w:val="00B06C4D"/>
    <w:rsid w:val="00B07134"/>
    <w:rsid w:val="00B07A0A"/>
    <w:rsid w:val="00B07B75"/>
    <w:rsid w:val="00B07DF6"/>
    <w:rsid w:val="00B1093D"/>
    <w:rsid w:val="00B11A1C"/>
    <w:rsid w:val="00B12AE8"/>
    <w:rsid w:val="00B12B6D"/>
    <w:rsid w:val="00B12F7A"/>
    <w:rsid w:val="00B13AC0"/>
    <w:rsid w:val="00B13C95"/>
    <w:rsid w:val="00B13F03"/>
    <w:rsid w:val="00B14455"/>
    <w:rsid w:val="00B14ACA"/>
    <w:rsid w:val="00B14D62"/>
    <w:rsid w:val="00B1525C"/>
    <w:rsid w:val="00B15BA1"/>
    <w:rsid w:val="00B15DE4"/>
    <w:rsid w:val="00B162D4"/>
    <w:rsid w:val="00B16818"/>
    <w:rsid w:val="00B16F0C"/>
    <w:rsid w:val="00B17661"/>
    <w:rsid w:val="00B17F39"/>
    <w:rsid w:val="00B2010B"/>
    <w:rsid w:val="00B202BF"/>
    <w:rsid w:val="00B20B94"/>
    <w:rsid w:val="00B2130E"/>
    <w:rsid w:val="00B21653"/>
    <w:rsid w:val="00B21B64"/>
    <w:rsid w:val="00B23A65"/>
    <w:rsid w:val="00B24726"/>
    <w:rsid w:val="00B24A1B"/>
    <w:rsid w:val="00B24BEA"/>
    <w:rsid w:val="00B24CE3"/>
    <w:rsid w:val="00B25045"/>
    <w:rsid w:val="00B2541D"/>
    <w:rsid w:val="00B2593A"/>
    <w:rsid w:val="00B2620A"/>
    <w:rsid w:val="00B26692"/>
    <w:rsid w:val="00B2670A"/>
    <w:rsid w:val="00B26E30"/>
    <w:rsid w:val="00B30157"/>
    <w:rsid w:val="00B30A8C"/>
    <w:rsid w:val="00B30CD1"/>
    <w:rsid w:val="00B30DF5"/>
    <w:rsid w:val="00B315D6"/>
    <w:rsid w:val="00B322CF"/>
    <w:rsid w:val="00B33747"/>
    <w:rsid w:val="00B33A30"/>
    <w:rsid w:val="00B34038"/>
    <w:rsid w:val="00B341F2"/>
    <w:rsid w:val="00B343D8"/>
    <w:rsid w:val="00B34694"/>
    <w:rsid w:val="00B3494A"/>
    <w:rsid w:val="00B34B06"/>
    <w:rsid w:val="00B35462"/>
    <w:rsid w:val="00B35D98"/>
    <w:rsid w:val="00B3650B"/>
    <w:rsid w:val="00B36BCA"/>
    <w:rsid w:val="00B36BE6"/>
    <w:rsid w:val="00B36C3F"/>
    <w:rsid w:val="00B36CD6"/>
    <w:rsid w:val="00B37383"/>
    <w:rsid w:val="00B3772B"/>
    <w:rsid w:val="00B37C9E"/>
    <w:rsid w:val="00B37D91"/>
    <w:rsid w:val="00B40174"/>
    <w:rsid w:val="00B403FE"/>
    <w:rsid w:val="00B40F1F"/>
    <w:rsid w:val="00B40FF6"/>
    <w:rsid w:val="00B41126"/>
    <w:rsid w:val="00B41392"/>
    <w:rsid w:val="00B431C8"/>
    <w:rsid w:val="00B438F6"/>
    <w:rsid w:val="00B439E3"/>
    <w:rsid w:val="00B43A01"/>
    <w:rsid w:val="00B44066"/>
    <w:rsid w:val="00B44334"/>
    <w:rsid w:val="00B44502"/>
    <w:rsid w:val="00B4460F"/>
    <w:rsid w:val="00B45482"/>
    <w:rsid w:val="00B4657E"/>
    <w:rsid w:val="00B4669F"/>
    <w:rsid w:val="00B470ED"/>
    <w:rsid w:val="00B47100"/>
    <w:rsid w:val="00B47255"/>
    <w:rsid w:val="00B47357"/>
    <w:rsid w:val="00B47C5F"/>
    <w:rsid w:val="00B50D5F"/>
    <w:rsid w:val="00B5222D"/>
    <w:rsid w:val="00B529B1"/>
    <w:rsid w:val="00B52A8D"/>
    <w:rsid w:val="00B52C20"/>
    <w:rsid w:val="00B52E2E"/>
    <w:rsid w:val="00B53EDA"/>
    <w:rsid w:val="00B5431C"/>
    <w:rsid w:val="00B543BB"/>
    <w:rsid w:val="00B5454C"/>
    <w:rsid w:val="00B548D7"/>
    <w:rsid w:val="00B5495C"/>
    <w:rsid w:val="00B55431"/>
    <w:rsid w:val="00B5553A"/>
    <w:rsid w:val="00B55C59"/>
    <w:rsid w:val="00B55DB7"/>
    <w:rsid w:val="00B56428"/>
    <w:rsid w:val="00B566F7"/>
    <w:rsid w:val="00B569CB"/>
    <w:rsid w:val="00B56A83"/>
    <w:rsid w:val="00B56C8D"/>
    <w:rsid w:val="00B57986"/>
    <w:rsid w:val="00B61597"/>
    <w:rsid w:val="00B615A9"/>
    <w:rsid w:val="00B61C80"/>
    <w:rsid w:val="00B61E86"/>
    <w:rsid w:val="00B61F96"/>
    <w:rsid w:val="00B62725"/>
    <w:rsid w:val="00B63B1D"/>
    <w:rsid w:val="00B6513E"/>
    <w:rsid w:val="00B65447"/>
    <w:rsid w:val="00B66E18"/>
    <w:rsid w:val="00B67174"/>
    <w:rsid w:val="00B671A3"/>
    <w:rsid w:val="00B67A33"/>
    <w:rsid w:val="00B67A65"/>
    <w:rsid w:val="00B67B4D"/>
    <w:rsid w:val="00B70AAF"/>
    <w:rsid w:val="00B7131C"/>
    <w:rsid w:val="00B7140E"/>
    <w:rsid w:val="00B7159D"/>
    <w:rsid w:val="00B71629"/>
    <w:rsid w:val="00B7198E"/>
    <w:rsid w:val="00B72138"/>
    <w:rsid w:val="00B72233"/>
    <w:rsid w:val="00B72574"/>
    <w:rsid w:val="00B72A41"/>
    <w:rsid w:val="00B72D4A"/>
    <w:rsid w:val="00B7344D"/>
    <w:rsid w:val="00B73633"/>
    <w:rsid w:val="00B73E6A"/>
    <w:rsid w:val="00B7462B"/>
    <w:rsid w:val="00B750A3"/>
    <w:rsid w:val="00B75281"/>
    <w:rsid w:val="00B75D3C"/>
    <w:rsid w:val="00B75ECF"/>
    <w:rsid w:val="00B7647C"/>
    <w:rsid w:val="00B768F7"/>
    <w:rsid w:val="00B76A65"/>
    <w:rsid w:val="00B76AAE"/>
    <w:rsid w:val="00B770FD"/>
    <w:rsid w:val="00B77556"/>
    <w:rsid w:val="00B77AF4"/>
    <w:rsid w:val="00B77CE8"/>
    <w:rsid w:val="00B77D50"/>
    <w:rsid w:val="00B77E0D"/>
    <w:rsid w:val="00B80AD0"/>
    <w:rsid w:val="00B80CC6"/>
    <w:rsid w:val="00B81CAD"/>
    <w:rsid w:val="00B81E66"/>
    <w:rsid w:val="00B8225A"/>
    <w:rsid w:val="00B82468"/>
    <w:rsid w:val="00B825FB"/>
    <w:rsid w:val="00B82815"/>
    <w:rsid w:val="00B82F77"/>
    <w:rsid w:val="00B8380D"/>
    <w:rsid w:val="00B83BD8"/>
    <w:rsid w:val="00B83DE5"/>
    <w:rsid w:val="00B83F96"/>
    <w:rsid w:val="00B84E83"/>
    <w:rsid w:val="00B858B9"/>
    <w:rsid w:val="00B85FA1"/>
    <w:rsid w:val="00B862E5"/>
    <w:rsid w:val="00B87817"/>
    <w:rsid w:val="00B87BB3"/>
    <w:rsid w:val="00B9031F"/>
    <w:rsid w:val="00B90603"/>
    <w:rsid w:val="00B90A89"/>
    <w:rsid w:val="00B90CBF"/>
    <w:rsid w:val="00B9106A"/>
    <w:rsid w:val="00B91529"/>
    <w:rsid w:val="00B91A00"/>
    <w:rsid w:val="00B91D53"/>
    <w:rsid w:val="00B92BB9"/>
    <w:rsid w:val="00B92CB9"/>
    <w:rsid w:val="00B93125"/>
    <w:rsid w:val="00B933EB"/>
    <w:rsid w:val="00B93A7B"/>
    <w:rsid w:val="00B946BC"/>
    <w:rsid w:val="00B950AE"/>
    <w:rsid w:val="00B95BA2"/>
    <w:rsid w:val="00B95D03"/>
    <w:rsid w:val="00B9709E"/>
    <w:rsid w:val="00B974E9"/>
    <w:rsid w:val="00B97B2D"/>
    <w:rsid w:val="00B97E5F"/>
    <w:rsid w:val="00B97FDC"/>
    <w:rsid w:val="00BA0C17"/>
    <w:rsid w:val="00BA0E23"/>
    <w:rsid w:val="00BA24DD"/>
    <w:rsid w:val="00BA2CCC"/>
    <w:rsid w:val="00BA2E05"/>
    <w:rsid w:val="00BA32C6"/>
    <w:rsid w:val="00BA36FD"/>
    <w:rsid w:val="00BA3BC3"/>
    <w:rsid w:val="00BA4277"/>
    <w:rsid w:val="00BA49F0"/>
    <w:rsid w:val="00BA51BE"/>
    <w:rsid w:val="00BA6080"/>
    <w:rsid w:val="00BA6444"/>
    <w:rsid w:val="00BA6B2B"/>
    <w:rsid w:val="00BA6F65"/>
    <w:rsid w:val="00BA6F86"/>
    <w:rsid w:val="00BA7222"/>
    <w:rsid w:val="00BA7743"/>
    <w:rsid w:val="00BA798E"/>
    <w:rsid w:val="00BB04F4"/>
    <w:rsid w:val="00BB1088"/>
    <w:rsid w:val="00BB1228"/>
    <w:rsid w:val="00BB17E8"/>
    <w:rsid w:val="00BB18C9"/>
    <w:rsid w:val="00BB359F"/>
    <w:rsid w:val="00BB3956"/>
    <w:rsid w:val="00BB3CA8"/>
    <w:rsid w:val="00BB44FD"/>
    <w:rsid w:val="00BB4997"/>
    <w:rsid w:val="00BB6484"/>
    <w:rsid w:val="00BB693B"/>
    <w:rsid w:val="00BB6A7B"/>
    <w:rsid w:val="00BB6D91"/>
    <w:rsid w:val="00BB77FE"/>
    <w:rsid w:val="00BB7CD2"/>
    <w:rsid w:val="00BB7D75"/>
    <w:rsid w:val="00BC02DF"/>
    <w:rsid w:val="00BC11C9"/>
    <w:rsid w:val="00BC1A16"/>
    <w:rsid w:val="00BC1E48"/>
    <w:rsid w:val="00BC2714"/>
    <w:rsid w:val="00BC39D5"/>
    <w:rsid w:val="00BC3E67"/>
    <w:rsid w:val="00BC447E"/>
    <w:rsid w:val="00BC5403"/>
    <w:rsid w:val="00BC5A9D"/>
    <w:rsid w:val="00BC6132"/>
    <w:rsid w:val="00BC6469"/>
    <w:rsid w:val="00BC66D9"/>
    <w:rsid w:val="00BC69B1"/>
    <w:rsid w:val="00BC7565"/>
    <w:rsid w:val="00BC77B2"/>
    <w:rsid w:val="00BC77C7"/>
    <w:rsid w:val="00BC7A04"/>
    <w:rsid w:val="00BD1DE8"/>
    <w:rsid w:val="00BD1E0D"/>
    <w:rsid w:val="00BD1E2F"/>
    <w:rsid w:val="00BD2429"/>
    <w:rsid w:val="00BD2FA4"/>
    <w:rsid w:val="00BD4BBA"/>
    <w:rsid w:val="00BD4CFA"/>
    <w:rsid w:val="00BD4DDA"/>
    <w:rsid w:val="00BD4F98"/>
    <w:rsid w:val="00BD6431"/>
    <w:rsid w:val="00BD68C2"/>
    <w:rsid w:val="00BD6E52"/>
    <w:rsid w:val="00BD7AAA"/>
    <w:rsid w:val="00BD7C13"/>
    <w:rsid w:val="00BD7E5C"/>
    <w:rsid w:val="00BE02B5"/>
    <w:rsid w:val="00BE05E9"/>
    <w:rsid w:val="00BE0C1A"/>
    <w:rsid w:val="00BE0CC6"/>
    <w:rsid w:val="00BE1453"/>
    <w:rsid w:val="00BE1711"/>
    <w:rsid w:val="00BE2253"/>
    <w:rsid w:val="00BE27BF"/>
    <w:rsid w:val="00BE27D9"/>
    <w:rsid w:val="00BE2A40"/>
    <w:rsid w:val="00BE4884"/>
    <w:rsid w:val="00BE49B9"/>
    <w:rsid w:val="00BE4DE0"/>
    <w:rsid w:val="00BE5ACA"/>
    <w:rsid w:val="00BE5D8E"/>
    <w:rsid w:val="00BE6050"/>
    <w:rsid w:val="00BE667C"/>
    <w:rsid w:val="00BE6B5C"/>
    <w:rsid w:val="00BE6C17"/>
    <w:rsid w:val="00BE7051"/>
    <w:rsid w:val="00BE7512"/>
    <w:rsid w:val="00BE7A0F"/>
    <w:rsid w:val="00BE7E84"/>
    <w:rsid w:val="00BF04D1"/>
    <w:rsid w:val="00BF0D65"/>
    <w:rsid w:val="00BF1357"/>
    <w:rsid w:val="00BF1959"/>
    <w:rsid w:val="00BF1BD1"/>
    <w:rsid w:val="00BF2144"/>
    <w:rsid w:val="00BF3929"/>
    <w:rsid w:val="00BF49BB"/>
    <w:rsid w:val="00BF5193"/>
    <w:rsid w:val="00BF51C7"/>
    <w:rsid w:val="00BF53DE"/>
    <w:rsid w:val="00BF552B"/>
    <w:rsid w:val="00BF6979"/>
    <w:rsid w:val="00BF75E1"/>
    <w:rsid w:val="00BF762E"/>
    <w:rsid w:val="00BF7823"/>
    <w:rsid w:val="00C00E49"/>
    <w:rsid w:val="00C01507"/>
    <w:rsid w:val="00C01612"/>
    <w:rsid w:val="00C025BD"/>
    <w:rsid w:val="00C03029"/>
    <w:rsid w:val="00C037CB"/>
    <w:rsid w:val="00C03AA7"/>
    <w:rsid w:val="00C03FB7"/>
    <w:rsid w:val="00C04608"/>
    <w:rsid w:val="00C0492D"/>
    <w:rsid w:val="00C06CF9"/>
    <w:rsid w:val="00C06D7C"/>
    <w:rsid w:val="00C075ED"/>
    <w:rsid w:val="00C07788"/>
    <w:rsid w:val="00C07CDD"/>
    <w:rsid w:val="00C07E38"/>
    <w:rsid w:val="00C07E3F"/>
    <w:rsid w:val="00C1014D"/>
    <w:rsid w:val="00C103CC"/>
    <w:rsid w:val="00C11687"/>
    <w:rsid w:val="00C11882"/>
    <w:rsid w:val="00C11A59"/>
    <w:rsid w:val="00C11DD2"/>
    <w:rsid w:val="00C1307E"/>
    <w:rsid w:val="00C13345"/>
    <w:rsid w:val="00C13858"/>
    <w:rsid w:val="00C14195"/>
    <w:rsid w:val="00C15237"/>
    <w:rsid w:val="00C15E82"/>
    <w:rsid w:val="00C15F7C"/>
    <w:rsid w:val="00C160C7"/>
    <w:rsid w:val="00C162A5"/>
    <w:rsid w:val="00C175CB"/>
    <w:rsid w:val="00C17737"/>
    <w:rsid w:val="00C17998"/>
    <w:rsid w:val="00C201B5"/>
    <w:rsid w:val="00C2060F"/>
    <w:rsid w:val="00C20786"/>
    <w:rsid w:val="00C20909"/>
    <w:rsid w:val="00C209C9"/>
    <w:rsid w:val="00C21741"/>
    <w:rsid w:val="00C22023"/>
    <w:rsid w:val="00C22430"/>
    <w:rsid w:val="00C22969"/>
    <w:rsid w:val="00C23100"/>
    <w:rsid w:val="00C244C9"/>
    <w:rsid w:val="00C258ED"/>
    <w:rsid w:val="00C25CC4"/>
    <w:rsid w:val="00C26C2D"/>
    <w:rsid w:val="00C27461"/>
    <w:rsid w:val="00C27A73"/>
    <w:rsid w:val="00C30028"/>
    <w:rsid w:val="00C30723"/>
    <w:rsid w:val="00C31E3C"/>
    <w:rsid w:val="00C32ABD"/>
    <w:rsid w:val="00C33694"/>
    <w:rsid w:val="00C3379B"/>
    <w:rsid w:val="00C3436D"/>
    <w:rsid w:val="00C3469D"/>
    <w:rsid w:val="00C34871"/>
    <w:rsid w:val="00C3498B"/>
    <w:rsid w:val="00C3542A"/>
    <w:rsid w:val="00C36B86"/>
    <w:rsid w:val="00C36C1F"/>
    <w:rsid w:val="00C375BB"/>
    <w:rsid w:val="00C37B20"/>
    <w:rsid w:val="00C37F9F"/>
    <w:rsid w:val="00C40428"/>
    <w:rsid w:val="00C40B1B"/>
    <w:rsid w:val="00C419B0"/>
    <w:rsid w:val="00C42064"/>
    <w:rsid w:val="00C42299"/>
    <w:rsid w:val="00C424FC"/>
    <w:rsid w:val="00C42C99"/>
    <w:rsid w:val="00C4311F"/>
    <w:rsid w:val="00C431B3"/>
    <w:rsid w:val="00C43F67"/>
    <w:rsid w:val="00C44F57"/>
    <w:rsid w:val="00C44FFE"/>
    <w:rsid w:val="00C45025"/>
    <w:rsid w:val="00C46108"/>
    <w:rsid w:val="00C4681F"/>
    <w:rsid w:val="00C46CA5"/>
    <w:rsid w:val="00C47197"/>
    <w:rsid w:val="00C479EA"/>
    <w:rsid w:val="00C47CE6"/>
    <w:rsid w:val="00C47DBC"/>
    <w:rsid w:val="00C47E1F"/>
    <w:rsid w:val="00C50D31"/>
    <w:rsid w:val="00C51A79"/>
    <w:rsid w:val="00C51C5B"/>
    <w:rsid w:val="00C52CFD"/>
    <w:rsid w:val="00C531E2"/>
    <w:rsid w:val="00C538CA"/>
    <w:rsid w:val="00C53F03"/>
    <w:rsid w:val="00C546DE"/>
    <w:rsid w:val="00C548A0"/>
    <w:rsid w:val="00C55126"/>
    <w:rsid w:val="00C55458"/>
    <w:rsid w:val="00C55CCA"/>
    <w:rsid w:val="00C560E0"/>
    <w:rsid w:val="00C57269"/>
    <w:rsid w:val="00C575F2"/>
    <w:rsid w:val="00C57A7F"/>
    <w:rsid w:val="00C57D4D"/>
    <w:rsid w:val="00C60721"/>
    <w:rsid w:val="00C60CB1"/>
    <w:rsid w:val="00C60EA4"/>
    <w:rsid w:val="00C60F11"/>
    <w:rsid w:val="00C6166D"/>
    <w:rsid w:val="00C625C5"/>
    <w:rsid w:val="00C628E5"/>
    <w:rsid w:val="00C63C80"/>
    <w:rsid w:val="00C64172"/>
    <w:rsid w:val="00C65A8E"/>
    <w:rsid w:val="00C6665C"/>
    <w:rsid w:val="00C66FB1"/>
    <w:rsid w:val="00C67233"/>
    <w:rsid w:val="00C67342"/>
    <w:rsid w:val="00C67784"/>
    <w:rsid w:val="00C7020D"/>
    <w:rsid w:val="00C71B08"/>
    <w:rsid w:val="00C71CB7"/>
    <w:rsid w:val="00C72CDD"/>
    <w:rsid w:val="00C72EFD"/>
    <w:rsid w:val="00C73406"/>
    <w:rsid w:val="00C74B6E"/>
    <w:rsid w:val="00C74D43"/>
    <w:rsid w:val="00C75A45"/>
    <w:rsid w:val="00C76EDF"/>
    <w:rsid w:val="00C77128"/>
    <w:rsid w:val="00C80B49"/>
    <w:rsid w:val="00C81DA5"/>
    <w:rsid w:val="00C8207B"/>
    <w:rsid w:val="00C821AE"/>
    <w:rsid w:val="00C82BD5"/>
    <w:rsid w:val="00C82E23"/>
    <w:rsid w:val="00C84464"/>
    <w:rsid w:val="00C85111"/>
    <w:rsid w:val="00C851E6"/>
    <w:rsid w:val="00C853B2"/>
    <w:rsid w:val="00C86074"/>
    <w:rsid w:val="00C86189"/>
    <w:rsid w:val="00C8639D"/>
    <w:rsid w:val="00C86878"/>
    <w:rsid w:val="00C86973"/>
    <w:rsid w:val="00C86E75"/>
    <w:rsid w:val="00C86F2A"/>
    <w:rsid w:val="00C8774B"/>
    <w:rsid w:val="00C87AF6"/>
    <w:rsid w:val="00C900E2"/>
    <w:rsid w:val="00C901E7"/>
    <w:rsid w:val="00C9043B"/>
    <w:rsid w:val="00C90489"/>
    <w:rsid w:val="00C90A25"/>
    <w:rsid w:val="00C90B01"/>
    <w:rsid w:val="00C90B9E"/>
    <w:rsid w:val="00C90D44"/>
    <w:rsid w:val="00C911DF"/>
    <w:rsid w:val="00C914E9"/>
    <w:rsid w:val="00C91F24"/>
    <w:rsid w:val="00C934F9"/>
    <w:rsid w:val="00C93A5F"/>
    <w:rsid w:val="00C946CF"/>
    <w:rsid w:val="00C949CC"/>
    <w:rsid w:val="00C94E4B"/>
    <w:rsid w:val="00C95D4A"/>
    <w:rsid w:val="00C96C2B"/>
    <w:rsid w:val="00C96C62"/>
    <w:rsid w:val="00C97A4D"/>
    <w:rsid w:val="00CA03F7"/>
    <w:rsid w:val="00CA094A"/>
    <w:rsid w:val="00CA1003"/>
    <w:rsid w:val="00CA1F52"/>
    <w:rsid w:val="00CA215D"/>
    <w:rsid w:val="00CA2851"/>
    <w:rsid w:val="00CA2FD2"/>
    <w:rsid w:val="00CA38D0"/>
    <w:rsid w:val="00CA3901"/>
    <w:rsid w:val="00CA3C3F"/>
    <w:rsid w:val="00CA3D77"/>
    <w:rsid w:val="00CA431D"/>
    <w:rsid w:val="00CA486A"/>
    <w:rsid w:val="00CA4BB2"/>
    <w:rsid w:val="00CA5A33"/>
    <w:rsid w:val="00CA5B1D"/>
    <w:rsid w:val="00CA5C2C"/>
    <w:rsid w:val="00CA5CA9"/>
    <w:rsid w:val="00CA5D30"/>
    <w:rsid w:val="00CA657F"/>
    <w:rsid w:val="00CA737D"/>
    <w:rsid w:val="00CA750B"/>
    <w:rsid w:val="00CA7963"/>
    <w:rsid w:val="00CB0A1C"/>
    <w:rsid w:val="00CB10B8"/>
    <w:rsid w:val="00CB12E5"/>
    <w:rsid w:val="00CB17B4"/>
    <w:rsid w:val="00CB2089"/>
    <w:rsid w:val="00CB25DD"/>
    <w:rsid w:val="00CB28D2"/>
    <w:rsid w:val="00CB3DB1"/>
    <w:rsid w:val="00CB4415"/>
    <w:rsid w:val="00CB471F"/>
    <w:rsid w:val="00CB4CA5"/>
    <w:rsid w:val="00CB58FD"/>
    <w:rsid w:val="00CB663B"/>
    <w:rsid w:val="00CB690E"/>
    <w:rsid w:val="00CB6B81"/>
    <w:rsid w:val="00CB6ECC"/>
    <w:rsid w:val="00CB75F0"/>
    <w:rsid w:val="00CB7F69"/>
    <w:rsid w:val="00CC0790"/>
    <w:rsid w:val="00CC0F65"/>
    <w:rsid w:val="00CC1033"/>
    <w:rsid w:val="00CC10FC"/>
    <w:rsid w:val="00CC1385"/>
    <w:rsid w:val="00CC13A2"/>
    <w:rsid w:val="00CC175D"/>
    <w:rsid w:val="00CC1DF2"/>
    <w:rsid w:val="00CC297C"/>
    <w:rsid w:val="00CC2CED"/>
    <w:rsid w:val="00CC2F91"/>
    <w:rsid w:val="00CC38D4"/>
    <w:rsid w:val="00CC3BD4"/>
    <w:rsid w:val="00CC46CD"/>
    <w:rsid w:val="00CC5489"/>
    <w:rsid w:val="00CC6540"/>
    <w:rsid w:val="00CC6632"/>
    <w:rsid w:val="00CC694C"/>
    <w:rsid w:val="00CC7353"/>
    <w:rsid w:val="00CC7472"/>
    <w:rsid w:val="00CC76FB"/>
    <w:rsid w:val="00CC7B43"/>
    <w:rsid w:val="00CD0C6C"/>
    <w:rsid w:val="00CD0D96"/>
    <w:rsid w:val="00CD16F9"/>
    <w:rsid w:val="00CD1912"/>
    <w:rsid w:val="00CD2EDC"/>
    <w:rsid w:val="00CD37F6"/>
    <w:rsid w:val="00CD3FD4"/>
    <w:rsid w:val="00CD4716"/>
    <w:rsid w:val="00CD4ADA"/>
    <w:rsid w:val="00CD4E05"/>
    <w:rsid w:val="00CD57F0"/>
    <w:rsid w:val="00CD6B43"/>
    <w:rsid w:val="00CD70AA"/>
    <w:rsid w:val="00CD7166"/>
    <w:rsid w:val="00CD7262"/>
    <w:rsid w:val="00CD73F6"/>
    <w:rsid w:val="00CD7863"/>
    <w:rsid w:val="00CD79CE"/>
    <w:rsid w:val="00CD7AED"/>
    <w:rsid w:val="00CD7CA3"/>
    <w:rsid w:val="00CE0830"/>
    <w:rsid w:val="00CE0EB2"/>
    <w:rsid w:val="00CE113B"/>
    <w:rsid w:val="00CE175E"/>
    <w:rsid w:val="00CE2CD1"/>
    <w:rsid w:val="00CE3022"/>
    <w:rsid w:val="00CE3331"/>
    <w:rsid w:val="00CE3541"/>
    <w:rsid w:val="00CE382B"/>
    <w:rsid w:val="00CE468F"/>
    <w:rsid w:val="00CE4BC2"/>
    <w:rsid w:val="00CE5E13"/>
    <w:rsid w:val="00CE648C"/>
    <w:rsid w:val="00CE686B"/>
    <w:rsid w:val="00CE6A53"/>
    <w:rsid w:val="00CE6BEC"/>
    <w:rsid w:val="00CE73B9"/>
    <w:rsid w:val="00CE75EA"/>
    <w:rsid w:val="00CE7DC5"/>
    <w:rsid w:val="00CF006A"/>
    <w:rsid w:val="00CF15F9"/>
    <w:rsid w:val="00CF1CC3"/>
    <w:rsid w:val="00CF22E6"/>
    <w:rsid w:val="00CF2912"/>
    <w:rsid w:val="00CF2ABA"/>
    <w:rsid w:val="00CF2BE9"/>
    <w:rsid w:val="00CF2D51"/>
    <w:rsid w:val="00CF2E66"/>
    <w:rsid w:val="00CF3535"/>
    <w:rsid w:val="00CF37B4"/>
    <w:rsid w:val="00CF3977"/>
    <w:rsid w:val="00CF3A22"/>
    <w:rsid w:val="00CF434D"/>
    <w:rsid w:val="00CF48BB"/>
    <w:rsid w:val="00CF4D1B"/>
    <w:rsid w:val="00CF54FD"/>
    <w:rsid w:val="00CF568F"/>
    <w:rsid w:val="00CF5959"/>
    <w:rsid w:val="00CF5CB5"/>
    <w:rsid w:val="00CF6417"/>
    <w:rsid w:val="00CF6AD1"/>
    <w:rsid w:val="00CF6FEC"/>
    <w:rsid w:val="00CF700C"/>
    <w:rsid w:val="00CF722C"/>
    <w:rsid w:val="00CF72FD"/>
    <w:rsid w:val="00D00370"/>
    <w:rsid w:val="00D007A9"/>
    <w:rsid w:val="00D014C6"/>
    <w:rsid w:val="00D01F13"/>
    <w:rsid w:val="00D03269"/>
    <w:rsid w:val="00D03B66"/>
    <w:rsid w:val="00D03D65"/>
    <w:rsid w:val="00D03E20"/>
    <w:rsid w:val="00D04271"/>
    <w:rsid w:val="00D055DA"/>
    <w:rsid w:val="00D0630C"/>
    <w:rsid w:val="00D07235"/>
    <w:rsid w:val="00D07C4B"/>
    <w:rsid w:val="00D07DA3"/>
    <w:rsid w:val="00D101FC"/>
    <w:rsid w:val="00D10545"/>
    <w:rsid w:val="00D105DE"/>
    <w:rsid w:val="00D105FB"/>
    <w:rsid w:val="00D106D5"/>
    <w:rsid w:val="00D1091E"/>
    <w:rsid w:val="00D11127"/>
    <w:rsid w:val="00D11ADB"/>
    <w:rsid w:val="00D11C99"/>
    <w:rsid w:val="00D139A9"/>
    <w:rsid w:val="00D139DF"/>
    <w:rsid w:val="00D14824"/>
    <w:rsid w:val="00D1504C"/>
    <w:rsid w:val="00D15554"/>
    <w:rsid w:val="00D15ACD"/>
    <w:rsid w:val="00D15E2B"/>
    <w:rsid w:val="00D16130"/>
    <w:rsid w:val="00D1663F"/>
    <w:rsid w:val="00D172D0"/>
    <w:rsid w:val="00D179A9"/>
    <w:rsid w:val="00D17AE3"/>
    <w:rsid w:val="00D2024E"/>
    <w:rsid w:val="00D21181"/>
    <w:rsid w:val="00D21C9F"/>
    <w:rsid w:val="00D21EEB"/>
    <w:rsid w:val="00D21FDB"/>
    <w:rsid w:val="00D228C9"/>
    <w:rsid w:val="00D22A45"/>
    <w:rsid w:val="00D22F8A"/>
    <w:rsid w:val="00D233FF"/>
    <w:rsid w:val="00D240E7"/>
    <w:rsid w:val="00D2446C"/>
    <w:rsid w:val="00D24B4C"/>
    <w:rsid w:val="00D255DF"/>
    <w:rsid w:val="00D25D09"/>
    <w:rsid w:val="00D301E9"/>
    <w:rsid w:val="00D3189E"/>
    <w:rsid w:val="00D328C2"/>
    <w:rsid w:val="00D32BCF"/>
    <w:rsid w:val="00D333A6"/>
    <w:rsid w:val="00D333D4"/>
    <w:rsid w:val="00D33EE6"/>
    <w:rsid w:val="00D33FD1"/>
    <w:rsid w:val="00D344FC"/>
    <w:rsid w:val="00D34933"/>
    <w:rsid w:val="00D34E02"/>
    <w:rsid w:val="00D360F0"/>
    <w:rsid w:val="00D3674F"/>
    <w:rsid w:val="00D36A8B"/>
    <w:rsid w:val="00D36BE9"/>
    <w:rsid w:val="00D372B9"/>
    <w:rsid w:val="00D37D7E"/>
    <w:rsid w:val="00D402E5"/>
    <w:rsid w:val="00D40598"/>
    <w:rsid w:val="00D40D96"/>
    <w:rsid w:val="00D41F08"/>
    <w:rsid w:val="00D42124"/>
    <w:rsid w:val="00D42E69"/>
    <w:rsid w:val="00D43365"/>
    <w:rsid w:val="00D44391"/>
    <w:rsid w:val="00D44772"/>
    <w:rsid w:val="00D44E8A"/>
    <w:rsid w:val="00D451BC"/>
    <w:rsid w:val="00D45535"/>
    <w:rsid w:val="00D45934"/>
    <w:rsid w:val="00D45DA1"/>
    <w:rsid w:val="00D45EBE"/>
    <w:rsid w:val="00D45F2B"/>
    <w:rsid w:val="00D465FF"/>
    <w:rsid w:val="00D4703A"/>
    <w:rsid w:val="00D476B4"/>
    <w:rsid w:val="00D47AC7"/>
    <w:rsid w:val="00D5052F"/>
    <w:rsid w:val="00D505BD"/>
    <w:rsid w:val="00D50AF4"/>
    <w:rsid w:val="00D50BAB"/>
    <w:rsid w:val="00D50EC8"/>
    <w:rsid w:val="00D510FE"/>
    <w:rsid w:val="00D51100"/>
    <w:rsid w:val="00D51237"/>
    <w:rsid w:val="00D519B9"/>
    <w:rsid w:val="00D525B2"/>
    <w:rsid w:val="00D528F6"/>
    <w:rsid w:val="00D52F1E"/>
    <w:rsid w:val="00D532A5"/>
    <w:rsid w:val="00D5474B"/>
    <w:rsid w:val="00D54B45"/>
    <w:rsid w:val="00D54D29"/>
    <w:rsid w:val="00D55853"/>
    <w:rsid w:val="00D55A22"/>
    <w:rsid w:val="00D563CC"/>
    <w:rsid w:val="00D56F9D"/>
    <w:rsid w:val="00D56FDE"/>
    <w:rsid w:val="00D574B5"/>
    <w:rsid w:val="00D575A8"/>
    <w:rsid w:val="00D60798"/>
    <w:rsid w:val="00D613E6"/>
    <w:rsid w:val="00D6166B"/>
    <w:rsid w:val="00D61816"/>
    <w:rsid w:val="00D61840"/>
    <w:rsid w:val="00D61961"/>
    <w:rsid w:val="00D61B85"/>
    <w:rsid w:val="00D61CB5"/>
    <w:rsid w:val="00D6283F"/>
    <w:rsid w:val="00D62871"/>
    <w:rsid w:val="00D63094"/>
    <w:rsid w:val="00D63C94"/>
    <w:rsid w:val="00D63DC3"/>
    <w:rsid w:val="00D63F90"/>
    <w:rsid w:val="00D64E6B"/>
    <w:rsid w:val="00D64E83"/>
    <w:rsid w:val="00D655E6"/>
    <w:rsid w:val="00D657C7"/>
    <w:rsid w:val="00D65882"/>
    <w:rsid w:val="00D65907"/>
    <w:rsid w:val="00D65972"/>
    <w:rsid w:val="00D65BD6"/>
    <w:rsid w:val="00D6645A"/>
    <w:rsid w:val="00D66ADB"/>
    <w:rsid w:val="00D670B4"/>
    <w:rsid w:val="00D6731D"/>
    <w:rsid w:val="00D67334"/>
    <w:rsid w:val="00D6767E"/>
    <w:rsid w:val="00D678B4"/>
    <w:rsid w:val="00D67AC3"/>
    <w:rsid w:val="00D700F4"/>
    <w:rsid w:val="00D70ACB"/>
    <w:rsid w:val="00D70C9F"/>
    <w:rsid w:val="00D70DB6"/>
    <w:rsid w:val="00D71650"/>
    <w:rsid w:val="00D73319"/>
    <w:rsid w:val="00D73862"/>
    <w:rsid w:val="00D73D2C"/>
    <w:rsid w:val="00D7470E"/>
    <w:rsid w:val="00D7480E"/>
    <w:rsid w:val="00D74DD1"/>
    <w:rsid w:val="00D7623D"/>
    <w:rsid w:val="00D77145"/>
    <w:rsid w:val="00D77B8E"/>
    <w:rsid w:val="00D80530"/>
    <w:rsid w:val="00D8099B"/>
    <w:rsid w:val="00D80AA7"/>
    <w:rsid w:val="00D8150D"/>
    <w:rsid w:val="00D82AD1"/>
    <w:rsid w:val="00D85256"/>
    <w:rsid w:val="00D85380"/>
    <w:rsid w:val="00D85A66"/>
    <w:rsid w:val="00D85C8A"/>
    <w:rsid w:val="00D860B4"/>
    <w:rsid w:val="00D86476"/>
    <w:rsid w:val="00D864CB"/>
    <w:rsid w:val="00D8701F"/>
    <w:rsid w:val="00D8757F"/>
    <w:rsid w:val="00D87659"/>
    <w:rsid w:val="00D87917"/>
    <w:rsid w:val="00D87B3D"/>
    <w:rsid w:val="00D90557"/>
    <w:rsid w:val="00D90986"/>
    <w:rsid w:val="00D9099E"/>
    <w:rsid w:val="00D917E9"/>
    <w:rsid w:val="00D91B51"/>
    <w:rsid w:val="00D9207D"/>
    <w:rsid w:val="00D92080"/>
    <w:rsid w:val="00D92441"/>
    <w:rsid w:val="00D924C2"/>
    <w:rsid w:val="00D93301"/>
    <w:rsid w:val="00D9344E"/>
    <w:rsid w:val="00D94A94"/>
    <w:rsid w:val="00D951F6"/>
    <w:rsid w:val="00D9540D"/>
    <w:rsid w:val="00D957EB"/>
    <w:rsid w:val="00D96769"/>
    <w:rsid w:val="00D968BF"/>
    <w:rsid w:val="00D96C16"/>
    <w:rsid w:val="00D978E7"/>
    <w:rsid w:val="00D97966"/>
    <w:rsid w:val="00D9799B"/>
    <w:rsid w:val="00D979EE"/>
    <w:rsid w:val="00D97A01"/>
    <w:rsid w:val="00D97D44"/>
    <w:rsid w:val="00DA04D3"/>
    <w:rsid w:val="00DA0785"/>
    <w:rsid w:val="00DA0F6A"/>
    <w:rsid w:val="00DA13D2"/>
    <w:rsid w:val="00DA1703"/>
    <w:rsid w:val="00DA2695"/>
    <w:rsid w:val="00DA38A4"/>
    <w:rsid w:val="00DA38AB"/>
    <w:rsid w:val="00DA3D1B"/>
    <w:rsid w:val="00DA4BE0"/>
    <w:rsid w:val="00DA5867"/>
    <w:rsid w:val="00DA70BE"/>
    <w:rsid w:val="00DB0203"/>
    <w:rsid w:val="00DB0E81"/>
    <w:rsid w:val="00DB221D"/>
    <w:rsid w:val="00DB2397"/>
    <w:rsid w:val="00DB2D82"/>
    <w:rsid w:val="00DB3809"/>
    <w:rsid w:val="00DB474E"/>
    <w:rsid w:val="00DB4764"/>
    <w:rsid w:val="00DB4923"/>
    <w:rsid w:val="00DB4CBE"/>
    <w:rsid w:val="00DB4F4F"/>
    <w:rsid w:val="00DB51BF"/>
    <w:rsid w:val="00DB5436"/>
    <w:rsid w:val="00DB5B34"/>
    <w:rsid w:val="00DB74B3"/>
    <w:rsid w:val="00DB7D40"/>
    <w:rsid w:val="00DB7E01"/>
    <w:rsid w:val="00DC0422"/>
    <w:rsid w:val="00DC0C63"/>
    <w:rsid w:val="00DC0D74"/>
    <w:rsid w:val="00DC115F"/>
    <w:rsid w:val="00DC2FDB"/>
    <w:rsid w:val="00DC395F"/>
    <w:rsid w:val="00DC3B08"/>
    <w:rsid w:val="00DC3CC1"/>
    <w:rsid w:val="00DC3D5A"/>
    <w:rsid w:val="00DC3D76"/>
    <w:rsid w:val="00DC3F31"/>
    <w:rsid w:val="00DC4204"/>
    <w:rsid w:val="00DC48E7"/>
    <w:rsid w:val="00DC4C0C"/>
    <w:rsid w:val="00DC5177"/>
    <w:rsid w:val="00DC6245"/>
    <w:rsid w:val="00DC6370"/>
    <w:rsid w:val="00DC6402"/>
    <w:rsid w:val="00DC6698"/>
    <w:rsid w:val="00DC6EB1"/>
    <w:rsid w:val="00DC7391"/>
    <w:rsid w:val="00DD00E2"/>
    <w:rsid w:val="00DD0383"/>
    <w:rsid w:val="00DD04E3"/>
    <w:rsid w:val="00DD08C9"/>
    <w:rsid w:val="00DD0C54"/>
    <w:rsid w:val="00DD12B8"/>
    <w:rsid w:val="00DD1DA5"/>
    <w:rsid w:val="00DD2164"/>
    <w:rsid w:val="00DD26A1"/>
    <w:rsid w:val="00DD29D7"/>
    <w:rsid w:val="00DD2F07"/>
    <w:rsid w:val="00DD3032"/>
    <w:rsid w:val="00DD3E00"/>
    <w:rsid w:val="00DD435F"/>
    <w:rsid w:val="00DD4768"/>
    <w:rsid w:val="00DD5138"/>
    <w:rsid w:val="00DD52F1"/>
    <w:rsid w:val="00DD66A9"/>
    <w:rsid w:val="00DD6892"/>
    <w:rsid w:val="00DD6F59"/>
    <w:rsid w:val="00DD77B2"/>
    <w:rsid w:val="00DD7A24"/>
    <w:rsid w:val="00DD7ED3"/>
    <w:rsid w:val="00DD7EE2"/>
    <w:rsid w:val="00DE00F5"/>
    <w:rsid w:val="00DE010B"/>
    <w:rsid w:val="00DE0824"/>
    <w:rsid w:val="00DE08CD"/>
    <w:rsid w:val="00DE0999"/>
    <w:rsid w:val="00DE0A60"/>
    <w:rsid w:val="00DE125F"/>
    <w:rsid w:val="00DE13F3"/>
    <w:rsid w:val="00DE21A4"/>
    <w:rsid w:val="00DE233A"/>
    <w:rsid w:val="00DE25AC"/>
    <w:rsid w:val="00DE266D"/>
    <w:rsid w:val="00DE3278"/>
    <w:rsid w:val="00DE3AA0"/>
    <w:rsid w:val="00DE3BBB"/>
    <w:rsid w:val="00DE401E"/>
    <w:rsid w:val="00DE545B"/>
    <w:rsid w:val="00DE5599"/>
    <w:rsid w:val="00DE588C"/>
    <w:rsid w:val="00DE5AE4"/>
    <w:rsid w:val="00DE5CB6"/>
    <w:rsid w:val="00DE66AA"/>
    <w:rsid w:val="00DE6A88"/>
    <w:rsid w:val="00DE732C"/>
    <w:rsid w:val="00DE7592"/>
    <w:rsid w:val="00DE7D1E"/>
    <w:rsid w:val="00DF022C"/>
    <w:rsid w:val="00DF05D1"/>
    <w:rsid w:val="00DF09EB"/>
    <w:rsid w:val="00DF137B"/>
    <w:rsid w:val="00DF1684"/>
    <w:rsid w:val="00DF18DF"/>
    <w:rsid w:val="00DF275A"/>
    <w:rsid w:val="00DF398A"/>
    <w:rsid w:val="00DF3D19"/>
    <w:rsid w:val="00DF4510"/>
    <w:rsid w:val="00DF4CFC"/>
    <w:rsid w:val="00DF4E5D"/>
    <w:rsid w:val="00DF4E99"/>
    <w:rsid w:val="00DF4F53"/>
    <w:rsid w:val="00DF55B2"/>
    <w:rsid w:val="00DF62DD"/>
    <w:rsid w:val="00DF6413"/>
    <w:rsid w:val="00DF6968"/>
    <w:rsid w:val="00DF69B4"/>
    <w:rsid w:val="00DF69D1"/>
    <w:rsid w:val="00DF6E0D"/>
    <w:rsid w:val="00DF722B"/>
    <w:rsid w:val="00DF795A"/>
    <w:rsid w:val="00E00094"/>
    <w:rsid w:val="00E0195B"/>
    <w:rsid w:val="00E02538"/>
    <w:rsid w:val="00E025D7"/>
    <w:rsid w:val="00E02673"/>
    <w:rsid w:val="00E0354A"/>
    <w:rsid w:val="00E03D5B"/>
    <w:rsid w:val="00E05814"/>
    <w:rsid w:val="00E06A8C"/>
    <w:rsid w:val="00E06AE0"/>
    <w:rsid w:val="00E06C37"/>
    <w:rsid w:val="00E06C70"/>
    <w:rsid w:val="00E07120"/>
    <w:rsid w:val="00E071B6"/>
    <w:rsid w:val="00E1018D"/>
    <w:rsid w:val="00E10194"/>
    <w:rsid w:val="00E110DF"/>
    <w:rsid w:val="00E11C33"/>
    <w:rsid w:val="00E11CA9"/>
    <w:rsid w:val="00E11F92"/>
    <w:rsid w:val="00E1210D"/>
    <w:rsid w:val="00E12549"/>
    <w:rsid w:val="00E12DC6"/>
    <w:rsid w:val="00E1389B"/>
    <w:rsid w:val="00E14B4E"/>
    <w:rsid w:val="00E14B80"/>
    <w:rsid w:val="00E14D2F"/>
    <w:rsid w:val="00E1623B"/>
    <w:rsid w:val="00E16B10"/>
    <w:rsid w:val="00E16BCF"/>
    <w:rsid w:val="00E170F2"/>
    <w:rsid w:val="00E17902"/>
    <w:rsid w:val="00E17A22"/>
    <w:rsid w:val="00E17B39"/>
    <w:rsid w:val="00E17C4C"/>
    <w:rsid w:val="00E20751"/>
    <w:rsid w:val="00E20ED1"/>
    <w:rsid w:val="00E20F59"/>
    <w:rsid w:val="00E21024"/>
    <w:rsid w:val="00E21148"/>
    <w:rsid w:val="00E213F4"/>
    <w:rsid w:val="00E21C9C"/>
    <w:rsid w:val="00E21ED6"/>
    <w:rsid w:val="00E2228A"/>
    <w:rsid w:val="00E2265B"/>
    <w:rsid w:val="00E22DCE"/>
    <w:rsid w:val="00E24532"/>
    <w:rsid w:val="00E24CFE"/>
    <w:rsid w:val="00E254E5"/>
    <w:rsid w:val="00E25B48"/>
    <w:rsid w:val="00E27228"/>
    <w:rsid w:val="00E27672"/>
    <w:rsid w:val="00E27EBD"/>
    <w:rsid w:val="00E30547"/>
    <w:rsid w:val="00E31003"/>
    <w:rsid w:val="00E3135F"/>
    <w:rsid w:val="00E3153E"/>
    <w:rsid w:val="00E316DF"/>
    <w:rsid w:val="00E32367"/>
    <w:rsid w:val="00E3241D"/>
    <w:rsid w:val="00E324E4"/>
    <w:rsid w:val="00E334EE"/>
    <w:rsid w:val="00E335CF"/>
    <w:rsid w:val="00E339C0"/>
    <w:rsid w:val="00E339FA"/>
    <w:rsid w:val="00E33A13"/>
    <w:rsid w:val="00E33A55"/>
    <w:rsid w:val="00E33E63"/>
    <w:rsid w:val="00E34A14"/>
    <w:rsid w:val="00E34B90"/>
    <w:rsid w:val="00E34EA4"/>
    <w:rsid w:val="00E3523D"/>
    <w:rsid w:val="00E35D94"/>
    <w:rsid w:val="00E360C3"/>
    <w:rsid w:val="00E3648E"/>
    <w:rsid w:val="00E368A3"/>
    <w:rsid w:val="00E36A81"/>
    <w:rsid w:val="00E36E35"/>
    <w:rsid w:val="00E36EA6"/>
    <w:rsid w:val="00E37EC4"/>
    <w:rsid w:val="00E40AAB"/>
    <w:rsid w:val="00E41126"/>
    <w:rsid w:val="00E41531"/>
    <w:rsid w:val="00E4271D"/>
    <w:rsid w:val="00E42B0A"/>
    <w:rsid w:val="00E42DC6"/>
    <w:rsid w:val="00E42E50"/>
    <w:rsid w:val="00E431F4"/>
    <w:rsid w:val="00E439E3"/>
    <w:rsid w:val="00E43A0A"/>
    <w:rsid w:val="00E446EA"/>
    <w:rsid w:val="00E44725"/>
    <w:rsid w:val="00E45088"/>
    <w:rsid w:val="00E46354"/>
    <w:rsid w:val="00E4663A"/>
    <w:rsid w:val="00E46AA5"/>
    <w:rsid w:val="00E472FE"/>
    <w:rsid w:val="00E47455"/>
    <w:rsid w:val="00E47C2E"/>
    <w:rsid w:val="00E50B5E"/>
    <w:rsid w:val="00E50BA1"/>
    <w:rsid w:val="00E51556"/>
    <w:rsid w:val="00E52151"/>
    <w:rsid w:val="00E523E0"/>
    <w:rsid w:val="00E5322B"/>
    <w:rsid w:val="00E53482"/>
    <w:rsid w:val="00E53AD1"/>
    <w:rsid w:val="00E53B0A"/>
    <w:rsid w:val="00E53D90"/>
    <w:rsid w:val="00E53F9B"/>
    <w:rsid w:val="00E542A3"/>
    <w:rsid w:val="00E545F1"/>
    <w:rsid w:val="00E54611"/>
    <w:rsid w:val="00E54757"/>
    <w:rsid w:val="00E54C22"/>
    <w:rsid w:val="00E56C08"/>
    <w:rsid w:val="00E5737A"/>
    <w:rsid w:val="00E60418"/>
    <w:rsid w:val="00E605A6"/>
    <w:rsid w:val="00E605BE"/>
    <w:rsid w:val="00E615B8"/>
    <w:rsid w:val="00E61792"/>
    <w:rsid w:val="00E619E5"/>
    <w:rsid w:val="00E61AA0"/>
    <w:rsid w:val="00E61D45"/>
    <w:rsid w:val="00E62639"/>
    <w:rsid w:val="00E62B59"/>
    <w:rsid w:val="00E63180"/>
    <w:rsid w:val="00E63736"/>
    <w:rsid w:val="00E63B19"/>
    <w:rsid w:val="00E63B72"/>
    <w:rsid w:val="00E65B0D"/>
    <w:rsid w:val="00E65B7B"/>
    <w:rsid w:val="00E65C7D"/>
    <w:rsid w:val="00E6606B"/>
    <w:rsid w:val="00E6665D"/>
    <w:rsid w:val="00E667CD"/>
    <w:rsid w:val="00E66E29"/>
    <w:rsid w:val="00E66F97"/>
    <w:rsid w:val="00E67F29"/>
    <w:rsid w:val="00E707B9"/>
    <w:rsid w:val="00E709F2"/>
    <w:rsid w:val="00E70F12"/>
    <w:rsid w:val="00E721C0"/>
    <w:rsid w:val="00E729DD"/>
    <w:rsid w:val="00E72D54"/>
    <w:rsid w:val="00E72F3C"/>
    <w:rsid w:val="00E736AD"/>
    <w:rsid w:val="00E737E8"/>
    <w:rsid w:val="00E73AEC"/>
    <w:rsid w:val="00E7445A"/>
    <w:rsid w:val="00E74C77"/>
    <w:rsid w:val="00E7537B"/>
    <w:rsid w:val="00E75E72"/>
    <w:rsid w:val="00E76E40"/>
    <w:rsid w:val="00E77C1A"/>
    <w:rsid w:val="00E80C2B"/>
    <w:rsid w:val="00E81703"/>
    <w:rsid w:val="00E818DB"/>
    <w:rsid w:val="00E81DB5"/>
    <w:rsid w:val="00E82414"/>
    <w:rsid w:val="00E82A1C"/>
    <w:rsid w:val="00E82A26"/>
    <w:rsid w:val="00E82AD6"/>
    <w:rsid w:val="00E82AD8"/>
    <w:rsid w:val="00E82D38"/>
    <w:rsid w:val="00E82E29"/>
    <w:rsid w:val="00E838E2"/>
    <w:rsid w:val="00E83A0D"/>
    <w:rsid w:val="00E83F65"/>
    <w:rsid w:val="00E849B3"/>
    <w:rsid w:val="00E84D84"/>
    <w:rsid w:val="00E84E77"/>
    <w:rsid w:val="00E853AE"/>
    <w:rsid w:val="00E85659"/>
    <w:rsid w:val="00E85A65"/>
    <w:rsid w:val="00E85D2B"/>
    <w:rsid w:val="00E86B19"/>
    <w:rsid w:val="00E86C5A"/>
    <w:rsid w:val="00E86D0E"/>
    <w:rsid w:val="00E8783F"/>
    <w:rsid w:val="00E90431"/>
    <w:rsid w:val="00E90DDB"/>
    <w:rsid w:val="00E91156"/>
    <w:rsid w:val="00E9174A"/>
    <w:rsid w:val="00E91E51"/>
    <w:rsid w:val="00E925E9"/>
    <w:rsid w:val="00E92F28"/>
    <w:rsid w:val="00E93948"/>
    <w:rsid w:val="00E93C44"/>
    <w:rsid w:val="00E94429"/>
    <w:rsid w:val="00E94730"/>
    <w:rsid w:val="00E94AA9"/>
    <w:rsid w:val="00E9554A"/>
    <w:rsid w:val="00E959CB"/>
    <w:rsid w:val="00E95E39"/>
    <w:rsid w:val="00E965B4"/>
    <w:rsid w:val="00E97C57"/>
    <w:rsid w:val="00EA22B9"/>
    <w:rsid w:val="00EA22C9"/>
    <w:rsid w:val="00EA23AB"/>
    <w:rsid w:val="00EA2E3D"/>
    <w:rsid w:val="00EA3497"/>
    <w:rsid w:val="00EA3AF3"/>
    <w:rsid w:val="00EA5C10"/>
    <w:rsid w:val="00EA5D19"/>
    <w:rsid w:val="00EA71EE"/>
    <w:rsid w:val="00EB0142"/>
    <w:rsid w:val="00EB07E9"/>
    <w:rsid w:val="00EB0A4D"/>
    <w:rsid w:val="00EB1383"/>
    <w:rsid w:val="00EB141B"/>
    <w:rsid w:val="00EB18BA"/>
    <w:rsid w:val="00EB2302"/>
    <w:rsid w:val="00EB2829"/>
    <w:rsid w:val="00EB28D8"/>
    <w:rsid w:val="00EB2ECD"/>
    <w:rsid w:val="00EB374D"/>
    <w:rsid w:val="00EB3DA0"/>
    <w:rsid w:val="00EB4179"/>
    <w:rsid w:val="00EB502C"/>
    <w:rsid w:val="00EB518B"/>
    <w:rsid w:val="00EB52C0"/>
    <w:rsid w:val="00EB5436"/>
    <w:rsid w:val="00EB67F2"/>
    <w:rsid w:val="00EB6CBF"/>
    <w:rsid w:val="00EB6FE0"/>
    <w:rsid w:val="00EB6FFC"/>
    <w:rsid w:val="00EB7430"/>
    <w:rsid w:val="00EB78BD"/>
    <w:rsid w:val="00EB7A6E"/>
    <w:rsid w:val="00EB7C7A"/>
    <w:rsid w:val="00EC0407"/>
    <w:rsid w:val="00EC0555"/>
    <w:rsid w:val="00EC0F92"/>
    <w:rsid w:val="00EC1A3D"/>
    <w:rsid w:val="00EC37DD"/>
    <w:rsid w:val="00EC39B5"/>
    <w:rsid w:val="00EC3E63"/>
    <w:rsid w:val="00EC4286"/>
    <w:rsid w:val="00EC4939"/>
    <w:rsid w:val="00EC5169"/>
    <w:rsid w:val="00EC5DCA"/>
    <w:rsid w:val="00EC5FEA"/>
    <w:rsid w:val="00EC6754"/>
    <w:rsid w:val="00EC6A35"/>
    <w:rsid w:val="00EC73D4"/>
    <w:rsid w:val="00EC7A26"/>
    <w:rsid w:val="00EC7F44"/>
    <w:rsid w:val="00ED0713"/>
    <w:rsid w:val="00ED1922"/>
    <w:rsid w:val="00ED1968"/>
    <w:rsid w:val="00ED1F8E"/>
    <w:rsid w:val="00ED2B3D"/>
    <w:rsid w:val="00ED313C"/>
    <w:rsid w:val="00ED3B18"/>
    <w:rsid w:val="00ED4480"/>
    <w:rsid w:val="00ED4543"/>
    <w:rsid w:val="00ED48C6"/>
    <w:rsid w:val="00ED6277"/>
    <w:rsid w:val="00ED639B"/>
    <w:rsid w:val="00ED6AE8"/>
    <w:rsid w:val="00ED74BA"/>
    <w:rsid w:val="00ED7A71"/>
    <w:rsid w:val="00EE074F"/>
    <w:rsid w:val="00EE0FAE"/>
    <w:rsid w:val="00EE1947"/>
    <w:rsid w:val="00EE1B1A"/>
    <w:rsid w:val="00EE1CC5"/>
    <w:rsid w:val="00EE2B19"/>
    <w:rsid w:val="00EE4A2C"/>
    <w:rsid w:val="00EE5814"/>
    <w:rsid w:val="00EE6089"/>
    <w:rsid w:val="00EE6993"/>
    <w:rsid w:val="00EE6B63"/>
    <w:rsid w:val="00EE6CB5"/>
    <w:rsid w:val="00EE72E9"/>
    <w:rsid w:val="00EE77AA"/>
    <w:rsid w:val="00EE7B23"/>
    <w:rsid w:val="00EE7BF6"/>
    <w:rsid w:val="00EF019D"/>
    <w:rsid w:val="00EF0726"/>
    <w:rsid w:val="00EF08D6"/>
    <w:rsid w:val="00EF0918"/>
    <w:rsid w:val="00EF0B38"/>
    <w:rsid w:val="00EF0F5C"/>
    <w:rsid w:val="00EF358E"/>
    <w:rsid w:val="00EF3928"/>
    <w:rsid w:val="00EF451B"/>
    <w:rsid w:val="00EF48D2"/>
    <w:rsid w:val="00EF4E3A"/>
    <w:rsid w:val="00EF5288"/>
    <w:rsid w:val="00EF54A2"/>
    <w:rsid w:val="00EF56B8"/>
    <w:rsid w:val="00EF59CB"/>
    <w:rsid w:val="00EF6666"/>
    <w:rsid w:val="00EF6AC8"/>
    <w:rsid w:val="00EF6C2C"/>
    <w:rsid w:val="00EF7D52"/>
    <w:rsid w:val="00F0010D"/>
    <w:rsid w:val="00F00B60"/>
    <w:rsid w:val="00F00EC8"/>
    <w:rsid w:val="00F01336"/>
    <w:rsid w:val="00F01BE3"/>
    <w:rsid w:val="00F01E79"/>
    <w:rsid w:val="00F0349F"/>
    <w:rsid w:val="00F0392D"/>
    <w:rsid w:val="00F04672"/>
    <w:rsid w:val="00F06107"/>
    <w:rsid w:val="00F06150"/>
    <w:rsid w:val="00F06232"/>
    <w:rsid w:val="00F0628E"/>
    <w:rsid w:val="00F06A33"/>
    <w:rsid w:val="00F07377"/>
    <w:rsid w:val="00F07819"/>
    <w:rsid w:val="00F103F0"/>
    <w:rsid w:val="00F10588"/>
    <w:rsid w:val="00F112AF"/>
    <w:rsid w:val="00F11860"/>
    <w:rsid w:val="00F12377"/>
    <w:rsid w:val="00F12DD2"/>
    <w:rsid w:val="00F13FAE"/>
    <w:rsid w:val="00F1431A"/>
    <w:rsid w:val="00F146FF"/>
    <w:rsid w:val="00F147AC"/>
    <w:rsid w:val="00F149DD"/>
    <w:rsid w:val="00F14C88"/>
    <w:rsid w:val="00F14F05"/>
    <w:rsid w:val="00F15010"/>
    <w:rsid w:val="00F15885"/>
    <w:rsid w:val="00F158B2"/>
    <w:rsid w:val="00F161E5"/>
    <w:rsid w:val="00F162CF"/>
    <w:rsid w:val="00F17356"/>
    <w:rsid w:val="00F17792"/>
    <w:rsid w:val="00F17AFA"/>
    <w:rsid w:val="00F2080E"/>
    <w:rsid w:val="00F2093B"/>
    <w:rsid w:val="00F21993"/>
    <w:rsid w:val="00F21DFC"/>
    <w:rsid w:val="00F22B97"/>
    <w:rsid w:val="00F23A26"/>
    <w:rsid w:val="00F23D0C"/>
    <w:rsid w:val="00F240E8"/>
    <w:rsid w:val="00F24CE1"/>
    <w:rsid w:val="00F24F36"/>
    <w:rsid w:val="00F24FA1"/>
    <w:rsid w:val="00F25766"/>
    <w:rsid w:val="00F25F36"/>
    <w:rsid w:val="00F26929"/>
    <w:rsid w:val="00F26AF4"/>
    <w:rsid w:val="00F26FAA"/>
    <w:rsid w:val="00F27E12"/>
    <w:rsid w:val="00F27E49"/>
    <w:rsid w:val="00F30604"/>
    <w:rsid w:val="00F31416"/>
    <w:rsid w:val="00F3251D"/>
    <w:rsid w:val="00F32972"/>
    <w:rsid w:val="00F33B25"/>
    <w:rsid w:val="00F33CB9"/>
    <w:rsid w:val="00F34060"/>
    <w:rsid w:val="00F3423C"/>
    <w:rsid w:val="00F34614"/>
    <w:rsid w:val="00F3481C"/>
    <w:rsid w:val="00F34F2E"/>
    <w:rsid w:val="00F351EF"/>
    <w:rsid w:val="00F36274"/>
    <w:rsid w:val="00F367E8"/>
    <w:rsid w:val="00F37229"/>
    <w:rsid w:val="00F379BD"/>
    <w:rsid w:val="00F379FA"/>
    <w:rsid w:val="00F37E49"/>
    <w:rsid w:val="00F40250"/>
    <w:rsid w:val="00F40E76"/>
    <w:rsid w:val="00F40E7A"/>
    <w:rsid w:val="00F41B8E"/>
    <w:rsid w:val="00F422A6"/>
    <w:rsid w:val="00F42628"/>
    <w:rsid w:val="00F42C51"/>
    <w:rsid w:val="00F43EB4"/>
    <w:rsid w:val="00F445F9"/>
    <w:rsid w:val="00F4474D"/>
    <w:rsid w:val="00F44F7C"/>
    <w:rsid w:val="00F45434"/>
    <w:rsid w:val="00F465AF"/>
    <w:rsid w:val="00F4684C"/>
    <w:rsid w:val="00F47462"/>
    <w:rsid w:val="00F476D2"/>
    <w:rsid w:val="00F5044E"/>
    <w:rsid w:val="00F50853"/>
    <w:rsid w:val="00F50DB5"/>
    <w:rsid w:val="00F5155D"/>
    <w:rsid w:val="00F51D3F"/>
    <w:rsid w:val="00F51D61"/>
    <w:rsid w:val="00F51EC3"/>
    <w:rsid w:val="00F52977"/>
    <w:rsid w:val="00F53B22"/>
    <w:rsid w:val="00F541C8"/>
    <w:rsid w:val="00F54914"/>
    <w:rsid w:val="00F549E0"/>
    <w:rsid w:val="00F55161"/>
    <w:rsid w:val="00F55364"/>
    <w:rsid w:val="00F55B58"/>
    <w:rsid w:val="00F5601E"/>
    <w:rsid w:val="00F56738"/>
    <w:rsid w:val="00F5675C"/>
    <w:rsid w:val="00F56A11"/>
    <w:rsid w:val="00F576CB"/>
    <w:rsid w:val="00F57792"/>
    <w:rsid w:val="00F578AE"/>
    <w:rsid w:val="00F6046E"/>
    <w:rsid w:val="00F60518"/>
    <w:rsid w:val="00F60E63"/>
    <w:rsid w:val="00F614EE"/>
    <w:rsid w:val="00F61701"/>
    <w:rsid w:val="00F61787"/>
    <w:rsid w:val="00F61D21"/>
    <w:rsid w:val="00F63125"/>
    <w:rsid w:val="00F63526"/>
    <w:rsid w:val="00F63BEE"/>
    <w:rsid w:val="00F64BF4"/>
    <w:rsid w:val="00F6544A"/>
    <w:rsid w:val="00F659F3"/>
    <w:rsid w:val="00F67331"/>
    <w:rsid w:val="00F67403"/>
    <w:rsid w:val="00F675A7"/>
    <w:rsid w:val="00F7007A"/>
    <w:rsid w:val="00F702D5"/>
    <w:rsid w:val="00F7068F"/>
    <w:rsid w:val="00F70A4F"/>
    <w:rsid w:val="00F70A80"/>
    <w:rsid w:val="00F71022"/>
    <w:rsid w:val="00F71DEF"/>
    <w:rsid w:val="00F71E48"/>
    <w:rsid w:val="00F7204E"/>
    <w:rsid w:val="00F722FF"/>
    <w:rsid w:val="00F72459"/>
    <w:rsid w:val="00F7260C"/>
    <w:rsid w:val="00F72B56"/>
    <w:rsid w:val="00F7315E"/>
    <w:rsid w:val="00F733BD"/>
    <w:rsid w:val="00F7378E"/>
    <w:rsid w:val="00F739B6"/>
    <w:rsid w:val="00F73C55"/>
    <w:rsid w:val="00F73E76"/>
    <w:rsid w:val="00F7456C"/>
    <w:rsid w:val="00F7468A"/>
    <w:rsid w:val="00F74857"/>
    <w:rsid w:val="00F752AD"/>
    <w:rsid w:val="00F75B16"/>
    <w:rsid w:val="00F75CE1"/>
    <w:rsid w:val="00F7690D"/>
    <w:rsid w:val="00F76DE6"/>
    <w:rsid w:val="00F7776A"/>
    <w:rsid w:val="00F77813"/>
    <w:rsid w:val="00F77A38"/>
    <w:rsid w:val="00F77A39"/>
    <w:rsid w:val="00F805A7"/>
    <w:rsid w:val="00F81097"/>
    <w:rsid w:val="00F813F6"/>
    <w:rsid w:val="00F817A8"/>
    <w:rsid w:val="00F822A0"/>
    <w:rsid w:val="00F828E0"/>
    <w:rsid w:val="00F82906"/>
    <w:rsid w:val="00F829CF"/>
    <w:rsid w:val="00F83667"/>
    <w:rsid w:val="00F83683"/>
    <w:rsid w:val="00F83B4A"/>
    <w:rsid w:val="00F8513C"/>
    <w:rsid w:val="00F851D3"/>
    <w:rsid w:val="00F851F5"/>
    <w:rsid w:val="00F85441"/>
    <w:rsid w:val="00F856A2"/>
    <w:rsid w:val="00F85D7F"/>
    <w:rsid w:val="00F860D8"/>
    <w:rsid w:val="00F86772"/>
    <w:rsid w:val="00F86D8A"/>
    <w:rsid w:val="00F87388"/>
    <w:rsid w:val="00F87A3D"/>
    <w:rsid w:val="00F87C22"/>
    <w:rsid w:val="00F903E2"/>
    <w:rsid w:val="00F90F1A"/>
    <w:rsid w:val="00F91539"/>
    <w:rsid w:val="00F91843"/>
    <w:rsid w:val="00F91ADA"/>
    <w:rsid w:val="00F91B8E"/>
    <w:rsid w:val="00F91C12"/>
    <w:rsid w:val="00F92E3C"/>
    <w:rsid w:val="00F9346C"/>
    <w:rsid w:val="00F9372A"/>
    <w:rsid w:val="00F938DB"/>
    <w:rsid w:val="00F93C4D"/>
    <w:rsid w:val="00F93D77"/>
    <w:rsid w:val="00F948C3"/>
    <w:rsid w:val="00F95A4B"/>
    <w:rsid w:val="00F95B63"/>
    <w:rsid w:val="00F96637"/>
    <w:rsid w:val="00F96725"/>
    <w:rsid w:val="00F96E10"/>
    <w:rsid w:val="00F970EB"/>
    <w:rsid w:val="00F97CA2"/>
    <w:rsid w:val="00F97DE0"/>
    <w:rsid w:val="00FA059F"/>
    <w:rsid w:val="00FA0E46"/>
    <w:rsid w:val="00FA10E3"/>
    <w:rsid w:val="00FA13E0"/>
    <w:rsid w:val="00FA1451"/>
    <w:rsid w:val="00FA2621"/>
    <w:rsid w:val="00FA2D04"/>
    <w:rsid w:val="00FA3F08"/>
    <w:rsid w:val="00FA4531"/>
    <w:rsid w:val="00FA4EED"/>
    <w:rsid w:val="00FA586F"/>
    <w:rsid w:val="00FA5C71"/>
    <w:rsid w:val="00FA7746"/>
    <w:rsid w:val="00FA7901"/>
    <w:rsid w:val="00FB111B"/>
    <w:rsid w:val="00FB12CF"/>
    <w:rsid w:val="00FB156B"/>
    <w:rsid w:val="00FB19F5"/>
    <w:rsid w:val="00FB248F"/>
    <w:rsid w:val="00FB28E9"/>
    <w:rsid w:val="00FB365C"/>
    <w:rsid w:val="00FB3763"/>
    <w:rsid w:val="00FB3C8F"/>
    <w:rsid w:val="00FB4520"/>
    <w:rsid w:val="00FB517B"/>
    <w:rsid w:val="00FB54D6"/>
    <w:rsid w:val="00FB56F4"/>
    <w:rsid w:val="00FB5AB5"/>
    <w:rsid w:val="00FB5E61"/>
    <w:rsid w:val="00FB6A92"/>
    <w:rsid w:val="00FB72A2"/>
    <w:rsid w:val="00FB7D83"/>
    <w:rsid w:val="00FB7E92"/>
    <w:rsid w:val="00FB7F44"/>
    <w:rsid w:val="00FC0266"/>
    <w:rsid w:val="00FC0485"/>
    <w:rsid w:val="00FC0ADF"/>
    <w:rsid w:val="00FC1721"/>
    <w:rsid w:val="00FC1DEA"/>
    <w:rsid w:val="00FC1FD6"/>
    <w:rsid w:val="00FC2825"/>
    <w:rsid w:val="00FC2EBD"/>
    <w:rsid w:val="00FC2F20"/>
    <w:rsid w:val="00FC3022"/>
    <w:rsid w:val="00FC33A4"/>
    <w:rsid w:val="00FC38C8"/>
    <w:rsid w:val="00FC3F99"/>
    <w:rsid w:val="00FC62A7"/>
    <w:rsid w:val="00FC65A2"/>
    <w:rsid w:val="00FC7898"/>
    <w:rsid w:val="00FC7ABC"/>
    <w:rsid w:val="00FC7F0C"/>
    <w:rsid w:val="00FD09CF"/>
    <w:rsid w:val="00FD09F9"/>
    <w:rsid w:val="00FD0C5E"/>
    <w:rsid w:val="00FD12C3"/>
    <w:rsid w:val="00FD1ACA"/>
    <w:rsid w:val="00FD1B0D"/>
    <w:rsid w:val="00FD234A"/>
    <w:rsid w:val="00FD24A8"/>
    <w:rsid w:val="00FD33E1"/>
    <w:rsid w:val="00FD3BE1"/>
    <w:rsid w:val="00FD3CDB"/>
    <w:rsid w:val="00FD3D81"/>
    <w:rsid w:val="00FD5738"/>
    <w:rsid w:val="00FD5F5F"/>
    <w:rsid w:val="00FD63E2"/>
    <w:rsid w:val="00FD6D65"/>
    <w:rsid w:val="00FD6DA7"/>
    <w:rsid w:val="00FD73FB"/>
    <w:rsid w:val="00FD7695"/>
    <w:rsid w:val="00FE02B7"/>
    <w:rsid w:val="00FE06BC"/>
    <w:rsid w:val="00FE13C3"/>
    <w:rsid w:val="00FE1469"/>
    <w:rsid w:val="00FE198C"/>
    <w:rsid w:val="00FE1DD9"/>
    <w:rsid w:val="00FE2014"/>
    <w:rsid w:val="00FE26E0"/>
    <w:rsid w:val="00FE2B71"/>
    <w:rsid w:val="00FE30AD"/>
    <w:rsid w:val="00FE3FB8"/>
    <w:rsid w:val="00FE4355"/>
    <w:rsid w:val="00FE4E54"/>
    <w:rsid w:val="00FE5AFB"/>
    <w:rsid w:val="00FE64E5"/>
    <w:rsid w:val="00FF0FC1"/>
    <w:rsid w:val="00FF15E4"/>
    <w:rsid w:val="00FF189F"/>
    <w:rsid w:val="00FF266A"/>
    <w:rsid w:val="00FF349E"/>
    <w:rsid w:val="00FF4211"/>
    <w:rsid w:val="00FF47A2"/>
    <w:rsid w:val="00FF53A2"/>
    <w:rsid w:val="00FF64B1"/>
    <w:rsid w:val="00FF69E5"/>
    <w:rsid w:val="00FF6E2F"/>
    <w:rsid w:val="00FF6FC3"/>
    <w:rsid w:val="00FF70DF"/>
    <w:rsid w:val="00FF788A"/>
    <w:rsid w:val="14C0D860"/>
    <w:rsid w:val="2EB034DA"/>
    <w:rsid w:val="2EC91BDE"/>
    <w:rsid w:val="3170B2D0"/>
    <w:rsid w:val="5754C5AB"/>
    <w:rsid w:val="577E8E60"/>
    <w:rsid w:val="59460132"/>
    <w:rsid w:val="63E69372"/>
    <w:rsid w:val="754208AA"/>
  </w:rsids>
  <m:mathPr>
    <m:mathFont m:val="Cambria Math"/>
    <m:brkBin m:val="before"/>
    <m:brkBinSub m:val="--"/>
    <m:smallFrac m:val="0"/>
    <m:dispDef/>
    <m:lMargin m:val="0"/>
    <m:rMargin m:val="0"/>
    <m:defJc m:val="centerGroup"/>
    <m:wrapIndent m:val="1440"/>
    <m:intLim m:val="subSup"/>
    <m:naryLim m:val="undOvr"/>
  </m:mathPr>
  <w:themeFontLang w:val="fr-CI"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D41"/>
  <w15:chartTrackingRefBased/>
  <w15:docId w15:val="{0DDAF98F-3602-4CA9-B747-800C9162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A85"/>
    <w:pPr>
      <w:spacing w:before="100" w:beforeAutospacing="1" w:after="120" w:afterAutospacing="1" w:line="276" w:lineRule="auto"/>
      <w:jc w:val="both"/>
    </w:pPr>
    <w:rPr>
      <w:rFonts w:ascii="Helvetica" w:eastAsia="Times New Roman" w:hAnsi="Helvetica" w:cs="Helvetica"/>
      <w:color w:val="000000"/>
      <w:kern w:val="0"/>
      <w:sz w:val="24"/>
      <w:szCs w:val="22"/>
      <w:lang w:eastAsia="fr-CI"/>
      <w14:ligatures w14:val="none"/>
    </w:rPr>
  </w:style>
  <w:style w:type="paragraph" w:styleId="Heading1">
    <w:name w:val="heading 1"/>
    <w:basedOn w:val="Normal"/>
    <w:next w:val="Normal"/>
    <w:uiPriority w:val="9"/>
    <w:qFormat/>
    <w:rsid w:val="00A50091"/>
    <w:pPr>
      <w:keepNext/>
      <w:keepLines/>
      <w:spacing w:before="240" w:after="120"/>
      <w:ind w:left="0"/>
      <w:jc w:val="left"/>
      <w:outlineLvl w:val="0"/>
    </w:pPr>
    <w:rPr>
      <w:rFonts w:ascii="Helvetica" w:hAnsi="Helvetica"/>
      <w:b/>
      <w:i w:val="0"/>
      <w:color w:val="000000"/>
      <w:sz w:val="30"/>
      <w:szCs w:val="32"/>
    </w:rPr>
  </w:style>
  <w:style w:type="paragraph" w:styleId="Heading2">
    <w:name w:val="heading 2"/>
    <w:basedOn w:val="Heading1"/>
    <w:next w:val="Normal"/>
    <w:uiPriority w:val="9"/>
    <w:unhideWhenUsed/>
    <w:qFormat/>
    <w:rsid w:val="00AF5061"/>
    <w:pPr>
      <w:keepNext/>
      <w:spacing w:before="240" w:after="120"/>
      <w:ind w:left="0"/>
      <w:jc w:val="left"/>
      <w:outlineLvl w:val="1"/>
    </w:pPr>
    <w:rPr>
      <w:rFonts w:eastAsia="Helvetica" w:ascii="Helvetica" w:hAnsi="Helvetica"/>
      <w:b/>
      <w:i w:val="0"/>
      <w:color w:val="000000"/>
      <w:sz w:val="28"/>
      <w:szCs w:val="28"/>
    </w:rPr>
  </w:style>
  <w:style w:type="paragraph" w:styleId="Heading3">
    <w:name w:val="heading 3"/>
    <w:basedOn w:val="Heading2"/>
    <w:next w:val="Normal"/>
    <w:uiPriority w:val="9"/>
    <w:unhideWhenUsed/>
    <w:qFormat/>
    <w:rsid w:val="00AF5061"/>
    <w:pPr>
      <w:keepNext/>
      <w:spacing w:before="240" w:after="120"/>
      <w:ind w:left="0"/>
      <w:jc w:val="left"/>
      <w:outlineLvl w:val="2"/>
    </w:pPr>
    <w:rPr>
      <w:rFonts w:ascii="Helvetica" w:hAnsi="Helvetica"/>
      <w:b/>
      <w:i w:val="0"/>
      <w:color w:val="000000"/>
      <w:sz w:val="26"/>
    </w:rPr>
  </w:style>
  <w:style w:type="paragraph" w:styleId="Heading4">
    <w:name w:val="heading 4"/>
    <w:basedOn w:val="Normal"/>
    <w:next w:val="Normal"/>
    <w:uiPriority w:val="9"/>
    <w:unhideWhenUsed/>
    <w:qFormat/>
    <w:rsid w:val="00D07C4B"/>
    <w:pPr>
      <w:keepNext/>
      <w:keepLines/>
      <w:spacing w:before="240" w:after="120"/>
      <w:ind w:left="0"/>
      <w:jc w:val="left"/>
      <w:outlineLvl w:val="3"/>
    </w:pPr>
    <w:rPr>
      <w:rFonts w:eastAsiaTheme="majorEastAsia" w:cstheme="majorBidi" w:ascii="Helvetica" w:hAnsi="Helvetica"/>
      <w:b/>
      <w:i w:val="0"/>
      <w:iCs/>
      <w:color w:val="000000"/>
      <w:sz w:val="24"/>
    </w:rPr>
  </w:style>
  <w:style w:type="paragraph" w:styleId="Heading5">
    <w:name w:val="heading 5"/>
    <w:basedOn w:val="Normal"/>
    <w:next w:val="Normal"/>
    <w:uiPriority w:val="9"/>
    <w:semiHidden/>
    <w:unhideWhenUsed/>
    <w:qFormat/>
    <w:rsid w:val="00D07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D07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D07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D07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D07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D07C4B"/>
    <w:pPr>
      <w:ind w:left="720"/>
      <w:contextualSpacing/>
    </w:pPr>
  </w:style>
  <w:style w:type="character" w:styleId="IntenseEmphasis">
    <w:name w:val="Intense Emphasis"/>
    <w:basedOn w:val="DefaultParagraphFont"/>
    <w:uiPriority w:val="21"/>
    <w:qFormat/>
    <w:rsid w:val="00D07C4B"/>
    <w:rPr>
      <w:i/>
      <w:iCs/>
      <w:color w:val="0F4761" w:themeColor="accent1" w:themeShade="BF"/>
    </w:rPr>
  </w:style>
  <w:style w:type="character" w:styleId="IntenseReference">
    <w:name w:val="Intense Reference"/>
    <w:basedOn w:val="DefaultParagraphFont"/>
    <w:uiPriority w:val="32"/>
    <w:qFormat/>
    <w:rsid w:val="00D07C4B"/>
    <w:rPr>
      <w:b/>
      <w:bCs/>
      <w:smallCaps/>
      <w:color w:val="0F4761" w:themeColor="accent1" w:themeShade="BF"/>
      <w:spacing w:val="5"/>
    </w:rPr>
  </w:style>
  <w:style w:type="character" w:customStyle="1" w:styleId="Titre1Car">
    <w:name w:val="Titre 1 Car"/>
    <w:basedOn w:val="DefaultParagraphFont"/>
    <w:uiPriority w:val="9"/>
    <w:rsid w:val="00CA5C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DefaultParagraphFont"/>
    <w:uiPriority w:val="9"/>
    <w:rsid w:val="00CA5C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DefaultParagraphFont"/>
    <w:uiPriority w:val="9"/>
    <w:rsid w:val="00CA5CA9"/>
    <w:rPr>
      <w:rFonts w:eastAsiaTheme="majorEastAsia" w:cstheme="majorBidi"/>
      <w:color w:val="0F4761" w:themeColor="accent1" w:themeShade="BF"/>
      <w:sz w:val="28"/>
      <w:szCs w:val="28"/>
    </w:rPr>
  </w:style>
  <w:style w:type="character" w:customStyle="1" w:styleId="Titre4Car">
    <w:name w:val="Titre 4 Car"/>
    <w:basedOn w:val="DefaultParagraphFont"/>
    <w:uiPriority w:val="9"/>
    <w:semiHidden/>
    <w:rsid w:val="00CA5CA9"/>
    <w:rPr>
      <w:rFonts w:eastAsiaTheme="majorEastAsia" w:cstheme="majorBidi"/>
      <w:i/>
      <w:iCs/>
      <w:color w:val="0F4761" w:themeColor="accent1" w:themeShade="BF"/>
    </w:rPr>
  </w:style>
  <w:style w:type="character" w:customStyle="1" w:styleId="Titre5Car">
    <w:name w:val="Titre 5 Car"/>
    <w:basedOn w:val="DefaultParagraphFont"/>
    <w:uiPriority w:val="9"/>
    <w:semiHidden/>
    <w:rsid w:val="00CA5CA9"/>
    <w:rPr>
      <w:rFonts w:eastAsiaTheme="majorEastAsia" w:cstheme="majorBidi"/>
      <w:color w:val="0F4761" w:themeColor="accent1" w:themeShade="BF"/>
    </w:rPr>
  </w:style>
  <w:style w:type="character" w:customStyle="1" w:styleId="Titre6Car">
    <w:name w:val="Titre 6 Car"/>
    <w:basedOn w:val="DefaultParagraphFont"/>
    <w:uiPriority w:val="9"/>
    <w:semiHidden/>
    <w:rsid w:val="00CA5CA9"/>
    <w:rPr>
      <w:rFonts w:eastAsiaTheme="majorEastAsia" w:cstheme="majorBidi"/>
      <w:i/>
      <w:iCs/>
      <w:color w:val="595959" w:themeColor="text1" w:themeTint="A6"/>
    </w:rPr>
  </w:style>
  <w:style w:type="character" w:customStyle="1" w:styleId="Titre7Car">
    <w:name w:val="Titre 7 Car"/>
    <w:basedOn w:val="DefaultParagraphFont"/>
    <w:uiPriority w:val="9"/>
    <w:semiHidden/>
    <w:rsid w:val="00CA5CA9"/>
    <w:rPr>
      <w:rFonts w:eastAsiaTheme="majorEastAsia" w:cstheme="majorBidi"/>
      <w:color w:val="595959" w:themeColor="text1" w:themeTint="A6"/>
    </w:rPr>
  </w:style>
  <w:style w:type="character" w:customStyle="1" w:styleId="Titre8Car">
    <w:name w:val="Titre 8 Car"/>
    <w:basedOn w:val="DefaultParagraphFont"/>
    <w:uiPriority w:val="9"/>
    <w:semiHidden/>
    <w:rsid w:val="00CA5CA9"/>
    <w:rPr>
      <w:rFonts w:eastAsiaTheme="majorEastAsia" w:cstheme="majorBidi"/>
      <w:i/>
      <w:iCs/>
      <w:color w:val="272727" w:themeColor="text1" w:themeTint="D8"/>
    </w:rPr>
  </w:style>
  <w:style w:type="character" w:customStyle="1" w:styleId="Titre9Car">
    <w:name w:val="Titre 9 Car"/>
    <w:basedOn w:val="DefaultParagraphFont"/>
    <w:uiPriority w:val="9"/>
    <w:semiHidden/>
    <w:rsid w:val="00CA5CA9"/>
    <w:rPr>
      <w:rFonts w:eastAsiaTheme="majorEastAsia" w:cstheme="majorBidi"/>
      <w:color w:val="272727" w:themeColor="text1" w:themeTint="D8"/>
    </w:rPr>
  </w:style>
  <w:style w:type="character" w:customStyle="1" w:styleId="TitreCar">
    <w:name w:val="Titre Car"/>
    <w:basedOn w:val="DefaultParagraphFont"/>
    <w:uiPriority w:val="10"/>
    <w:rsid w:val="00CA5CA9"/>
    <w:rPr>
      <w:rFonts w:asciiTheme="majorHAnsi" w:eastAsiaTheme="majorEastAsia" w:hAnsiTheme="majorHAnsi" w:cstheme="majorBidi"/>
      <w:spacing w:val="-10"/>
      <w:kern w:val="28"/>
      <w:sz w:val="56"/>
      <w:szCs w:val="56"/>
    </w:rPr>
  </w:style>
  <w:style w:type="character" w:customStyle="1" w:styleId="Sous-titreCar">
    <w:name w:val="Sous-titre Car"/>
    <w:basedOn w:val="DefaultParagraphFont"/>
    <w:uiPriority w:val="11"/>
    <w:rsid w:val="00CA5CA9"/>
    <w:rPr>
      <w:rFonts w:eastAsiaTheme="majorEastAsia" w:cstheme="majorBidi"/>
      <w:color w:val="595959" w:themeColor="text1" w:themeTint="A6"/>
      <w:spacing w:val="15"/>
      <w:sz w:val="28"/>
      <w:szCs w:val="28"/>
    </w:rPr>
  </w:style>
  <w:style w:type="character" w:customStyle="1" w:styleId="CitationCar">
    <w:name w:val="Citation Car"/>
    <w:basedOn w:val="DefaultParagraphFont"/>
    <w:uiPriority w:val="29"/>
    <w:rsid w:val="00CA5CA9"/>
    <w:rPr>
      <w:i/>
      <w:iCs/>
      <w:color w:val="404040" w:themeColor="text1" w:themeTint="BF"/>
    </w:rPr>
  </w:style>
  <w:style w:type="character" w:customStyle="1" w:styleId="CitationintenseCar">
    <w:name w:val="Citation intense Car"/>
    <w:basedOn w:val="DefaultParagraphFont"/>
    <w:uiPriority w:val="30"/>
    <w:rsid w:val="00CA5CA9"/>
    <w:rPr>
      <w:i/>
      <w:iCs/>
      <w:color w:val="0F4761" w:themeColor="accent1" w:themeShade="BF"/>
    </w:rPr>
  </w:style>
  <w:style w:type="paragraph" w:styleId="Header">
    <w:name w:val="header"/>
    <w:basedOn w:val="Normal"/>
    <w:link w:val="HeaderChar"/>
    <w:uiPriority w:val="99"/>
    <w:unhideWhenUsed/>
    <w:rsid w:val="00E82414"/>
    <w:pPr>
      <w:tabs>
        <w:tab w:val="center" w:pos="4536"/>
        <w:tab w:val="right" w:pos="9072"/>
      </w:tabs>
      <w:spacing w:after="0" w:line="240" w:lineRule="auto"/>
    </w:pPr>
  </w:style>
  <w:style w:type="character" w:customStyle="1" w:styleId="HeaderChar">
    <w:name w:val="Header Char"/>
    <w:basedOn w:val="DefaultParagraphFont"/>
    <w:link w:val="Header"/>
    <w:uiPriority w:val="99"/>
    <w:rsid w:val="00E82414"/>
  </w:style>
  <w:style w:type="paragraph" w:styleId="Footer">
    <w:name w:val="footer"/>
    <w:basedOn w:val="Normal"/>
    <w:link w:val="FooterChar"/>
    <w:uiPriority w:val="99"/>
    <w:unhideWhenUsed/>
    <w:rsid w:val="00E82414"/>
    <w:pPr>
      <w:tabs>
        <w:tab w:val="center" w:pos="4536"/>
        <w:tab w:val="right" w:pos="9072"/>
      </w:tabs>
      <w:spacing w:after="0" w:line="240" w:lineRule="auto"/>
    </w:pPr>
  </w:style>
  <w:style w:type="character" w:customStyle="1" w:styleId="FooterChar">
    <w:name w:val="Footer Char"/>
    <w:basedOn w:val="DefaultParagraphFont"/>
    <w:link w:val="Footer"/>
    <w:uiPriority w:val="99"/>
    <w:rsid w:val="00E82414"/>
  </w:style>
  <w:style w:type="paragraph" w:styleId="NormalWeb">
    <w:name w:val="Normal (Web)"/>
    <w:basedOn w:val="Normal"/>
    <w:uiPriority w:val="99"/>
    <w:unhideWhenUsed/>
    <w:rsid w:val="00E82414"/>
    <w:pPr>
      <w:spacing w:line="240" w:lineRule="auto"/>
    </w:pPr>
    <w:rPr>
      <w:rFonts w:ascii="Times New Roman" w:hAnsi="Times New Roman" w:cs="Times New Roman"/>
      <w:lang w:val="fr-FR"/>
    </w:rPr>
  </w:style>
  <w:style w:type="paragraph" w:customStyle="1" w:styleId="isselectedend">
    <w:name w:val="isselectedend"/>
    <w:basedOn w:val="Normal"/>
    <w:rsid w:val="00E82414"/>
    <w:pPr>
      <w:spacing w:line="240" w:lineRule="auto"/>
    </w:pPr>
    <w:rPr>
      <w:rFonts w:ascii="Times New Roman" w:hAnsi="Times New Roman" w:cs="Times New Roman"/>
      <w:lang w:val="fr-FR"/>
    </w:rPr>
  </w:style>
  <w:style w:type="character" w:styleId="Strong">
    <w:name w:val="Strong"/>
    <w:basedOn w:val="DefaultParagraphFont"/>
    <w:uiPriority w:val="22"/>
    <w:qFormat/>
    <w:rsid w:val="00E82414"/>
    <w:rPr>
      <w:b/>
      <w:bCs/>
    </w:rPr>
  </w:style>
  <w:style w:type="paragraph" w:styleId="Caption">
    <w:name w:val="caption"/>
    <w:basedOn w:val="Normal"/>
    <w:next w:val="Normal"/>
    <w:unhideWhenUsed/>
    <w:qFormat/>
    <w:rsid w:val="00E82414"/>
    <w:pPr>
      <w:spacing w:after="200" w:line="240" w:lineRule="auto"/>
    </w:pPr>
    <w:rPr>
      <w:rFonts w:ascii="Helvetica" w:hAnsi="Helvetica"/>
      <w:b/>
      <w:i w:val="0"/>
      <w:iCs/>
      <w:color w:val="000000"/>
      <w:sz w:val="20"/>
      <w:szCs w:val="18"/>
    </w:rPr>
  </w:style>
  <w:style w:type="character" w:styleId="FootnoteReference">
    <w:name w:val="footnote reference"/>
    <w:uiPriority w:val="99"/>
    <w:semiHidden/>
    <w:unhideWhenUsed/>
    <w:rsid w:val="00E82414"/>
    <w:rPr>
      <w:vertAlign w:val="superscript"/>
    </w:rPr>
  </w:style>
  <w:style w:type="character" w:styleId="Hyperlink">
    <w:name w:val="Hyperlink"/>
    <w:uiPriority w:val="99"/>
    <w:unhideWhenUsed/>
    <w:rsid w:val="00B47255"/>
    <w:rPr>
      <w:color w:val="0563C1"/>
      <w:u w:val="single"/>
    </w:rPr>
  </w:style>
  <w:style w:type="paragraph" w:styleId="TOC1">
    <w:name w:val="toc 1"/>
    <w:basedOn w:val="Normal"/>
    <w:next w:val="Normal"/>
    <w:autoRedefine/>
    <w:uiPriority w:val="39"/>
    <w:unhideWhenUsed/>
    <w:rsid w:val="00476501"/>
    <w:pPr>
      <w:tabs>
        <w:tab w:val="right" w:leader="dot" w:pos="10456"/>
      </w:tabs>
      <w:spacing w:before="220" w:after="220" w:line="240" w:lineRule="auto"/>
    </w:pPr>
    <w:rPr>
      <w:b/>
      <w:sz w:val="20"/>
    </w:rPr>
  </w:style>
  <w:style w:type="paragraph" w:styleId="TOC2">
    <w:name w:val="toc 2"/>
    <w:basedOn w:val="Normal"/>
    <w:next w:val="Normal"/>
    <w:autoRedefine/>
    <w:uiPriority w:val="39"/>
    <w:unhideWhenUsed/>
    <w:rsid w:val="00476501"/>
    <w:pPr>
      <w:spacing w:line="360" w:lineRule="auto"/>
      <w:ind w:left="238"/>
    </w:pPr>
    <w:rPr>
      <w:b/>
      <w:sz w:val="20"/>
    </w:rPr>
  </w:style>
  <w:style w:type="paragraph" w:styleId="TOC3">
    <w:name w:val="toc 3"/>
    <w:basedOn w:val="Normal"/>
    <w:next w:val="Normal"/>
    <w:autoRedefine/>
    <w:uiPriority w:val="39"/>
    <w:unhideWhenUsed/>
    <w:rsid w:val="00476501"/>
    <w:pPr>
      <w:spacing w:line="360" w:lineRule="auto"/>
      <w:ind w:left="482"/>
    </w:pPr>
    <w:rPr>
      <w:rFonts w:ascii="Times New Roman" w:hAnsi="Times New Roman"/>
      <w:sz w:val="20"/>
    </w:rPr>
  </w:style>
  <w:style w:type="paragraph" w:styleId="TableofFigures">
    <w:name w:val="table of figures"/>
    <w:basedOn w:val="Normal"/>
    <w:next w:val="Normal"/>
    <w:autoRedefine/>
    <w:uiPriority w:val="99"/>
    <w:unhideWhenUsed/>
    <w:rsid w:val="00D55A22"/>
    <w:pPr>
      <w:tabs>
        <w:tab w:val="right" w:leader="dot" w:pos="10456"/>
      </w:tabs>
      <w:spacing w:before="0" w:after="0"/>
    </w:pPr>
  </w:style>
  <w:style w:type="table" w:customStyle="1" w:styleId="Grilledutableau1">
    <w:name w:val="Grille du tableau1"/>
    <w:basedOn w:val="TableNormal"/>
    <w:next w:val="TableGrid"/>
    <w:uiPriority w:val="59"/>
    <w:rsid w:val="0060430D"/>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6043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2">
    <w:name w:val="Grille du tableau2"/>
    <w:basedOn w:val="TableNormal"/>
    <w:next w:val="TableGrid"/>
    <w:uiPriority w:val="59"/>
    <w:rsid w:val="001B46A1"/>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3">
    <w:name w:val="Grille du tableau3"/>
    <w:basedOn w:val="TableNormal"/>
    <w:next w:val="TableGrid"/>
    <w:uiPriority w:val="59"/>
    <w:rsid w:val="0014310C"/>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4">
    <w:name w:val="Grille du tableau4"/>
    <w:basedOn w:val="TableNormal"/>
    <w:next w:val="TableGrid"/>
    <w:uiPriority w:val="59"/>
    <w:rsid w:val="00E729DD"/>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51C0B"/>
    <w:rPr>
      <w:sz w:val="16"/>
      <w:szCs w:val="16"/>
    </w:rPr>
  </w:style>
  <w:style w:type="paragraph" w:styleId="CommentText">
    <w:name w:val="annotation text"/>
    <w:basedOn w:val="Normal"/>
    <w:link w:val="CommentTextChar"/>
    <w:uiPriority w:val="99"/>
    <w:unhideWhenUsed/>
    <w:rsid w:val="00751C0B"/>
    <w:pPr>
      <w:spacing w:line="240" w:lineRule="auto"/>
    </w:pPr>
    <w:rPr>
      <w:sz w:val="20"/>
      <w:szCs w:val="20"/>
    </w:rPr>
  </w:style>
  <w:style w:type="character" w:customStyle="1" w:styleId="CommentTextChar">
    <w:name w:val="Comment Text Char"/>
    <w:basedOn w:val="DefaultParagraphFont"/>
    <w:link w:val="CommentText"/>
    <w:uiPriority w:val="99"/>
    <w:rsid w:val="00751C0B"/>
    <w:rPr>
      <w:sz w:val="20"/>
      <w:szCs w:val="20"/>
    </w:rPr>
  </w:style>
  <w:style w:type="paragraph" w:styleId="CommentSubject">
    <w:name w:val="annotation subject"/>
    <w:basedOn w:val="CommentText"/>
    <w:next w:val="CommentText"/>
    <w:link w:val="CommentSubjectChar"/>
    <w:uiPriority w:val="99"/>
    <w:semiHidden/>
    <w:unhideWhenUsed/>
    <w:rsid w:val="00751C0B"/>
    <w:rPr>
      <w:b/>
      <w:bCs/>
    </w:rPr>
  </w:style>
  <w:style w:type="character" w:customStyle="1" w:styleId="CommentSubjectChar">
    <w:name w:val="Comment Subject Char"/>
    <w:basedOn w:val="CommentTextChar"/>
    <w:link w:val="CommentSubject"/>
    <w:uiPriority w:val="99"/>
    <w:semiHidden/>
    <w:rsid w:val="00751C0B"/>
    <w:rPr>
      <w:b/>
      <w:bCs/>
      <w:sz w:val="20"/>
      <w:szCs w:val="20"/>
    </w:rPr>
  </w:style>
  <w:style w:type="character" w:styleId="Mention">
    <w:name w:val="Mention"/>
    <w:basedOn w:val="DefaultParagraphFont"/>
    <w:uiPriority w:val="99"/>
    <w:unhideWhenUsed/>
    <w:rsid w:val="00751C0B"/>
    <w:rPr>
      <w:color w:val="2B579A"/>
      <w:shd w:val="clear" w:color="auto" w:fill="E1DFDD"/>
    </w:rPr>
  </w:style>
  <w:style w:type="table" w:customStyle="1" w:styleId="Grilledutableau5">
    <w:name w:val="Grille du tableau5"/>
    <w:basedOn w:val="TableNormal"/>
    <w:next w:val="TableGrid"/>
    <w:uiPriority w:val="59"/>
    <w:rsid w:val="009777C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6">
    <w:name w:val="Grille du tableau6"/>
    <w:basedOn w:val="TableNormal"/>
    <w:next w:val="TableGrid"/>
    <w:uiPriority w:val="59"/>
    <w:rsid w:val="009777C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E03D5B"/>
    <w:pPr>
      <w:spacing w:after="0" w:line="240" w:lineRule="auto"/>
    </w:pPr>
    <w:rPr>
      <w:rFonts w:ascii="Helvetica" w:hAnsi="Helvetica"/>
      <w:color w:val="000000"/>
      <w:sz w:val="16"/>
      <w:szCs w:val="20"/>
    </w:rPr>
  </w:style>
  <w:style w:type="character" w:customStyle="1" w:styleId="FootnoteTextChar">
    <w:name w:val="Footnote Text Char"/>
    <w:basedOn w:val="DefaultParagraphFont"/>
    <w:link w:val="FootnoteText"/>
    <w:uiPriority w:val="99"/>
    <w:rsid w:val="00E03D5B"/>
    <w:rPr>
      <w:sz w:val="20"/>
      <w:szCs w:val="20"/>
    </w:rPr>
  </w:style>
  <w:style w:type="table" w:customStyle="1" w:styleId="Grilledutableau7">
    <w:name w:val="Grille du tableau7"/>
    <w:basedOn w:val="TableNormal"/>
    <w:next w:val="TableGrid"/>
    <w:uiPriority w:val="59"/>
    <w:rsid w:val="008674C5"/>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8">
    <w:name w:val="Grille du tableau8"/>
    <w:basedOn w:val="TableNormal"/>
    <w:next w:val="TableGrid"/>
    <w:uiPriority w:val="59"/>
    <w:rsid w:val="001D73EB"/>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lledutableau9">
    <w:name w:val="Grille du tableau9"/>
    <w:basedOn w:val="TableNormal"/>
    <w:next w:val="TableGrid"/>
    <w:uiPriority w:val="59"/>
    <w:rsid w:val="001E7B2E"/>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1D192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
    <w:name w:val="List Table 4"/>
    <w:basedOn w:val="TableNormal"/>
    <w:uiPriority w:val="49"/>
    <w:rsid w:val="0086092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4">
    <w:name w:val="toc 4"/>
    <w:basedOn w:val="Normal"/>
    <w:next w:val="Normal"/>
    <w:autoRedefine/>
    <w:uiPriority w:val="39"/>
    <w:unhideWhenUsed/>
    <w:rsid w:val="00403155"/>
    <w:pPr>
      <w:ind w:left="720"/>
    </w:pPr>
    <w:rPr>
      <w:rFonts w:eastAsiaTheme="minorEastAsia"/>
    </w:rPr>
  </w:style>
  <w:style w:type="paragraph" w:styleId="TOC5">
    <w:name w:val="toc 5"/>
    <w:basedOn w:val="Normal"/>
    <w:next w:val="Normal"/>
    <w:autoRedefine/>
    <w:uiPriority w:val="39"/>
    <w:unhideWhenUsed/>
    <w:rsid w:val="00403155"/>
    <w:pPr>
      <w:ind w:left="960"/>
    </w:pPr>
    <w:rPr>
      <w:rFonts w:eastAsiaTheme="minorEastAsia"/>
    </w:rPr>
  </w:style>
  <w:style w:type="paragraph" w:styleId="TOC6">
    <w:name w:val="toc 6"/>
    <w:basedOn w:val="Normal"/>
    <w:next w:val="Normal"/>
    <w:autoRedefine/>
    <w:uiPriority w:val="39"/>
    <w:unhideWhenUsed/>
    <w:rsid w:val="00403155"/>
    <w:pPr>
      <w:ind w:left="1200"/>
    </w:pPr>
    <w:rPr>
      <w:rFonts w:eastAsiaTheme="minorEastAsia"/>
    </w:rPr>
  </w:style>
  <w:style w:type="paragraph" w:styleId="TOC7">
    <w:name w:val="toc 7"/>
    <w:basedOn w:val="Normal"/>
    <w:next w:val="Normal"/>
    <w:autoRedefine/>
    <w:uiPriority w:val="39"/>
    <w:unhideWhenUsed/>
    <w:rsid w:val="00403155"/>
    <w:pPr>
      <w:ind w:left="1440"/>
    </w:pPr>
    <w:rPr>
      <w:rFonts w:eastAsiaTheme="minorEastAsia"/>
    </w:rPr>
  </w:style>
  <w:style w:type="paragraph" w:styleId="TOC8">
    <w:name w:val="toc 8"/>
    <w:basedOn w:val="Normal"/>
    <w:next w:val="Normal"/>
    <w:autoRedefine/>
    <w:uiPriority w:val="39"/>
    <w:unhideWhenUsed/>
    <w:rsid w:val="00403155"/>
    <w:pPr>
      <w:ind w:left="1680"/>
    </w:pPr>
    <w:rPr>
      <w:rFonts w:eastAsiaTheme="minorEastAsia"/>
    </w:rPr>
  </w:style>
  <w:style w:type="paragraph" w:styleId="TOC9">
    <w:name w:val="toc 9"/>
    <w:basedOn w:val="Normal"/>
    <w:next w:val="Normal"/>
    <w:autoRedefine/>
    <w:uiPriority w:val="39"/>
    <w:unhideWhenUsed/>
    <w:rsid w:val="00403155"/>
    <w:pPr>
      <w:ind w:left="1920"/>
    </w:pPr>
    <w:rPr>
      <w:rFonts w:eastAsiaTheme="minorEastAsia"/>
    </w:rPr>
  </w:style>
  <w:style w:type="character" w:styleId="UnresolvedMention">
    <w:name w:val="Unresolved Mention"/>
    <w:basedOn w:val="DefaultParagraphFont"/>
    <w:uiPriority w:val="99"/>
    <w:semiHidden/>
    <w:unhideWhenUsed/>
    <w:rsid w:val="00DC6698"/>
    <w:rPr>
      <w:color w:val="605E5C"/>
      <w:shd w:val="clear" w:color="auto" w:fill="E1DFDD"/>
    </w:rPr>
  </w:style>
  <w:style w:type="character" w:customStyle="1" w:styleId="text-token-text-primary">
    <w:name w:val="text-token-text-primary"/>
    <w:basedOn w:val="DefaultParagraphFont"/>
    <w:rsid w:val="00825A17"/>
  </w:style>
  <w:style w:type="paragraph" w:styleId="NoSpacing">
    <w:name w:val="No Spacing"/>
    <w:uiPriority w:val="1"/>
    <w:qFormat/>
    <w:rsid w:val="0063550D"/>
    <w:pPr>
      <w:spacing w:beforeAutospacing="1" w:after="0" w:afterAutospacing="1" w:line="240" w:lineRule="auto"/>
      <w:jc w:val="both"/>
    </w:pPr>
    <w:rPr>
      <w:rFonts w:ascii="Helvetica" w:eastAsia="Times New Roman" w:hAnsi="Helvetica" w:cs="Helvetica"/>
      <w:color w:val="000000"/>
      <w:kern w:val="0"/>
      <w:sz w:val="22"/>
      <w:szCs w:val="22"/>
      <w:lang w:eastAsia="fr-CI"/>
      <w14:ligatures w14:val="none"/>
    </w:rPr>
  </w:style>
  <w:style w:type="paragraph" w:customStyle="1" w:styleId="DecimalAligned">
    <w:name w:val="Decimal Aligned"/>
    <w:basedOn w:val="Normal"/>
    <w:uiPriority w:val="40"/>
    <w:qFormat/>
    <w:rsid w:val="006451E5"/>
    <w:pPr>
      <w:tabs>
        <w:tab w:val="decimal" w:pos="360"/>
      </w:tabs>
      <w:spacing w:before="0" w:beforeAutospacing="0" w:after="200" w:afterAutospacing="0"/>
      <w:jc w:val="left"/>
    </w:pPr>
    <w:rPr>
      <w:rFonts w:asciiTheme="minorHAnsi" w:eastAsiaTheme="minorEastAsia" w:hAnsiTheme="minorHAnsi" w:cs="Times New Roman"/>
      <w:color w:val="auto"/>
    </w:rPr>
  </w:style>
  <w:style w:type="character" w:styleId="SubtleEmphasis">
    <w:name w:val="Subtle Emphasis"/>
    <w:basedOn w:val="DefaultParagraphFont"/>
    <w:uiPriority w:val="19"/>
    <w:qFormat/>
    <w:rsid w:val="006451E5"/>
    <w:rPr>
      <w:i/>
      <w:iCs/>
    </w:rPr>
  </w:style>
  <w:style w:type="table" w:styleId="LightShading-Accent1">
    <w:name w:val="Light Shading Accent 1"/>
    <w:basedOn w:val="TableNormal"/>
    <w:uiPriority w:val="60"/>
    <w:rsid w:val="006451E5"/>
    <w:pPr>
      <w:spacing w:after="0" w:line="240" w:lineRule="auto"/>
    </w:pPr>
    <w:rPr>
      <w:rFonts w:eastAsiaTheme="minorEastAsia"/>
      <w:color w:val="0F4761" w:themeColor="accent1" w:themeShade="BF"/>
      <w:kern w:val="0"/>
      <w:sz w:val="22"/>
      <w:szCs w:val="22"/>
      <w:lang w:eastAsia="fr-CI"/>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paragraph" w:styleId="Revision">
    <w:name w:val="Revision"/>
    <w:hidden/>
    <w:uiPriority w:val="99"/>
    <w:semiHidden/>
    <w:rsid w:val="008415C8"/>
    <w:pPr>
      <w:spacing w:after="0" w:line="240" w:lineRule="auto"/>
    </w:pPr>
    <w:rPr>
      <w:rFonts w:ascii="Helvetica" w:eastAsia="Times New Roman" w:hAnsi="Helvetica" w:cs="Helvetica"/>
      <w:color w:val="000000"/>
      <w:kern w:val="0"/>
      <w:sz w:val="22"/>
      <w:szCs w:val="22"/>
      <w:lang w:eastAsia="fr-C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5" Type="http://schemas.openxmlformats.org/officeDocument/2006/relationships/numbering" Target="numbering.xml"/><Relationship Id="rId8" Type="http://schemas.openxmlformats.org/officeDocument/2006/relationships/webSettings" Target="webSettings.xml"/><Relationship Id="rId93" Type="http://schemas.openxmlformats.org/officeDocument/2006/relationships/theme" Target="theme/theme1.xml"/><Relationship Id="rId12" Type="http://schemas.openxmlformats.org/officeDocument/2006/relationships/image" Target="media/image2.png"/><Relationship Id="rId6" Type="http://schemas.openxmlformats.org/officeDocument/2006/relationships/styles" Target="styles.xml"/><Relationship Id="rId10" Type="http://schemas.openxmlformats.org/officeDocument/2006/relationships/endnotes" Target="endnotes.xml"/><Relationship Id="rId9" Type="http://schemas.openxmlformats.org/officeDocument/2006/relationships/footnotes" Target="footnotes.xml"/><Relationship Id="rId13" Type="http://schemas.openxmlformats.org/officeDocument/2006/relationships/image" Target="media/image3.png"/><Relationship Id="rId7" Type="http://schemas.openxmlformats.org/officeDocument/2006/relationships/settings" Target="settings.xml"/><Relationship Id="rId92" Type="http://schemas.openxmlformats.org/officeDocument/2006/relationships/fontTable" Target="fontTable.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DocSecurity>0</DocSecurity>
  <Company>Adenka Consulting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Adenka Consulting</dc:creator>
  <cp:keywords/>
  <dc:description/>
  <cp:lastModifiedBy>Adenka Consulting</cp:lastModifiedBy>
  <cp:revision>1</cp:revision>
  <dcterms:created xsi:type="dcterms:W3CDTF">2026-10-21T11:31:10Z</dcterms:created>
  <dcterms:modified xsi:type="dcterms:W3CDTF">2026-10-21T11:31:10Z</dcterms:modified>
  <cp:category/>
</cp:coreProperties>
</file>