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BE068" w14:textId="6EA0D547" w:rsidR="0021184D" w:rsidRPr="00AA366B" w:rsidRDefault="00C22430" w:rsidP="00982CCB">
      <w:pPr>
        <w:rPr>
          <w:b/>
          <w:kern w:val="36"/>
          <w:sz w:val="40"/>
          <w:szCs w:val="40"/>
        </w:rPr>
      </w:pPr>
      <w:r w:rsidRPr="00AA366B">
        <w:rPr>
          <w:rFonts w:eastAsia="Calibri"/>
          <w:noProof/>
        </w:rPr>
        <mc:AlternateContent>
          <mc:Choice Requires="wps">
            <w:drawing>
              <wp:anchor distT="0" distB="0" distL="114300" distR="114300" simplePos="0" relativeHeight="251658243" behindDoc="0" locked="0" layoutInCell="1" allowOverlap="1" wp14:anchorId="026DE20C" wp14:editId="2B22E47A">
                <wp:simplePos x="0" y="0"/>
                <wp:positionH relativeFrom="margin">
                  <wp:posOffset>-495300</wp:posOffset>
                </wp:positionH>
                <wp:positionV relativeFrom="page">
                  <wp:align>top</wp:align>
                </wp:positionV>
                <wp:extent cx="7610475" cy="11727180"/>
                <wp:effectExtent l="0" t="0" r="28575" b="26670"/>
                <wp:wrapNone/>
                <wp:docPr id="829031439" name="Rectangle 1">
                  <a:extLst xmlns:a="http://schemas.openxmlformats.org/drawingml/2006/main">
                    <a:ext uri="{FF2B5EF4-FFF2-40B4-BE49-F238E27FC236}">
                      <a16:creationId xmlns:a16="http://schemas.microsoft.com/office/drawing/2014/main" id="{15034F6A-A373-4142-A313-D79ED513E829}"/>
                    </a:ext>
                  </a:extLst>
                </wp:docPr>
                <wp:cNvGraphicFramePr/>
                <a:graphic xmlns:a="http://schemas.openxmlformats.org/drawingml/2006/main">
                  <a:graphicData uri="http://schemas.microsoft.com/office/word/2010/wordprocessingShape">
                    <wps:wsp>
                      <wps:cNvSpPr/>
                      <wps:spPr>
                        <a:xfrm>
                          <a:off x="0" y="0"/>
                          <a:ext cx="7610475" cy="11727180"/>
                        </a:xfrm>
                        <a:prstGeom prst="rect">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2AF2C12" id="Rectangle 1" o:spid="_x0000_s1026" style="position:absolute;margin-left:-39pt;margin-top:0;width:599.25pt;height:923.4pt;z-index:251658242;visibility:visible;mso-wrap-style:square;mso-width-percent:0;mso-height-percent:0;mso-wrap-distance-left:9pt;mso-wrap-distance-top:0;mso-wrap-distance-right:9pt;mso-wrap-distance-bottom:0;mso-position-horizontal:absolute;mso-position-horizontal-relative:margin;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" fillcolor="windowText" strokeweight="1pt">
                <w10:wrap anchorx="margin" anchory="page"/>
              </v:rect>
            </w:pict>
          </mc:Fallback>
        </mc:AlternateContent>
      </w:r>
      <w:r w:rsidR="00232458">
        <w:rPr>
          <w:noProof/>
          <w14:ligatures w14:val="standardContextual"/>
        </w:rPr>
        <mc:AlternateContent>
          <mc:Choice Requires="wps">
            <w:drawing>
              <wp:anchor distT="0" distB="0" distL="114300" distR="114300" simplePos="0" relativeHeight="251658279" behindDoc="0" locked="0" layoutInCell="1" allowOverlap="1" wp14:anchorId="64A982D2" wp14:editId="7C8B2D91">
                <wp:simplePos x="0" y="0"/>
                <wp:positionH relativeFrom="column">
                  <wp:posOffset>3912073</wp:posOffset>
                </wp:positionH>
                <wp:positionV relativeFrom="paragraph">
                  <wp:posOffset>0</wp:posOffset>
                </wp:positionV>
                <wp:extent cx="2920365" cy="1409700"/>
                <wp:effectExtent l="0" t="0" r="0" b="0"/>
                <wp:wrapNone/>
                <wp:docPr id="12" name="Rectangle 11"/>
                <wp:cNvGraphicFramePr/>
                <a:graphic xmlns:a="http://schemas.openxmlformats.org/drawingml/2006/main">
                  <a:graphicData uri="http://schemas.microsoft.com/office/word/2010/wordprocessingShape">
                    <wps:wsp>
                      <wps:cNvSpPr/>
                      <wps:spPr>
                        <a:xfrm>
                          <a:off x="0" y="0"/>
                          <a:ext cx="2920365" cy="1409700"/>
                        </a:xfrm>
                        <a:prstGeom prst="rect">
                          <a:avLst/>
                        </a:prstGeom>
                      </wps:spPr>
                      <wps:txbx>
                        <w:txbxContent>
                          <w:p w14:paraId="2EAED1C4" w14:textId="511003E9" w:rsidR="0063550D" w:rsidRPr="00232458" w:rsidRDefault="0063550D" w:rsidP="000F5AE5">
                            <w:pPr>
                              <w:pStyle w:val="NoSpacing"/>
                              <w:jc w:val="left"/>
                              <w:rPr>
                                <w:color w:val="FFFFFF" w:themeColor="background1"/>
                                <w:sz w:val="18"/>
                                <w:szCs w:val="18"/>
                              </w:rPr>
                            </w:pPr>
                            <w:r w:rsidRPr="00232458">
                              <w:rPr>
                                <w:color w:val="FFFFFF" w:themeColor="background1"/>
                                <w:sz w:val="18"/>
                                <w:szCs w:val="18"/>
                              </w:rPr>
                              <w:t>SA au Capital de 100 millions FCFA Immeuble le 24, 3e étage</w:t>
                            </w:r>
                            <w:r w:rsidR="000F5AE5" w:rsidRPr="00232458">
                              <w:rPr>
                                <w:color w:val="FFFFFF" w:themeColor="background1"/>
                                <w:sz w:val="18"/>
                                <w:szCs w:val="18"/>
                              </w:rPr>
                              <w:br/>
                              <w:t>B</w:t>
                            </w:r>
                            <w:r w:rsidRPr="00232458">
                              <w:rPr>
                                <w:color w:val="FFFFFF" w:themeColor="background1"/>
                                <w:sz w:val="18"/>
                                <w:szCs w:val="18"/>
                              </w:rPr>
                              <w:t xml:space="preserve">oulevard Clozel, Plateau, Abidjan </w:t>
                            </w:r>
                            <w:r w:rsidR="000F5AE5" w:rsidRPr="00232458">
                              <w:rPr>
                                <w:color w:val="FFFFFF" w:themeColor="background1"/>
                                <w:sz w:val="18"/>
                                <w:szCs w:val="18"/>
                              </w:rPr>
                              <w:br/>
                            </w:r>
                            <w:r w:rsidRPr="00232458">
                              <w:rPr>
                                <w:color w:val="FFFFFF" w:themeColor="background1"/>
                                <w:sz w:val="18"/>
                                <w:szCs w:val="18"/>
                              </w:rPr>
                              <w:t>06 BPM 459 Abidjan 06, Côte d’ivoire</w:t>
                            </w:r>
                            <w:r w:rsidR="000F5AE5" w:rsidRPr="00232458">
                              <w:rPr>
                                <w:color w:val="FFFFFF" w:themeColor="background1"/>
                                <w:sz w:val="18"/>
                                <w:szCs w:val="18"/>
                              </w:rPr>
                              <w:br/>
                            </w:r>
                            <w:r w:rsidRPr="00232458">
                              <w:rPr>
                                <w:color w:val="FFFFFF" w:themeColor="background1"/>
                                <w:sz w:val="18"/>
                                <w:szCs w:val="18"/>
                              </w:rPr>
                              <w:t>NCC : 2404702K</w:t>
                            </w:r>
                            <w:r w:rsidR="000F5AE5" w:rsidRPr="00232458">
                              <w:rPr>
                                <w:color w:val="FFFFFF" w:themeColor="background1"/>
                                <w:sz w:val="18"/>
                                <w:szCs w:val="18"/>
                              </w:rPr>
                              <w:br/>
                            </w:r>
                            <w:r w:rsidRPr="00232458">
                              <w:rPr>
                                <w:color w:val="FFFFFF" w:themeColor="background1"/>
                                <w:sz w:val="18"/>
                                <w:szCs w:val="18"/>
                              </w:rPr>
                              <w:t xml:space="preserve">RCCM : CI-ABJ-03-2024-B14-00114 </w:t>
                            </w:r>
                            <w:r w:rsidR="000F5AE5" w:rsidRPr="00232458">
                              <w:rPr>
                                <w:color w:val="FFFFFF" w:themeColor="background1"/>
                                <w:sz w:val="18"/>
                                <w:szCs w:val="18"/>
                              </w:rPr>
                              <w:br/>
                            </w:r>
                            <w:r w:rsidRPr="00232458">
                              <w:rPr>
                                <w:color w:val="FFFFFF" w:themeColor="background1"/>
                                <w:sz w:val="18"/>
                                <w:szCs w:val="18"/>
                              </w:rPr>
                              <w:t xml:space="preserve">Tel (225) 27 20 33 90 90 </w:t>
                            </w:r>
                            <w:r w:rsidR="000F5AE5" w:rsidRPr="00232458">
                              <w:rPr>
                                <w:color w:val="FFFFFF" w:themeColor="background1"/>
                                <w:sz w:val="18"/>
                                <w:szCs w:val="18"/>
                              </w:rPr>
                              <w:br/>
                            </w:r>
                            <w:r w:rsidRPr="00232458">
                              <w:rPr>
                                <w:color w:val="FFFFFF" w:themeColor="background1"/>
                                <w:sz w:val="18"/>
                                <w:szCs w:val="18"/>
                              </w:rPr>
                              <w:t>www.adenka.ci</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64A982D2" id="Rectangle 11" o:spid="_x0000_s1026" style="position:absolute;left:0;text-align:left;margin-left:308.05pt;margin-top:0;width:229.95pt;height:111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" filled="f" stroked="f">
                <v:textbox>
                  <w:txbxContent>
                    <w:p w14:paraId="2EAED1C4" w14:textId="511003E9" w:rsidR="0063550D" w:rsidRPr="00232458" w:rsidRDefault="0063550D" w:rsidP="000F5AE5">
                      <w:pPr>
                        <w:pStyle w:val="NoSpacing"/>
                        <w:jc w:val="left"/>
                        <w:rPr>
                          <w:color w:val="FFFFFF" w:themeColor="background1"/>
                          <w:sz w:val="18"/>
                          <w:szCs w:val="18"/>
                        </w:rPr>
                      </w:pPr>
                      <w:r w:rsidRPr="00232458">
                        <w:rPr>
                          <w:color w:val="FFFFFF" w:themeColor="background1"/>
                          <w:sz w:val="18"/>
                          <w:szCs w:val="18"/>
                        </w:rPr>
                        <w:t>SA au Capital de 100 millions FCFA Immeuble le 24, 3e étage</w:t>
                      </w:r>
                      <w:r w:rsidR="000F5AE5" w:rsidRPr="00232458">
                        <w:rPr>
                          <w:color w:val="FFFFFF" w:themeColor="background1"/>
                          <w:sz w:val="18"/>
                          <w:szCs w:val="18"/>
                        </w:rPr>
                        <w:br/>
                        <w:t>B</w:t>
                      </w:r>
                      <w:r w:rsidRPr="00232458">
                        <w:rPr>
                          <w:color w:val="FFFFFF" w:themeColor="background1"/>
                          <w:sz w:val="18"/>
                          <w:szCs w:val="18"/>
                        </w:rPr>
                        <w:t xml:space="preserve">oulevard Clozel, Plateau, Abidjan </w:t>
                      </w:r>
                      <w:r w:rsidR="000F5AE5" w:rsidRPr="00232458">
                        <w:rPr>
                          <w:color w:val="FFFFFF" w:themeColor="background1"/>
                          <w:sz w:val="18"/>
                          <w:szCs w:val="18"/>
                        </w:rPr>
                        <w:br/>
                      </w:r>
                      <w:r w:rsidRPr="00232458">
                        <w:rPr>
                          <w:color w:val="FFFFFF" w:themeColor="background1"/>
                          <w:sz w:val="18"/>
                          <w:szCs w:val="18"/>
                        </w:rPr>
                        <w:t>06 BPM 459 Abidjan 06, Côte d’ivoire</w:t>
                      </w:r>
                      <w:r w:rsidR="000F5AE5" w:rsidRPr="00232458">
                        <w:rPr>
                          <w:color w:val="FFFFFF" w:themeColor="background1"/>
                          <w:sz w:val="18"/>
                          <w:szCs w:val="18"/>
                        </w:rPr>
                        <w:br/>
                      </w:r>
                      <w:r w:rsidRPr="00232458">
                        <w:rPr>
                          <w:color w:val="FFFFFF" w:themeColor="background1"/>
                          <w:sz w:val="18"/>
                          <w:szCs w:val="18"/>
                        </w:rPr>
                        <w:t>NCC : 2404702K</w:t>
                      </w:r>
                      <w:r w:rsidR="000F5AE5" w:rsidRPr="00232458">
                        <w:rPr>
                          <w:color w:val="FFFFFF" w:themeColor="background1"/>
                          <w:sz w:val="18"/>
                          <w:szCs w:val="18"/>
                        </w:rPr>
                        <w:br/>
                      </w:r>
                      <w:r w:rsidRPr="00232458">
                        <w:rPr>
                          <w:color w:val="FFFFFF" w:themeColor="background1"/>
                          <w:sz w:val="18"/>
                          <w:szCs w:val="18"/>
                        </w:rPr>
                        <w:t xml:space="preserve">RCCM : CI-ABJ-03-2024-B14-00114 </w:t>
                      </w:r>
                      <w:r w:rsidR="000F5AE5" w:rsidRPr="00232458">
                        <w:rPr>
                          <w:color w:val="FFFFFF" w:themeColor="background1"/>
                          <w:sz w:val="18"/>
                          <w:szCs w:val="18"/>
                        </w:rPr>
                        <w:br/>
                      </w:r>
                      <w:r w:rsidRPr="00232458">
                        <w:rPr>
                          <w:color w:val="FFFFFF" w:themeColor="background1"/>
                          <w:sz w:val="18"/>
                          <w:szCs w:val="18"/>
                        </w:rPr>
                        <w:t xml:space="preserve">Tel (225) 27 20 33 90 90 </w:t>
                      </w:r>
                      <w:r w:rsidR="000F5AE5" w:rsidRPr="00232458">
                        <w:rPr>
                          <w:color w:val="FFFFFF" w:themeColor="background1"/>
                          <w:sz w:val="18"/>
                          <w:szCs w:val="18"/>
                        </w:rPr>
                        <w:br/>
                      </w:r>
                      <w:r w:rsidRPr="00232458">
                        <w:rPr>
                          <w:color w:val="FFFFFF" w:themeColor="background1"/>
                          <w:sz w:val="18"/>
                          <w:szCs w:val="18"/>
                        </w:rPr>
                        <w:t>www.adenka.ci</w:t>
                      </w:r>
                    </w:p>
                  </w:txbxContent>
                </v:textbox>
              </v:rect>
            </w:pict>
          </mc:Fallback>
        </mc:AlternateContent>
      </w:r>
      <w:r w:rsidR="003837AF">
        <w:rPr>
          <w:noProof/>
          <w14:ligatures w14:val="standardContextual"/>
        </w:rPr>
        <mc:AlternateContent>
          <mc:Choice Requires="wps">
            <w:drawing>
              <wp:anchor distT="0" distB="0" distL="114300" distR="114300" simplePos="0" relativeHeight="251658258" behindDoc="0" locked="0" layoutInCell="1" allowOverlap="1" wp14:anchorId="15625106" wp14:editId="49B68465">
                <wp:simplePos x="0" y="0"/>
                <wp:positionH relativeFrom="margin">
                  <wp:align>left</wp:align>
                </wp:positionH>
                <wp:positionV relativeFrom="paragraph">
                  <wp:posOffset>8886586</wp:posOffset>
                </wp:positionV>
                <wp:extent cx="2042160" cy="574675"/>
                <wp:effectExtent l="0" t="0" r="15240" b="15875"/>
                <wp:wrapNone/>
                <wp:docPr id="214455296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2160" cy="574675"/>
                        </a:xfrm>
                        <a:prstGeom prst="rect">
                          <a:avLst/>
                        </a:prstGeom>
                        <a:noFill/>
                        <a:ln w="9525">
                          <a:solidFill>
                            <a:srgbClr val="000000"/>
                          </a:solidFill>
                          <a:miter lim="800000"/>
                          <a:headEnd/>
                          <a:tailEnd/>
                        </a:ln>
                      </wps:spPr>
                      <wps:txbx>
                        <w:txbxContent>
                          <w:p w14:paraId="3ADF71F1" w14:textId="5E70184B" w:rsidR="005F30A3" w:rsidRPr="0063550D" w:rsidRDefault="0063550D" w:rsidP="005F30A3">
                            <w:pPr>
                              <w:jc w:val="left"/>
                              <w:rPr>
                                <w:b/>
                                <w:bCs/>
                                <w:color w:val="FFFFFF" w:themeColor="background1"/>
                                <w:sz w:val="36"/>
                                <w:szCs w:val="36"/>
                              </w:rPr>
                            </w:pPr>
                            <w:r w:rsidRPr="0063550D">
                              <w:rPr>
                                <w:b/>
                                <w:bCs/>
                                <w:color w:val="FFFFFF" w:themeColor="background1"/>
                                <w:sz w:val="36"/>
                                <w:szCs w:val="36"/>
                              </w:rPr>
                              <w:t>Octobre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625106" id="_x0000_t202" coordsize="21600,21600" o:spt="202" path="m,l,21600r21600,l21600,xe">
                <v:stroke joinstyle="miter"/>
                <v:path gradientshapeok="t" o:connecttype="rect"/>
              </v:shapetype>
              <v:shape id="Zone de texte 2" o:spid="_x0000_s1027" type="#_x0000_t202" style="position:absolute;left:0;text-align:left;margin-left:0;margin-top:699.75pt;width:160.8pt;height:45.25pt;z-index:25165825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" filled="f">
                <v:textbox>
                  <w:txbxContent>
                    <w:p w14:paraId="3ADF71F1" w14:textId="5E70184B" w:rsidR="005F30A3" w:rsidRPr="0063550D" w:rsidRDefault="0063550D" w:rsidP="005F30A3">
                      <w:pPr>
                        <w:jc w:val="left"/>
                        <w:rPr>
                          <w:b/>
                          <w:bCs/>
                          <w:color w:val="FFFFFF" w:themeColor="background1"/>
                          <w:sz w:val="36"/>
                          <w:szCs w:val="36"/>
                        </w:rPr>
                      </w:pPr>
                      <w:r w:rsidRPr="0063550D">
                        <w:rPr>
                          <w:b/>
                          <w:bCs/>
                          <w:color w:val="FFFFFF" w:themeColor="background1"/>
                          <w:sz w:val="36"/>
                          <w:szCs w:val="36"/>
                        </w:rPr>
                        <w:t>Octobre 2026</w:t>
                      </w:r>
                    </w:p>
                  </w:txbxContent>
                </v:textbox>
                <w10:wrap anchorx="margin"/>
              </v:shape>
            </w:pict>
          </mc:Fallback>
        </mc:AlternateContent>
      </w:r>
      <w:r w:rsidR="003837AF">
        <w:rPr>
          <w:noProof/>
          <w14:ligatures w14:val="standardContextual"/>
        </w:rPr>
        <mc:AlternateContent>
          <mc:Choice Requires="wps">
            <w:drawing>
              <wp:anchor distT="0" distB="0" distL="114300" distR="114300" simplePos="0" relativeHeight="251658257" behindDoc="0" locked="0" layoutInCell="1" allowOverlap="1" wp14:anchorId="62CEB9C5" wp14:editId="6E4E0B33">
                <wp:simplePos x="0" y="0"/>
                <wp:positionH relativeFrom="margin">
                  <wp:align>left</wp:align>
                </wp:positionH>
                <wp:positionV relativeFrom="paragraph">
                  <wp:posOffset>8398598</wp:posOffset>
                </wp:positionV>
                <wp:extent cx="6964680" cy="574675"/>
                <wp:effectExtent l="0" t="0" r="26670" b="15875"/>
                <wp:wrapNone/>
                <wp:docPr id="15973047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4680" cy="574675"/>
                        </a:xfrm>
                        <a:prstGeom prst="rect">
                          <a:avLst/>
                        </a:prstGeom>
                        <a:noFill/>
                        <a:ln w="9525">
                          <a:solidFill>
                            <a:srgbClr val="000000"/>
                          </a:solidFill>
                          <a:miter lim="800000"/>
                          <a:headEnd/>
                          <a:tailEnd/>
                        </a:ln>
                      </wps:spPr>
                      <wps:txbx>
                        <w:txbxContent>
                          <w:p w14:paraId="51F74AB0" w14:textId="387257B3" w:rsidR="005F30A3" w:rsidRPr="003A63CB" w:rsidRDefault="005F30A3" w:rsidP="005F30A3">
                            <w:pPr>
                              <w:pStyle w:val="NormalWeb"/>
                              <w:jc w:val="left"/>
                              <w:rPr>
                                <w:rFonts w:ascii="Helvetica" w:hAnsi="Helvetica" w:cs="Helvetica"/>
                                <w:b/>
                                <w:color w:val="B84F08"/>
                                <w:sz w:val="40"/>
                                <w:szCs w:val="40"/>
                                <w:lang w:val="fr-CI"/>
                              </w:rPr>
                            </w:pPr>
                            <w:r w:rsidRPr="003A63CB">
                              <w:rPr>
                                <w:rFonts w:ascii="Helvetica" w:eastAsiaTheme="minorEastAsia" w:hAnsi="Helvetica" w:cs="Helvetica"/>
                                <w:b/>
                                <w:color w:val="B84F08"/>
                                <w:sz w:val="40"/>
                                <w:szCs w:val="40"/>
                                <w:lang w:val="fr-CI"/>
                              </w:rPr>
                              <w:t>Note interne de présentation</w:t>
                            </w:r>
                          </w:p>
                          <w:p w14:paraId="16F931A9" w14:textId="77777777" w:rsidR="005F30A3" w:rsidRPr="003837AF" w:rsidRDefault="005F30A3" w:rsidP="005F30A3">
                            <w:pPr>
                              <w:jc w:val="left"/>
                              <w:rPr>
                                <w:b/>
                                <w:color w:val="FFC000"/>
                                <w:sz w:val="40"/>
                                <w:szCs w:val="40"/>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62CEB9C5" id="_x0000_s1028" type="#_x0000_t202" style="position:absolute;left:0;text-align:left;margin-left:0;margin-top:661.3pt;width:548.4pt;height:45.25pt;z-index:25165825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" filled="f">
                <v:textbox>
                  <w:txbxContent>
                    <w:p w14:paraId="51F74AB0" w14:textId="387257B3" w:rsidR="005F30A3" w:rsidRPr="003A63CB" w:rsidRDefault="005F30A3" w:rsidP="005F30A3">
                      <w:pPr>
                        <w:pStyle w:val="NormalWeb"/>
                        <w:jc w:val="left"/>
                        <w:rPr>
                          <w:rFonts w:ascii="Helvetica" w:hAnsi="Helvetica" w:cs="Helvetica"/>
                          <w:b/>
                          <w:color w:val="B84F08"/>
                          <w:sz w:val="40"/>
                          <w:szCs w:val="40"/>
                          <w:lang w:val="fr-CI"/>
                        </w:rPr>
                      </w:pPr>
                      <w:r w:rsidRPr="003A63CB">
                        <w:rPr>
                          <w:rFonts w:ascii="Helvetica" w:eastAsiaTheme="minorEastAsia" w:hAnsi="Helvetica" w:cs="Helvetica"/>
                          <w:b/>
                          <w:color w:val="B84F08"/>
                          <w:sz w:val="40"/>
                          <w:szCs w:val="40"/>
                          <w:lang w:val="fr-CI"/>
                        </w:rPr>
                        <w:t>Note interne de présentation</w:t>
                      </w:r>
                    </w:p>
                    <w:p w14:paraId="16F931A9" w14:textId="77777777" w:rsidR="005F30A3" w:rsidRPr="003837AF" w:rsidRDefault="005F30A3" w:rsidP="005F30A3">
                      <w:pPr>
                        <w:jc w:val="left"/>
                        <w:rPr>
                          <w:b/>
                          <w:color w:val="FFC000"/>
                          <w:sz w:val="40"/>
                          <w:szCs w:val="40"/>
                        </w:rPr>
                      </w:pPr>
                    </w:p>
                  </w:txbxContent>
                </v:textbox>
                <w10:wrap anchorx="margin"/>
              </v:shape>
            </w:pict>
          </mc:Fallback>
        </mc:AlternateContent>
      </w:r>
      <w:r w:rsidR="003837AF">
        <w:rPr>
          <w:noProof/>
          <w14:ligatures w14:val="standardContextual"/>
        </w:rPr>
        <mc:AlternateContent>
          <mc:Choice Requires="wps">
            <w:drawing>
              <wp:anchor distT="0" distB="0" distL="114300" distR="114300" simplePos="0" relativeHeight="251658271" behindDoc="0" locked="0" layoutInCell="1" allowOverlap="1" wp14:anchorId="3A4D8972" wp14:editId="3FF323AC">
                <wp:simplePos x="0" y="0"/>
                <wp:positionH relativeFrom="column">
                  <wp:posOffset>-176543</wp:posOffset>
                </wp:positionH>
                <wp:positionV relativeFrom="paragraph">
                  <wp:posOffset>2802048</wp:posOffset>
                </wp:positionV>
                <wp:extent cx="6964680" cy="3295392"/>
                <wp:effectExtent l="0" t="0" r="26670" b="19685"/>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4680" cy="3295392"/>
                        </a:xfrm>
                        <a:prstGeom prst="rect">
                          <a:avLst/>
                        </a:prstGeom>
                        <a:noFill/>
                        <a:ln w="9525">
                          <a:solidFill>
                            <a:srgbClr val="000000"/>
                          </a:solidFill>
                          <a:miter lim="800000"/>
                          <a:headEnd/>
                          <a:tailEnd/>
                        </a:ln>
                      </wps:spPr>
                      <wps:txbx>
                        <w:txbxContent>
                          <w:p w14:paraId="2DE01120" w14:textId="5D436776" w:rsidR="00B77556" w:rsidRPr="003837AF" w:rsidRDefault="00B77556" w:rsidP="005F30A3">
                            <w:pPr>
                              <w:pStyle w:val="NormalWeb"/>
                              <w:jc w:val="left"/>
                              <w:rPr>
                                <w:rFonts w:ascii="Helvetica" w:eastAsiaTheme="minorEastAsia" w:hAnsi="Helvetica" w:cs="Helvetica"/>
                                <w:b/>
                                <w:bCs/>
                                <w:color w:val="FFFFFF" w:themeColor="background1"/>
                                <w:sz w:val="72"/>
                                <w:szCs w:val="72"/>
                                <w:lang w:val="fr-CI"/>
                              </w:rPr>
                            </w:pPr>
                            <w:r w:rsidRPr="00D32BCF">
                              <w:rPr>
                                <w:rFonts w:ascii="Helvetica" w:eastAsiaTheme="minorEastAsia" w:hAnsi="Helvetica" w:cs="Helvetica"/>
                                <w:b/>
                                <w:bCs/>
                                <w:color w:val="FFFFFF" w:themeColor="background1"/>
                                <w:sz w:val="72"/>
                                <w:szCs w:val="72"/>
                                <w:lang w:val="fr-CI"/>
                              </w:rPr>
                              <w:t xml:space="preserve">POINT D'AVANCEMENT DE LA MISSION</w:t>
                            </w:r>
                          </w:p>
                          <w:p w14:paraId="2C32D6ED" w14:textId="77777777" w:rsidR="00B77556" w:rsidRDefault="00B77556" w:rsidP="005F30A3">
                            <w:pPr>
                              <w:pStyle w:val="NormalWeb"/>
                              <w:jc w:val="left"/>
                              <w:rPr>
                                <w:rFonts w:ascii="Helvetica" w:eastAsiaTheme="minorEastAsia" w:hAnsi="Helvetica" w:cs="Helvetica"/>
                                <w:b/>
                                <w:bCs/>
                                <w:color w:val="FFFFFF" w:themeColor="background1"/>
                                <w:sz w:val="56"/>
                                <w:szCs w:val="56"/>
                                <w:lang w:val="fr-CI"/>
                              </w:rPr>
                            </w:pPr>
                          </w:p>
                          <w:p w14:paraId="0D003451" w14:textId="77777777" w:rsidR="00B77556" w:rsidRDefault="00B77556" w:rsidP="005F30A3">
                            <w:pPr>
                              <w:pStyle w:val="NormalWeb"/>
                              <w:jc w:val="left"/>
                              <w:rPr>
                                <w:rFonts w:ascii="Helvetica" w:eastAsiaTheme="minorEastAsia" w:hAnsi="Helvetica" w:cs="Helvetica"/>
                                <w:b/>
                                <w:bCs/>
                                <w:color w:val="FFFFFF" w:themeColor="background1"/>
                                <w:sz w:val="56"/>
                                <w:szCs w:val="56"/>
                                <w:lang w:val="fr-CI"/>
                              </w:rPr>
                            </w:pPr>
                          </w:p>
                          <w:p w14:paraId="530D1C6F" w14:textId="77777777" w:rsidR="003837AF" w:rsidRDefault="003837AF" w:rsidP="005F30A3">
                            <w:pPr>
                              <w:pStyle w:val="NormalWeb"/>
                              <w:jc w:val="left"/>
                              <w:rPr>
                                <w:rFonts w:ascii="Helvetica" w:eastAsiaTheme="minorEastAsia" w:hAnsi="Helvetica" w:cs="Helvetica"/>
                                <w:b/>
                                <w:bCs/>
                                <w:color w:val="E97132" w:themeColor="accent2"/>
                                <w:sz w:val="40"/>
                                <w:szCs w:val="40"/>
                                <w:lang w:val="fr-CI"/>
                              </w:rPr>
                            </w:pPr>
                          </w:p>
                          <w:p w14:paraId="69CB7BF6" w14:textId="3908B474" w:rsidR="005F30A3" w:rsidRPr="003A63CB" w:rsidRDefault="00B77556" w:rsidP="005F30A3">
                            <w:pPr>
                              <w:pStyle w:val="NormalWeb"/>
                              <w:jc w:val="left"/>
                              <w:rPr>
                                <w:rFonts w:ascii="Helvetica" w:hAnsi="Helvetica" w:cs="Helvetica"/>
                                <w:b/>
                                <w:color w:val="FFFFFF" w:themeColor="background1"/>
                                <w:sz w:val="40"/>
                                <w:szCs w:val="40"/>
                                <w:lang w:val="fr-CI"/>
                              </w:rPr>
                            </w:pPr>
                            <w:r w:rsidRPr="003A63CB">
                              <w:rPr>
                                <w:rFonts w:ascii="Helvetica" w:eastAsiaTheme="minorEastAsia" w:hAnsi="Helvetica" w:cs="Helvetica"/>
                                <w:b/>
                                <w:color w:val="FFFFFF" w:themeColor="background1"/>
                                <w:sz w:val="40"/>
                                <w:szCs w:val="40"/>
                                <w:lang w:val="fr-CI"/>
                              </w:rPr>
                              <w:t>FPPN</w:t>
                            </w:r>
                          </w:p>
                          <w:p w14:paraId="2215AE94" w14:textId="0221E7EF" w:rsidR="005F30A3" w:rsidRPr="005F30A3" w:rsidRDefault="005F30A3" w:rsidP="005F30A3">
                            <w:pPr>
                              <w:jc w:val="left"/>
                              <w:rPr>
                                <w:b/>
                                <w:bCs/>
                                <w:color w:val="FFFFFF" w:themeColor="background1"/>
                                <w:sz w:val="56"/>
                                <w:szCs w:val="56"/>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A4D8972" id="_x0000_s1029" type="#_x0000_t202" style="position:absolute;left:0;text-align:left;margin-left:-13.9pt;margin-top:220.65pt;width:548.4pt;height:259.5pt;z-index:25165827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" filled="f">
                <v:textbox>
                  <w:txbxContent>
                    <w:p w14:paraId="2DE01120" w14:textId="5D436776" w:rsidR="00B77556" w:rsidRPr="003837AF" w:rsidRDefault="00B77556" w:rsidP="005F30A3">
                      <w:pPr>
                        <w:pStyle w:val="NormalWeb"/>
                        <w:jc w:val="left"/>
                        <w:rPr>
                          <w:rFonts w:ascii="Helvetica" w:eastAsiaTheme="minorEastAsia" w:hAnsi="Helvetica" w:cs="Helvetica"/>
                          <w:b/>
                          <w:bCs/>
                          <w:color w:val="FFFFFF" w:themeColor="background1"/>
                          <w:sz w:val="72"/>
                          <w:szCs w:val="72"/>
                          <w:lang w:val="fr-CI"/>
                        </w:rPr>
                      </w:pPr>
                      <w:r w:rsidRPr="00D32BCF">
                        <w:rPr>
                          <w:rFonts w:ascii="Helvetica" w:eastAsiaTheme="minorEastAsia" w:hAnsi="Helvetica" w:cs="Helvetica"/>
                          <w:b/>
                          <w:bCs/>
                          <w:color w:val="FFFFFF" w:themeColor="background1"/>
                          <w:sz w:val="72"/>
                          <w:szCs w:val="72"/>
                          <w:lang w:val="fr-CI"/>
                        </w:rPr>
                        <w:t xml:space="preserve">POINT D'AVANCEMENT DE LA MISSION</w:t>
                      </w:r>
                    </w:p>
                    <w:p w14:paraId="2C32D6ED" w14:textId="77777777" w:rsidR="00B77556" w:rsidRDefault="00B77556" w:rsidP="005F30A3">
                      <w:pPr>
                        <w:pStyle w:val="NormalWeb"/>
                        <w:jc w:val="left"/>
                        <w:rPr>
                          <w:rFonts w:ascii="Helvetica" w:eastAsiaTheme="minorEastAsia" w:hAnsi="Helvetica" w:cs="Helvetica"/>
                          <w:b/>
                          <w:bCs/>
                          <w:color w:val="FFFFFF" w:themeColor="background1"/>
                          <w:sz w:val="56"/>
                          <w:szCs w:val="56"/>
                          <w:lang w:val="fr-CI"/>
                        </w:rPr>
                      </w:pPr>
                    </w:p>
                    <w:p w14:paraId="0D003451" w14:textId="77777777" w:rsidR="00B77556" w:rsidRDefault="00B77556" w:rsidP="005F30A3">
                      <w:pPr>
                        <w:pStyle w:val="NormalWeb"/>
                        <w:jc w:val="left"/>
                        <w:rPr>
                          <w:rFonts w:ascii="Helvetica" w:eastAsiaTheme="minorEastAsia" w:hAnsi="Helvetica" w:cs="Helvetica"/>
                          <w:b/>
                          <w:bCs/>
                          <w:color w:val="FFFFFF" w:themeColor="background1"/>
                          <w:sz w:val="56"/>
                          <w:szCs w:val="56"/>
                          <w:lang w:val="fr-CI"/>
                        </w:rPr>
                      </w:pPr>
                    </w:p>
                    <w:p w14:paraId="530D1C6F" w14:textId="77777777" w:rsidR="003837AF" w:rsidRDefault="003837AF" w:rsidP="005F30A3">
                      <w:pPr>
                        <w:pStyle w:val="NormalWeb"/>
                        <w:jc w:val="left"/>
                        <w:rPr>
                          <w:rFonts w:ascii="Helvetica" w:eastAsiaTheme="minorEastAsia" w:hAnsi="Helvetica" w:cs="Helvetica"/>
                          <w:b/>
                          <w:bCs/>
                          <w:color w:val="E97132" w:themeColor="accent2"/>
                          <w:sz w:val="40"/>
                          <w:szCs w:val="40"/>
                          <w:lang w:val="fr-CI"/>
                        </w:rPr>
                      </w:pPr>
                    </w:p>
                    <w:p w14:paraId="69CB7BF6" w14:textId="3908B474" w:rsidR="005F30A3" w:rsidRPr="003A63CB" w:rsidRDefault="00B77556" w:rsidP="005F30A3">
                      <w:pPr>
                        <w:pStyle w:val="NormalWeb"/>
                        <w:jc w:val="left"/>
                        <w:rPr>
                          <w:rFonts w:ascii="Helvetica" w:hAnsi="Helvetica" w:cs="Helvetica"/>
                          <w:b/>
                          <w:color w:val="FFFFFF" w:themeColor="background1"/>
                          <w:sz w:val="40"/>
                          <w:szCs w:val="40"/>
                          <w:lang w:val="fr-CI"/>
                        </w:rPr>
                      </w:pPr>
                      <w:r w:rsidRPr="003A63CB">
                        <w:rPr>
                          <w:rFonts w:ascii="Helvetica" w:eastAsiaTheme="minorEastAsia" w:hAnsi="Helvetica" w:cs="Helvetica"/>
                          <w:b/>
                          <w:color w:val="FFFFFF" w:themeColor="background1"/>
                          <w:sz w:val="40"/>
                          <w:szCs w:val="40"/>
                          <w:lang w:val="fr-CI"/>
                        </w:rPr>
                        <w:t>FPPN</w:t>
                      </w:r>
                    </w:p>
                    <w:p w14:paraId="2215AE94" w14:textId="0221E7EF" w:rsidR="005F30A3" w:rsidRPr="005F30A3" w:rsidRDefault="005F30A3" w:rsidP="005F30A3">
                      <w:pPr>
                        <w:jc w:val="left"/>
                        <w:rPr>
                          <w:b/>
                          <w:bCs/>
                          <w:color w:val="FFFFFF" w:themeColor="background1"/>
                          <w:sz w:val="56"/>
                          <w:szCs w:val="56"/>
                        </w:rPr>
                      </w:pPr>
                    </w:p>
                  </w:txbxContent>
                </v:textbox>
              </v:shape>
            </w:pict>
          </mc:Fallback>
        </mc:AlternateContent>
      </w:r>
      <w:r w:rsidR="00B7131C" w:rsidRPr="00AA366B">
        <w:rPr>
          <w:noProof/>
        </w:rPr>
        <w:drawing>
          <wp:anchor distT="0" distB="0" distL="114300" distR="114300" simplePos="0" relativeHeight="251658268" behindDoc="0" locked="0" layoutInCell="1" allowOverlap="1" wp14:anchorId="0DEC0A8C" wp14:editId="2EE6107A">
            <wp:simplePos x="0" y="0"/>
            <wp:positionH relativeFrom="margin">
              <wp:align>left</wp:align>
            </wp:positionH>
            <wp:positionV relativeFrom="margin">
              <wp:align>top</wp:align>
            </wp:positionV>
            <wp:extent cx="2590800" cy="614680"/>
            <wp:effectExtent l="0" t="0" r="0" b="0"/>
            <wp:wrapNone/>
            <wp:docPr id="246454023" name="Image 23">
              <a:extLst xmlns:a="http://schemas.openxmlformats.org/drawingml/2006/main">
                <a:ext uri="{FF2B5EF4-FFF2-40B4-BE49-F238E27FC236}">
                  <a16:creationId xmlns:a16="http://schemas.microsoft.com/office/drawing/2014/main" id="{85B8DD99-990F-4649-B67D-96F3516835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14017" name="Image 527514017"/>
                    <pic:cNvPicPr/>
                  </pic:nvPicPr>
                  <pic:blipFill>
                    <a:blip r:embed="rId12">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590800" cy="614680"/>
                    </a:xfrm>
                    <a:prstGeom prst="rect">
                      <a:avLst/>
                    </a:prstGeom>
                  </pic:spPr>
                </pic:pic>
              </a:graphicData>
            </a:graphic>
            <wp14:sizeRelH relativeFrom="page">
              <wp14:pctWidth>0</wp14:pctWidth>
            </wp14:sizeRelH>
            <wp14:sizeRelV relativeFrom="page">
              <wp14:pctHeight>0</wp14:pctHeight>
            </wp14:sizeRelV>
          </wp:anchor>
        </w:drawing>
      </w:r>
      <w:r w:rsidR="00361B05" w:rsidRPr="00AA366B">
        <w:rPr>
          <w:noProof/>
        </w:rPr>
        <w:drawing>
          <wp:anchor distT="0" distB="0" distL="114300" distR="114300" simplePos="0" relativeHeight="251658245" behindDoc="0" locked="0" layoutInCell="1" allowOverlap="1" wp14:anchorId="6C4349CB" wp14:editId="2E229699">
            <wp:simplePos x="0" y="0"/>
            <wp:positionH relativeFrom="page">
              <wp:posOffset>-684530</wp:posOffset>
            </wp:positionH>
            <wp:positionV relativeFrom="paragraph">
              <wp:posOffset>1878965</wp:posOffset>
            </wp:positionV>
            <wp:extent cx="8293735" cy="7976235"/>
            <wp:effectExtent l="0" t="0" r="0" b="5715"/>
            <wp:wrapNone/>
            <wp:docPr id="1895204845" name="Image 15">
              <a:extLst xmlns:a="http://schemas.openxmlformats.org/drawingml/2006/main">
                <a:ext uri="{FF2B5EF4-FFF2-40B4-BE49-F238E27FC236}">
                  <a16:creationId xmlns:a16="http://schemas.microsoft.com/office/drawing/2014/main" id="{C8AC2246-CCF0-4C0C-B1BE-88C1E8DADC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pic:cNvPicPr>
                      <a:picLocks noChangeAspect="1"/>
                    </pic:cNvPicPr>
                  </pic:nvPicPr>
                  <pic:blipFill rotWithShape="1">
                    <a:blip r:embed="rId13" cstate="print">
                      <a:extLst>
                        <a:ext uri="{28A0092B-C50C-407E-A947-70E740481C1C}">
                          <a14:useLocalDpi xmlns:a14="http://schemas.microsoft.com/office/drawing/2010/main" val="0"/>
                        </a:ext>
                      </a:extLst>
                    </a:blip>
                    <a:srcRect l="-175" t="524" r="-2445" b="9082"/>
                    <a:stretch/>
                  </pic:blipFill>
                  <pic:spPr>
                    <a:xfrm>
                      <a:off x="0" y="0"/>
                      <a:ext cx="8293735" cy="7976235"/>
                    </a:xfrm>
                    <a:prstGeom prst="rect">
                      <a:avLst/>
                    </a:prstGeom>
                  </pic:spPr>
                </pic:pic>
              </a:graphicData>
            </a:graphic>
            <wp14:sizeRelH relativeFrom="margin">
              <wp14:pctWidth>0</wp14:pctWidth>
            </wp14:sizeRelH>
            <wp14:sizeRelV relativeFrom="margin">
              <wp14:pctHeight>0</wp14:pctHeight>
            </wp14:sizeRelV>
          </wp:anchor>
        </w:drawing>
      </w:r>
      <w:r w:rsidR="006E4175" w:rsidRPr="00AA366B">
        <w:rPr>
          <w:noProof/>
        </w:rPr>
        <mc:AlternateContent>
          <mc:Choice Requires="wps">
            <w:drawing>
              <wp:anchor distT="0" distB="0" distL="114300" distR="114300" simplePos="0" relativeHeight="251658247" behindDoc="0" locked="0" layoutInCell="1" allowOverlap="1" wp14:anchorId="6AFB2247" wp14:editId="7FF83994">
                <wp:simplePos x="0" y="0"/>
                <wp:positionH relativeFrom="margin">
                  <wp:align>left</wp:align>
                </wp:positionH>
                <wp:positionV relativeFrom="paragraph">
                  <wp:posOffset>7531735</wp:posOffset>
                </wp:positionV>
                <wp:extent cx="5231218" cy="765544"/>
                <wp:effectExtent l="0" t="0" r="26670" b="15875"/>
                <wp:wrapNone/>
                <wp:docPr id="209815566" name="Zone de texte 7">
                  <a:extLst xmlns:a="http://schemas.openxmlformats.org/drawingml/2006/main">
                    <a:ext uri="{FF2B5EF4-FFF2-40B4-BE49-F238E27FC236}">
                      <a16:creationId xmlns:a16="http://schemas.microsoft.com/office/drawing/2014/main" id="{DE632AC5-CD51-4C5C-9CCB-0CF09FBAC3A4}"/>
                    </a:ext>
                  </a:extLst>
                </wp:docPr>
                <wp:cNvGraphicFramePr/>
                <a:graphic xmlns:a="http://schemas.openxmlformats.org/drawingml/2006/main">
                  <a:graphicData uri="http://schemas.microsoft.com/office/word/2010/wordprocessingShape">
                    <wps:wsp>
                      <wps:cNvSpPr txBox="1"/>
                      <wps:spPr>
                        <a:xfrm>
                          <a:off x="0" y="0"/>
                          <a:ext cx="5231218" cy="765544"/>
                        </a:xfrm>
                        <a:prstGeom prst="rect">
                          <a:avLst/>
                        </a:prstGeom>
                        <a:noFill/>
                        <a:ln w="6350">
                          <a:solidFill>
                            <a:prstClr val="black"/>
                          </a:solidFill>
                        </a:ln>
                      </wps:spPr>
                      <wps:txbx>
                        <w:txbxContent>
                          <w:p w14:paraId="2250314D" w14:textId="69828676" w:rsidR="008E1886" w:rsidRPr="00AA366B" w:rsidRDefault="008E1886" w:rsidP="00982CCB">
                            <w:r w:rsidRPr="00AA366B">
                              <w:t>Rapport</w:t>
                            </w:r>
                            <w:r w:rsidR="00484807" w:rsidRPr="00AA366B">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FB2247" id="Zone de texte 7" o:spid="_x0000_s1030" type="#_x0000_t202" style="position:absolute;left:0;text-align:left;margin-left:0;margin-top:593.05pt;width:411.9pt;height:60.3pt;z-index:251658247;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" filled="f" strokeweight=".5pt">
                <v:textbox>
                  <w:txbxContent>
                    <w:p w14:paraId="2250314D" w14:textId="69828676" w:rsidR="008E1886" w:rsidRPr="00AA366B" w:rsidRDefault="008E1886" w:rsidP="00982CCB">
                      <w:r w:rsidRPr="00AA366B">
                        <w:t>Rapport</w:t>
                      </w:r>
                      <w:r w:rsidR="00484807" w:rsidRPr="00AA366B">
                        <w:t xml:space="preserve"/>
                      </w:r>
                    </w:p>
                  </w:txbxContent>
                </v:textbox>
                <w10:wrap anchorx="margin"/>
              </v:shape>
            </w:pict>
          </mc:Fallback>
        </mc:AlternateContent>
      </w:r>
      <w:r w:rsidR="006E4175" w:rsidRPr="00AA366B">
        <w:rPr>
          <w:noProof/>
        </w:rPr>
        <mc:AlternateContent>
          <mc:Choice Requires="wps">
            <w:drawing>
              <wp:anchor distT="0" distB="0" distL="114300" distR="114300" simplePos="0" relativeHeight="251658248" behindDoc="0" locked="0" layoutInCell="1" allowOverlap="1" wp14:anchorId="38A4CCDE" wp14:editId="70C5E656">
                <wp:simplePos x="0" y="0"/>
                <wp:positionH relativeFrom="margin">
                  <wp:align>left</wp:align>
                </wp:positionH>
                <wp:positionV relativeFrom="paragraph">
                  <wp:posOffset>8114030</wp:posOffset>
                </wp:positionV>
                <wp:extent cx="2838893" cy="552893"/>
                <wp:effectExtent l="0" t="0" r="19050" b="19050"/>
                <wp:wrapNone/>
                <wp:docPr id="1452213972" name="Zone de texte 8">
                  <a:extLst xmlns:a="http://schemas.openxmlformats.org/drawingml/2006/main">
                    <a:ext uri="{FF2B5EF4-FFF2-40B4-BE49-F238E27FC236}">
                      <a16:creationId xmlns:a16="http://schemas.microsoft.com/office/drawing/2014/main" id="{CD9B45CA-AC2D-4642-869A-DF1E480132C7}"/>
                    </a:ext>
                  </a:extLst>
                </wp:docPr>
                <wp:cNvGraphicFramePr/>
                <a:graphic xmlns:a="http://schemas.openxmlformats.org/drawingml/2006/main">
                  <a:graphicData uri="http://schemas.microsoft.com/office/word/2010/wordprocessingShape">
                    <wps:wsp>
                      <wps:cNvSpPr txBox="1"/>
                      <wps:spPr>
                        <a:xfrm>
                          <a:off x="0" y="0"/>
                          <a:ext cx="2838893" cy="552893"/>
                        </a:xfrm>
                        <a:prstGeom prst="rect">
                          <a:avLst/>
                        </a:prstGeom>
                        <a:noFill/>
                        <a:ln w="6350">
                          <a:solidFill>
                            <a:prstClr val="black"/>
                          </a:solidFill>
                        </a:ln>
                      </wps:spPr>
                      <wps:txbx>
                        <w:txbxContent>
                          <w:p w14:paraId="36E9AAB6" w14:textId="3EB9BEEB" w:rsidR="00E849B3" w:rsidRPr="00AA366B" w:rsidRDefault="00E849B3" w:rsidP="00982CCB">
                            <w:r w:rsidRPr="00AA366B">
                              <w:t>Octobre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A4CCDE" id="Zone de texte 8" o:spid="_x0000_s1031" type="#_x0000_t202" style="position:absolute;left:0;text-align:left;margin-left:0;margin-top:638.9pt;width:223.55pt;height:43.55pt;z-index:2516582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" filled="f" strokeweight=".5pt">
                <v:textbox>
                  <w:txbxContent>
                    <w:p w14:paraId="36E9AAB6" w14:textId="3EB9BEEB" w:rsidR="00E849B3" w:rsidRPr="00AA366B" w:rsidRDefault="00E849B3" w:rsidP="00982CCB">
                      <w:r w:rsidRPr="00AA366B">
                        <w:t>Octobre 2026</w:t>
                      </w:r>
                    </w:p>
                  </w:txbxContent>
                </v:textbox>
                <w10:wrap anchorx="margin"/>
              </v:shape>
            </w:pict>
          </mc:Fallback>
        </mc:AlternateContent>
      </w:r>
      <w:r w:rsidR="006E4175" w:rsidRPr="00AA366B">
        <w:rPr>
          <w:noProof/>
        </w:rPr>
        <mc:AlternateContent>
          <mc:Choice Requires="wps">
            <w:drawing>
              <wp:anchor distT="0" distB="0" distL="114300" distR="114300" simplePos="0" relativeHeight="251658246" behindDoc="0" locked="0" layoutInCell="1" allowOverlap="1" wp14:anchorId="27AE4808" wp14:editId="7AF4708C">
                <wp:simplePos x="0" y="0"/>
                <wp:positionH relativeFrom="column">
                  <wp:posOffset>-43815</wp:posOffset>
                </wp:positionH>
                <wp:positionV relativeFrom="paragraph">
                  <wp:posOffset>6007735</wp:posOffset>
                </wp:positionV>
                <wp:extent cx="2966085" cy="1275715"/>
                <wp:effectExtent l="0" t="0" r="24765" b="19685"/>
                <wp:wrapNone/>
                <wp:docPr id="1836470493" name="Zone de texte 5">
                  <a:extLst xmlns:a="http://schemas.openxmlformats.org/drawingml/2006/main">
                    <a:ext uri="{FF2B5EF4-FFF2-40B4-BE49-F238E27FC236}">
                      <a16:creationId xmlns:a16="http://schemas.microsoft.com/office/drawing/2014/main" id="{7E28089F-9AFE-4B11-B530-2FE0BB127216}"/>
                    </a:ext>
                  </a:extLst>
                </wp:docPr>
                <wp:cNvGraphicFramePr/>
                <a:graphic xmlns:a="http://schemas.openxmlformats.org/drawingml/2006/main">
                  <a:graphicData uri="http://schemas.microsoft.com/office/word/2010/wordprocessingShape">
                    <wps:wsp>
                      <wps:cNvSpPr txBox="1"/>
                      <wps:spPr>
                        <a:xfrm>
                          <a:off x="0" y="0"/>
                          <a:ext cx="2966085" cy="1275715"/>
                        </a:xfrm>
                        <a:prstGeom prst="rect">
                          <a:avLst/>
                        </a:prstGeom>
                        <a:noFill/>
                        <a:ln w="6350">
                          <a:solidFill>
                            <a:prstClr val="black"/>
                          </a:solidFill>
                        </a:ln>
                      </wps:spPr>
                      <wps:txbx>
                        <w:txbxContent>
                          <w:p w14:paraId="3754538E" w14:textId="323330EB" w:rsidR="00D03269" w:rsidRPr="00AA366B" w:rsidRDefault="00D03269" w:rsidP="00982C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E4808" id="Zone de texte 5" o:spid="_x0000_s1032" type="#_x0000_t202" style="position:absolute;left:0;text-align:left;margin-left:-3.45pt;margin-top:473.05pt;width:233.55pt;height:100.4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" filled="f" strokeweight=".5pt">
                <v:textbox>
                  <w:txbxContent>
                    <w:p w14:paraId="3754538E" w14:textId="323330EB" w:rsidR="00D03269" w:rsidRPr="00AA366B" w:rsidRDefault="00D03269" w:rsidP="00982CCB"/>
                  </w:txbxContent>
                </v:textbox>
              </v:shape>
            </w:pict>
          </mc:Fallback>
        </mc:AlternateContent>
      </w:r>
      <w:r w:rsidR="0021184D" w:rsidRPr="00AA366B">
        <w:rPr>
          <w:b/>
          <w:kern w:val="36"/>
          <w:sz w:val="40"/>
          <w:szCs w:val="40"/>
        </w:rPr>
        <w:br w:type="page"/>
      </w:r>
    </w:p>
    <w:p w14:paraId="2A46D403" w14:textId="0C7EC601" w:rsidR="004050DD" w:rsidRPr="007425FA" w:rsidRDefault="005C7BA3" w:rsidP="007425FA">
      <w:pPr>
        <w:pStyle w:val="Heading1"/>
        <w:spacing w:before="0" w:beforeAutospacing="0" w:after="0" w:afterAutospacing="0"/>
        <w:rPr/>
      </w:pPr>
      <w:bookmarkStart w:id="0" w:name="_Toc240886172"/>
      <w:bookmarkStart w:id="1" w:name="_Toc240913004"/>
      <w:bookmarkStart w:id="2" w:name="_Toc240944003"/>
      <w:bookmarkStart w:id="3" w:name="_Toc241574044"/>
      <w:r w:rsidRPr="007425FA">
        <w:rPr/>
        <w:t>SOMMAIRE</w:t>
      </w:r>
      <w:bookmarkEnd w:id="0"/>
      <w:bookmarkEnd w:id="1"/>
      <w:bookmarkEnd w:id="2"/>
      <w:bookmarkEnd w:id="3"/>
    </w:p>
    <w:p w14:paraId="3E22C955" w14:textId="77EE70B8" w:rsidR="00E11CA9" w:rsidRPr="00821389" w:rsidRDefault="00476501" w:rsidP="0010591F">
      <w:pPr>
        <w:pStyle w:val="TOC1"/>
        <w:spacing w:before="0" w:beforeAutospacing="0" w:after="0" w:afterAutospacing="0"/>
        <w:rPr>
          <w:rFonts w:eastAsiaTheme="minorEastAsia"/>
          <w:b w:val="0"/>
          <w:noProof/>
          <w:color w:val="auto"/>
          <w:kern w:val="2"/>
          <w:szCs w:val="20"/>
          <w14:ligatures w14:val="standardContextual"/>
        </w:rPr>
      </w:pPr>
      <w:r w:rsidRPr="00821389">
        <w:rPr>
          <w:szCs w:val="20"/>
        </w:rPr>
        <w:fldChar w:fldCharType="begin"/>
      </w:r>
      <w:r w:rsidRPr="00821389">
        <w:rPr>
          <w:szCs w:val="20"/>
        </w:rPr>
        <w:instrText xml:space="preserve"> TOC \o "1-3" \h \z \u </w:instrText>
      </w:r>
      <w:r w:rsidRPr="00821389">
        <w:rPr>
          <w:szCs w:val="20"/>
        </w:rPr>
        <w:fldChar w:fldCharType="separate"/>
      </w:r>
      <w:r>
        <w:t>Clic droit puis « Mettre à jour les champs » (ou Ctrl+A puis F9) pour générer cette liste.</w:t>
      </w:r>
    </w:p>
    <w:p w14:paraId="1C63F013" w14:textId="2271BDA9" w:rsidR="00C901E7" w:rsidRPr="00821389" w:rsidRDefault="00476501" w:rsidP="0010591F">
      <w:pPr>
        <w:spacing w:before="0" w:beforeAutospacing="0" w:after="0" w:afterAutospacing="0" w:line="240" w:lineRule="auto"/>
        <w:rPr>
          <w:sz w:val="20"/>
          <w:szCs w:val="20"/>
        </w:rPr>
        <w:sectPr w:rsidR="00C901E7" w:rsidRPr="00821389" w:rsidSect="006F0310">
          <w:footerReference w:type="default" r:id="rId14"/>
          <w:pgSz w:w="11906" w:h="16838"/>
          <w:pgMar w:top="720" w:right="720" w:bottom="720" w:left="720" w:header="708" w:footer="708" w:gutter="0"/>
          <w:cols w:space="708"/>
          <w:docGrid w:linePitch="360"/>
        </w:sectPr>
      </w:pPr>
      <w:r w:rsidRPr="00821389">
        <w:rPr>
          <w:sz w:val="20"/>
          <w:szCs w:val="20"/>
        </w:rPr>
        <w:fldChar w:fldCharType="end"/>
      </w:r>
    </w:p>
    <w:p w14:paraId="240887F1" w14:textId="4A1CD4D7" w:rsidR="004050DD" w:rsidRPr="00821389" w:rsidRDefault="001B60EC" w:rsidP="0010591F">
      <w:pPr>
        <w:pStyle w:val="Heading1"/>
        <w:spacing w:before="0" w:beforeAutospacing="0" w:after="0" w:afterAutospacing="0"/>
        <w:rPr/>
      </w:pPr>
      <w:bookmarkStart w:id="4" w:name="_Toc240886173"/>
      <w:bookmarkStart w:id="5" w:name="_Toc240913005"/>
      <w:bookmarkStart w:id="6" w:name="_Toc240944004"/>
      <w:bookmarkStart w:id="7" w:name="_Toc241574045"/>
      <w:r w:rsidRPr="00821389">
        <w:rPr/>
        <w:t>TABLE DES SIGLES</w:t>
      </w:r>
      <w:bookmarkEnd w:id="4"/>
      <w:bookmarkEnd w:id="5"/>
      <w:bookmarkEnd w:id="6"/>
      <w:bookmarkEnd w:id="7"/>
    </w:p>
    <w:tbl>
      <w:tblPr>
        <w:tblStyle w:val="GridTable4"/>
        <w:tblW w:w="10466" w:type="dxa"/>
        <w:tblLook w:val="0480" w:firstRow="0" w:lastRow="0" w:firstColumn="1" w:lastColumn="0" w:noHBand="0" w:noVBand="1"/>
        <w:tblLayout w:type="fixed"/>
      </w:tblPr>
      <w:tblGrid>
        <w:gridCol w:w="1413"/>
        <w:gridCol w:w="9053"/>
      </w:tblGrid>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AIRMS</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Agence ivoirienne de régulation de la mutualité sociale</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CGRAE</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Caisse générale de retraite des agents de l'État</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CIMA</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Conférence interafricaine des marchés d'assurances</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CMP</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Clinique médicale du policier</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EFC</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Entraide fin de carrière (épargne versée au départ à la retraite)</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FCP</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Fonds commun de placement</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FPPN</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Fonds de prévoyance de la Police nationale</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GNA</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Assureur de la flotte automobile</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PBC</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Liste des documents demandés au client</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PCMS</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Plan comptable des mutuelles sociales</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PEP</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Plan Épargne Plus (épargne volontaire)</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TDR</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Termes de référence</w:t>
            </w:r>
          </w:p>
        </w:tc>
      </w:tr>
      <w:tr w:rsidR="006C1D96" w:rsidRPr="00821389" w14:paraId="094F2162" w14:textId="77777777" w:rsidTr="000C31FB">
        <w:trPr>
          <w:trHeight w:val="340"/>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A15F47E" w14:textId="77777777" w:rsidR="004050DD" w:rsidRPr="00821389" w:rsidRDefault="004050DD" w:rsidP="0010591F">
            <w:pPr>
              <w:spacing w:before="0" w:beforeAutospacing="0" w:after="0" w:afterAutospacing="0" w:line="240" w:lineRule="auto"/>
              <w:jc w:val="left"/>
              <w:rPr>
                <w:sz w:val="20"/>
                <w:szCs w:val="20"/>
              </w:rPr>
            </w:pPr>
            <w:r w:rsidRPr="00821389">
              <w:rPr>
                <w:sz w:val="20"/>
                <w:szCs w:val="20"/>
              </w:rPr>
              <w:t xml:space="preserve">UEMOA</w:t>
            </w:r>
          </w:p>
        </w:tc>
        <w:tc>
          <w:tcPr>
            <w:tcW w:w="9053" w:type="dxa"/>
            <w:vAlign w:val="center"/>
          </w:tcPr>
          <w:p w14:paraId="775169A7" w14:textId="77777777" w:rsidR="004050DD" w:rsidRPr="00821389" w:rsidRDefault="004050DD" w:rsidP="0010591F">
            <w:pPr>
              <w:spacing w:before="0" w:beforeAutospacing="0" w:after="0" w:afterAutospacing="0"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821389">
              <w:rPr>
                <w:sz w:val="20"/>
                <w:szCs w:val="20"/>
              </w:rPr>
              <w:t xml:space="preserve">Union économique et monétaire ouest-africaine</w:t>
            </w:r>
          </w:p>
        </w:tc>
      </w:tr>
    </w:tbl>
    <w:p w14:paraId="282AD83F" w14:textId="77777777" w:rsidR="00243B6F" w:rsidRPr="00AA366B" w:rsidRDefault="00243B6F" w:rsidP="00A50091">
      <w:pPr>
        <w:pStyle w:val="Heading1"/>
        <w:sectPr w:rsidR="00243B6F" w:rsidRPr="00AA366B" w:rsidSect="006F0310">
          <w:pgSz w:w="11906" w:h="16838"/>
          <w:pgMar w:top="720" w:right="720" w:bottom="720" w:left="720" w:header="708" w:footer="708" w:gutter="0"/>
          <w:cols w:space="708"/>
          <w:docGrid w:linePitch="360"/>
        </w:sectPr>
      </w:pPr>
    </w:p>
    <w:p w14:paraId="0A138966" w14:textId="25A5E6C0" w:rsidR="004050DD" w:rsidRPr="00AA366B" w:rsidRDefault="001B60EC" w:rsidP="00A50091">
      <w:pPr>
        <w:pStyle w:val="Heading1"/>
      </w:pPr>
      <w:bookmarkStart w:id="8" w:name="_Toc240886174"/>
      <w:bookmarkStart w:id="9" w:name="_Toc240913006"/>
      <w:bookmarkStart w:id="10" w:name="_Toc240944005"/>
      <w:bookmarkStart w:id="11" w:name="_Toc241574046"/>
      <w:r w:rsidRPr="00AA366B">
        <w:t>TABLE DES ABRÉVIATIONS</w:t>
      </w:r>
      <w:bookmarkEnd w:id="8"/>
      <w:bookmarkEnd w:id="9"/>
      <w:bookmarkEnd w:id="10"/>
      <w:bookmarkEnd w:id="11"/>
    </w:p>
    <w:tbl>
      <w:tblPr>
        <w:tblStyle w:val="GridTable4"/>
        <w:tblW w:w="10466" w:type="dxa"/>
        <w:tblLook w:val="0480" w:firstRow="0" w:lastRow="0" w:firstColumn="1" w:lastColumn="0" w:noHBand="0" w:noVBand="1"/>
        <w:tblLayout w:type="fixed"/>
      </w:tblPr>
      <w:tblGrid>
        <w:gridCol w:w="1413"/>
        <w:gridCol w:w="9053"/>
      </w:tblGrid>
      <w:tr w:rsidR="006C1D96" w:rsidRPr="00AA366B" w14:paraId="664E4847" w14:textId="77777777" w:rsidTr="00361B05">
        <w:trPr>
          <w:trHeight w:val="283"/>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26B8EA2" w14:textId="77777777" w:rsidR="004050DD" w:rsidRPr="00AA366B" w:rsidRDefault="004050DD" w:rsidP="00982CCB">
            <w:r w:rsidRPr="00AA366B">
              <w:t>DAT</w:t>
            </w:r>
          </w:p>
        </w:tc>
        <w:tc>
          <w:tcPr>
            <w:tcW w:w="9053" w:type="dxa"/>
            <w:vAlign w:val="center"/>
          </w:tcPr>
          <w:p w14:paraId="634B998B" w14:textId="5F156902" w:rsidR="004050DD" w:rsidRPr="00AA366B" w:rsidRDefault="007C64BB" w:rsidP="00982CCB">
            <w:pPr>
              <w:cnfStyle w:val="000000000000" w:firstRow="0" w:lastRow="0" w:firstColumn="0" w:lastColumn="0" w:oddVBand="0" w:evenVBand="0" w:oddHBand="0" w:evenHBand="0" w:firstRowFirstColumn="0" w:firstRowLastColumn="0" w:lastRowFirstColumn="0" w:lastRowLastColumn="0"/>
            </w:pPr>
            <w:r w:rsidRPr="00AA366B">
              <w:t>Dépôt à terme</w:t>
            </w:r>
            <w:r w:rsidR="004050DD" w:rsidRPr="00AA366B">
              <w:t/>
            </w:r>
          </w:p>
        </w:tc>
      </w:tr>
      <w:tr w:rsidR="006C1D96" w:rsidRPr="00AA366B" w14:paraId="664E4847" w14:textId="77777777" w:rsidTr="00361B05">
        <w:trPr>
          <w:trHeight w:val="283"/>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26B8EA2" w14:textId="77777777" w:rsidR="004050DD" w:rsidRPr="00AA366B" w:rsidRDefault="004050DD" w:rsidP="00982CCB">
            <w:r w:rsidRPr="00AA366B">
              <w:t>h-j</w:t>
            </w:r>
          </w:p>
        </w:tc>
        <w:tc>
          <w:tcPr>
            <w:tcW w:w="9053" w:type="dxa"/>
            <w:vAlign w:val="center"/>
          </w:tcPr>
          <w:p w14:paraId="634B998B" w14:textId="5F156902" w:rsidR="004050DD" w:rsidRPr="00AA366B" w:rsidRDefault="007C64BB" w:rsidP="00982CCB">
            <w:pPr>
              <w:cnfStyle w:val="000000000000" w:firstRow="0" w:lastRow="0" w:firstColumn="0" w:lastColumn="0" w:oddVBand="0" w:evenVBand="0" w:oddHBand="0" w:evenHBand="0" w:firstRowFirstColumn="0" w:firstRowLastColumn="0" w:lastRowFirstColumn="0" w:lastRowLastColumn="0"/>
            </w:pPr>
            <w:r w:rsidRPr="00AA366B">
              <w:t>Homme-jour</w:t>
            </w:r>
            <w:r w:rsidR="004050DD" w:rsidRPr="00AA366B">
              <w:t/>
            </w:r>
          </w:p>
        </w:tc>
      </w:tr>
      <w:tr w:rsidR="006C1D96" w:rsidRPr="00AA366B" w14:paraId="664E4847" w14:textId="77777777" w:rsidTr="00361B05">
        <w:trPr>
          <w:trHeight w:val="283"/>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26B8EA2" w14:textId="77777777" w:rsidR="004050DD" w:rsidRPr="00AA366B" w:rsidRDefault="004050DD" w:rsidP="00982CCB">
            <w:r w:rsidRPr="00AA366B">
              <w:t>j</w:t>
            </w:r>
          </w:p>
        </w:tc>
        <w:tc>
          <w:tcPr>
            <w:tcW w:w="9053" w:type="dxa"/>
            <w:vAlign w:val="center"/>
          </w:tcPr>
          <w:p w14:paraId="634B998B" w14:textId="5F156902" w:rsidR="004050DD" w:rsidRPr="00AA366B" w:rsidRDefault="007C64BB" w:rsidP="00982CCB">
            <w:pPr>
              <w:cnfStyle w:val="000000000000" w:firstRow="0" w:lastRow="0" w:firstColumn="0" w:lastColumn="0" w:oddVBand="0" w:evenVBand="0" w:oddHBand="0" w:evenHBand="0" w:firstRowFirstColumn="0" w:firstRowLastColumn="0" w:lastRowFirstColumn="0" w:lastRowLastColumn="0"/>
            </w:pPr>
            <w:r w:rsidRPr="00AA366B">
              <w:t>Jour de travail</w:t>
            </w:r>
            <w:r w:rsidR="004050DD" w:rsidRPr="00AA366B">
              <w:t/>
            </w:r>
          </w:p>
        </w:tc>
      </w:tr>
      <w:tr w:rsidR="006C1D96" w:rsidRPr="00AA366B" w14:paraId="664E4847" w14:textId="77777777" w:rsidTr="00361B05">
        <w:trPr>
          <w:trHeight w:val="283"/>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26B8EA2" w14:textId="77777777" w:rsidR="004050DD" w:rsidRPr="00AA366B" w:rsidRDefault="004050DD" w:rsidP="00982CCB">
            <w:r w:rsidRPr="00AA366B">
              <w:t>n°</w:t>
            </w:r>
          </w:p>
        </w:tc>
        <w:tc>
          <w:tcPr>
            <w:tcW w:w="9053" w:type="dxa"/>
            <w:vAlign w:val="center"/>
          </w:tcPr>
          <w:p w14:paraId="634B998B" w14:textId="5F156902" w:rsidR="004050DD" w:rsidRPr="00AA366B" w:rsidRDefault="007C64BB" w:rsidP="00982CCB">
            <w:pPr>
              <w:cnfStyle w:val="000000000000" w:firstRow="0" w:lastRow="0" w:firstColumn="0" w:lastColumn="0" w:oddVBand="0" w:evenVBand="0" w:oddHBand="0" w:evenHBand="0" w:firstRowFirstColumn="0" w:firstRowLastColumn="0" w:lastRowFirstColumn="0" w:lastRowLastColumn="0"/>
            </w:pPr>
            <w:r w:rsidRPr="00AA366B">
              <w:t>Numéro</w:t>
            </w:r>
            <w:r w:rsidR="004050DD" w:rsidRPr="00AA366B">
              <w:t/>
            </w:r>
          </w:p>
        </w:tc>
      </w:tr>
      <w:tr w:rsidR="006C1D96" w:rsidRPr="00AA366B" w14:paraId="664E4847" w14:textId="77777777" w:rsidTr="00361B05">
        <w:trPr>
          <w:trHeight w:val="283"/>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326B8EA2" w14:textId="77777777" w:rsidR="004050DD" w:rsidRPr="00AA366B" w:rsidRDefault="004050DD" w:rsidP="00982CCB">
            <w:r w:rsidRPr="00AA366B">
              <w:t>S/C</w:t>
            </w:r>
          </w:p>
        </w:tc>
        <w:tc>
          <w:tcPr>
            <w:tcW w:w="9053" w:type="dxa"/>
            <w:vAlign w:val="center"/>
          </w:tcPr>
          <w:p w14:paraId="634B998B" w14:textId="5F156902" w:rsidR="004050DD" w:rsidRPr="00AA366B" w:rsidRDefault="007C64BB" w:rsidP="00982CCB">
            <w:pPr>
              <w:cnfStyle w:val="000000000000" w:firstRow="0" w:lastRow="0" w:firstColumn="0" w:lastColumn="0" w:oddVBand="0" w:evenVBand="0" w:oddHBand="0" w:evenHBand="0" w:firstRowFirstColumn="0" w:firstRowLastColumn="0" w:lastRowFirstColumn="0" w:lastRowLastColumn="0"/>
            </w:pPr>
            <w:r w:rsidRPr="00AA366B">
              <w:t>Prestations / cotisations (sinistralité)</w:t>
            </w:r>
            <w:r w:rsidR="004050DD" w:rsidRPr="00AA366B">
              <w:t/>
            </w:r>
          </w:p>
        </w:tc>
      </w:tr>
    </w:tbl>
    <w:p w14:paraId="0635A630" w14:textId="77777777" w:rsidR="00243B6F" w:rsidRPr="00AA366B" w:rsidRDefault="00243B6F" w:rsidP="00982CCB">
      <w:pPr>
        <w:sectPr w:rsidR="00243B6F" w:rsidRPr="00AA366B" w:rsidSect="006F0310">
          <w:pgSz w:w="11906" w:h="16838"/>
          <w:pgMar w:top="720" w:right="720" w:bottom="720" w:left="720" w:header="708" w:footer="708" w:gutter="0"/>
          <w:cols w:space="708"/>
          <w:docGrid w:linePitch="360"/>
        </w:sectPr>
      </w:pPr>
      <w:r w:rsidRPr="00AA366B">
        <w:tab/>
      </w:r>
    </w:p>
    <w:p w14:paraId="492C3623" w14:textId="72B26B44" w:rsidR="004050DD" w:rsidRPr="00AA366B" w:rsidRDefault="00603620" w:rsidP="00603620">
      <w:pPr>
        <w:pStyle w:val="Heading1"/>
      </w:pPr>
      <w:bookmarkStart w:id="12" w:name="_Toc240913007"/>
      <w:bookmarkStart w:id="13" w:name="_Toc240944006"/>
      <w:bookmarkStart w:id="14" w:name="_Toc241574047"/>
      <w:r w:rsidRPr="00AA366B">
        <w:t>LISTE DES TABLEAUX</w:t>
      </w:r>
      <w:bookmarkEnd w:id="12"/>
      <w:bookmarkEnd w:id="13"/>
      <w:bookmarkEnd w:id="14"/>
    </w:p>
    <w:sdt>
      <w:sdtPr>
        <w:rPr>
          <w:rFonts w:eastAsiaTheme="minorEastAsia"/>
          <w:kern w:val="2"/>
          <w:sz w:val="20"/>
          <w:szCs w:val="20"/>
          <w:lang w:eastAsia="en-US"/>
          <w14:ligatures w14:val="standardContextual"/>
        </w:rPr>
        <w:alias w:val="Tableaux"/>
        <w:id w:val="1307352816"/>
      </w:sdtPr>
      <w:sdtEndPr>
        <w:rPr>
          <w:kern w:val="0"/>
          <w:lang w:eastAsia="fr-CI"/>
          <w14:ligatures w14:val="none"/>
        </w:rPr>
      </w:sdtEndPr>
      <w:sdtContent>
        <w:p w14:paraId="778C74E5" w14:textId="79FCC72E" w:rsidR="00E53B0A" w:rsidRPr="00E53B0A" w:rsidRDefault="00AE38BD" w:rsidP="00E53B0A">
          <w:pPr>
            <w:pStyle w:val="TableofFigures"/>
            <w:spacing w:line="240" w:lineRule="auto"/>
            <w:rPr>
              <w:rFonts w:asciiTheme="minorHAnsi" w:eastAsiaTheme="minorEastAsia" w:hAnsiTheme="minorHAnsi" w:cstheme="minorBidi"/>
              <w:noProof/>
              <w:color w:val="auto"/>
              <w:kern w:val="2"/>
              <w:sz w:val="20"/>
              <w:szCs w:val="20"/>
              <w14:ligatures w14:val="standardContextual"/>
            </w:rPr>
          </w:pPr>
          <w:r w:rsidRPr="00E53B0A">
            <w:rPr>
              <w:sz w:val="20"/>
              <w:szCs w:val="20"/>
            </w:rPr>
            <w:fldChar w:fldCharType="begin"/>
          </w:r>
          <w:r w:rsidRPr="00E53B0A">
            <w:rPr>
              <w:sz w:val="20"/>
              <w:szCs w:val="20"/>
            </w:rPr>
            <w:instrText xml:space="preserve"> TOC \c "</w:instrText>
          </w:r>
          <w:r w:rsidR="00917DBE" w:rsidRPr="00E53B0A">
            <w:rPr>
              <w:sz w:val="20"/>
              <w:szCs w:val="20"/>
            </w:rPr>
            <w:instrText>Tableau</w:instrText>
          </w:r>
          <w:r w:rsidRPr="00E53B0A">
            <w:rPr>
              <w:sz w:val="20"/>
              <w:szCs w:val="20"/>
            </w:rPr>
            <w:instrText xml:space="preserve">" </w:instrText>
          </w:r>
          <w:r w:rsidRPr="00E53B0A">
            <w:rPr>
              <w:sz w:val="20"/>
              <w:szCs w:val="20"/>
            </w:rPr>
            <w:fldChar w:fldCharType="separate"/>
          </w:r>
          <w:r>
            <w:t>Clic droit puis « Mettre à jour les champs » (ou Ctrl+A puis F9) pour générer cette liste.</w:t>
          </w:r>
        </w:p>
        <w:p w14:paraId="5D17CE9F" w14:textId="644DE881" w:rsidR="00243B6F" w:rsidRPr="00AA366B" w:rsidRDefault="00AE38BD" w:rsidP="00E53B0A">
          <w:pPr>
            <w:pStyle w:val="TableofFigures"/>
            <w:spacing w:line="240" w:lineRule="auto"/>
            <w:sectPr w:rsidR="00243B6F" w:rsidRPr="00AA366B" w:rsidSect="006F0310">
              <w:pgSz w:w="11906" w:h="16838"/>
              <w:pgMar w:top="720" w:right="720" w:bottom="720" w:left="720" w:header="708" w:footer="708" w:gutter="0"/>
              <w:cols w:space="708"/>
              <w:docGrid w:linePitch="360"/>
            </w:sectPr>
          </w:pPr>
          <w:r w:rsidRPr="00E53B0A">
            <w:rPr>
              <w:sz w:val="20"/>
              <w:szCs w:val="20"/>
            </w:rPr>
            <w:fldChar w:fldCharType="end"/>
          </w:r>
        </w:p>
      </w:sdtContent>
    </w:sdt>
    <w:p w14:paraId="44217672" w14:textId="61D4D835" w:rsidR="004050DD" w:rsidRPr="00AA366B" w:rsidRDefault="001B60EC" w:rsidP="00A50091">
      <w:pPr>
        <w:pStyle w:val="Heading1"/>
      </w:pPr>
      <w:bookmarkStart w:id="15" w:name="_Toc240886175"/>
      <w:bookmarkStart w:id="16" w:name="_Toc240913008"/>
      <w:bookmarkStart w:id="17" w:name="_Toc240944007"/>
      <w:bookmarkStart w:id="18" w:name="_Toc241574048"/>
      <w:r w:rsidRPr="00AA366B">
        <w:t>LISTE DES FIGURES</w:t>
      </w:r>
      <w:bookmarkEnd w:id="15"/>
      <w:bookmarkEnd w:id="16"/>
      <w:bookmarkEnd w:id="17"/>
      <w:bookmarkEnd w:id="18"/>
    </w:p>
    <w:sdt>
      <w:sdtPr>
        <w:rPr>
          <w:rFonts w:eastAsiaTheme="minorEastAsia"/>
          <w:color w:val="auto"/>
          <w:kern w:val="2"/>
          <w:lang w:eastAsia="en-US"/>
          <w14:ligatures w14:val="standardContextual"/>
        </w:rPr>
        <w:alias w:val="Figures"/>
        <w:id w:val="-1375691650"/>
      </w:sdtPr>
      <w:sdtEndPr>
        <w:rPr>
          <w:color w:val="000000"/>
          <w:kern w:val="0"/>
          <w:sz w:val="20"/>
          <w:szCs w:val="20"/>
          <w:lang w:eastAsia="fr-CI"/>
          <w14:ligatures w14:val="none"/>
        </w:rPr>
      </w:sdtEndPr>
      <w:sdtContent>
        <w:p w14:paraId="0F10E1BD" w14:textId="4B2103D2" w:rsidR="008447F5" w:rsidRPr="00150274" w:rsidRDefault="004050DD" w:rsidP="00150274">
          <w:pPr>
            <w:pStyle w:val="TableofFigures"/>
            <w:spacing w:line="240" w:lineRule="auto"/>
            <w:rPr>
              <w:rFonts w:eastAsiaTheme="minorEastAsia"/>
              <w:noProof/>
              <w:color w:val="auto"/>
              <w:kern w:val="2"/>
              <w:sz w:val="20"/>
              <w:szCs w:val="20"/>
              <w:lang w:val="fr-FR" w:eastAsia="fr-FR"/>
              <w14:ligatures w14:val="standardContextual"/>
            </w:rPr>
          </w:pPr>
          <w:r w:rsidRPr="00150274">
            <w:rPr>
              <w:sz w:val="20"/>
              <w:szCs w:val="20"/>
            </w:rPr>
            <w:fldChar w:fldCharType="begin"/>
          </w:r>
          <w:r w:rsidRPr="00150274">
            <w:rPr>
              <w:sz w:val="20"/>
              <w:szCs w:val="20"/>
            </w:rPr>
            <w:instrText>TOC \c "Figure"</w:instrText>
          </w:r>
          <w:r w:rsidRPr="00150274">
            <w:rPr>
              <w:sz w:val="20"/>
              <w:szCs w:val="20"/>
            </w:rPr>
            <w:fldChar w:fldCharType="separate"/>
          </w:r>
          <w:r>
            <w:t>Clic droit puis « Mettre à jour les champs » (ou Ctrl+A puis F9) pour générer cette liste.</w:t>
          </w:r>
        </w:p>
        <w:p w14:paraId="5F353925" w14:textId="649C4DB8" w:rsidR="00243B6F" w:rsidRPr="00AA366B" w:rsidRDefault="004050DD" w:rsidP="00150274">
          <w:pPr>
            <w:spacing w:line="240" w:lineRule="auto"/>
          </w:pPr>
          <w:r w:rsidRPr="00150274">
            <w:rPr>
              <w:sz w:val="20"/>
              <w:szCs w:val="20"/>
            </w:rPr>
            <w:fldChar w:fldCharType="end"/>
          </w:r>
          <w:r w:rsidR="00243B6F" w:rsidRPr="003654B3">
            <w:rPr>
              <w:sz w:val="20"/>
              <w:szCs w:val="20"/>
            </w:rPr>
            <w:tab/>
          </w:r>
          <w:r w:rsidR="00243B6F" w:rsidRPr="003654B3">
            <w:rPr>
              <w:sz w:val="20"/>
              <w:szCs w:val="20"/>
            </w:rPr>
            <w:tab/>
          </w:r>
          <w:r w:rsidR="00243B6F" w:rsidRPr="003654B3">
            <w:rPr>
              <w:sz w:val="20"/>
              <w:szCs w:val="20"/>
            </w:rPr>
            <w:tab/>
          </w:r>
          <w:r w:rsidR="00243B6F" w:rsidRPr="003654B3">
            <w:rPr>
              <w:sz w:val="20"/>
              <w:szCs w:val="20"/>
            </w:rPr>
            <w:tab/>
          </w:r>
        </w:p>
      </w:sdtContent>
    </w:sdt>
    <w:p w14:paraId="2FDAB497" w14:textId="77777777" w:rsidR="00243B6F" w:rsidRPr="00AA366B" w:rsidRDefault="00243B6F" w:rsidP="00982CCB">
      <w:pPr>
        <w:sectPr w:rsidR="00243B6F" w:rsidRPr="00AA366B" w:rsidSect="006F0310">
          <w:pgSz w:w="11906" w:h="16838"/>
          <w:pgMar w:top="720" w:right="720" w:bottom="720" w:left="720" w:header="708" w:footer="708" w:gutter="0"/>
          <w:cols w:space="708"/>
          <w:docGrid w:linePitch="360"/>
        </w:sectPr>
      </w:pPr>
    </w:p>
    <w:p>
      <w:pPr>
        <w:pStyle w:val="Heading1"/>
      </w:pPr>
      <w:r>
        <w:t>L'ESSENTIEL EN UNE PAGE</w:t>
      </w:r>
    </w:p>
    <w:p>
      <w:pPr/>
      <w:r>
        <w:rPr>
          <w:rFonts w:ascii="Helvetica" w:hAnsi="Helvetica" w:cs="Helvetica" w:eastAsia="Helvetica"/>
          <w:b/>
          <w:color w:val="000000"/>
        </w:rPr>
        <w:t>Le volet actuariel et statistique de l'audit du FPPN doit répondre à quatre questions : les engagements envers les adhérents, la suffisance des provisions, l'adossement des actifs aux dettes et l'adéquation des placements.</w:t>
      </w:r>
      <w:r>
        <w:rPr>
          <w:rFonts w:ascii="Helvetica" w:hAnsi="Helvetica" w:cs="Helvetica" w:eastAsia="Helvetica"/>
          <w:color w:val="000000"/>
        </w:rPr>
        <w:t xml:space="preserve"> Le FPPN est la mutuelle des policiers de Côte d'Ivoire. Il couvre la maladie et le décès, gère deux produits d'épargne (EFC et PEP) et prête aux policiers par le Grenier du Policier. La période couverte va du 01/01/2020 au 31/08/2026.</w:t>
      </w:r>
    </w:p>
    <w:p>
      <w:pPr/>
      <w:r>
        <w:rPr>
          <w:rFonts w:ascii="Helvetica" w:hAnsi="Helvetica" w:cs="Helvetica" w:eastAsia="Helvetica"/>
          <w:b/>
          <w:color w:val="000000"/>
        </w:rPr>
        <w:t>Sur les documents reçus, deux réponses sont partiellement démontrées et deux sont insuffisantes.</w:t>
      </w:r>
      <w:r>
        <w:rPr>
          <w:rFonts w:ascii="Helvetica" w:hAnsi="Helvetica" w:cs="Helvetica" w:eastAsia="Helvetica"/>
          <w:color w:val="000000"/>
        </w:rPr>
        <w:t xml:space="preserve"> L'épargne due aux adhérents atteint 15 743 516 391 FCFA au 31/08/2026, sans les intérêts promis (3 278 913 238 FCFA non comptabilisés). Les provisions maladie et obsèques (4 829 298 290 FCFA) n'ont pas été recalculées depuis 2020. Les actifs disponibles à moins d'un an couvrent 34,42 % des paiements de l'année, et 14 des 36 ratios de l'UEMOA ne sont pas respectés.</w:t>
      </w:r>
    </w:p>
    <w:p>
      <w:pPr/>
      <w:r>
        <w:rPr>
          <w:rFonts w:ascii="Helvetica" w:hAnsi="Helvetica" w:cs="Helvetica" w:eastAsia="Helvetica"/>
          <w:b/>
          <w:color w:val="000000"/>
        </w:rPr>
        <w:t>L'avancement est de 63,85 %, ce qui est bon pour la partie qui dépend d'Adenka, mais le reste dépend de données que le FPPN n'a pas encore transmises.</w:t>
      </w:r>
      <w:r>
        <w:rPr>
          <w:rFonts w:ascii="Helvetica" w:hAnsi="Helvetica" w:cs="Helvetica" w:eastAsia="Helvetica"/>
          <w:color w:val="000000"/>
        </w:rPr>
        <w:t xml:space="preserve"> Le rapport compte 291 diapositives, appuyées sur un classeur Excel de calcul de 99 onglets. Les 2 885 chiffres du rapport sont contrôlés automatiquement contre les calculs. La restitution provisoire au FPPN est prévue les 23 et 24/11/2026, le rapport définitif le 30/11/2026.</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1</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Déroulé de la réunion (30 minutes)</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2041"/>
        <w:gridCol w:w="850"/>
        <w:gridCol w:w="4309"/>
        <w:gridCol w:w="3231"/>
      </w:tblGrid>
      <w:tr>
        <w:trPr>
          <w:tblHeader/>
        </w:trPr>
        <w:tc>
          <w:tcPr>
            <w:tcW w:type="dxa" w:w="2041"/>
            <w:shd w:val="clear" w:color="auto" w:fill="000000"/>
          </w:tcPr>
          <w:p>
            <w:pPr>
              <w:spacing w:after="40" w:before="40" w:line="240" w:lineRule="auto"/>
              <w:jc w:val="left"/>
            </w:pPr>
            <w:r>
              <w:rPr>
                <w:rFonts w:ascii="Helvetica" w:hAnsi="Helvetica" w:cs="Helvetica" w:eastAsia="Helvetica"/>
                <w:b/>
                <w:color w:val="FFFFFF"/>
                <w:sz w:val="18"/>
              </w:rPr>
              <w:t>Étape</w:t>
            </w:r>
          </w:p>
        </w:tc>
        <w:tc>
          <w:tcPr>
            <w:tcW w:type="dxa" w:w="850"/>
            <w:shd w:val="clear" w:color="auto" w:fill="000000"/>
          </w:tcPr>
          <w:p>
            <w:pPr>
              <w:spacing w:after="40" w:before="40" w:line="240" w:lineRule="auto"/>
              <w:jc w:val="center"/>
            </w:pPr>
            <w:r>
              <w:rPr>
                <w:rFonts w:ascii="Helvetica" w:hAnsi="Helvetica" w:cs="Helvetica" w:eastAsia="Helvetica"/>
                <w:b/>
                <w:color w:val="FFFFFF"/>
                <w:sz w:val="18"/>
              </w:rPr>
              <w:t>Durée</w:t>
            </w:r>
          </w:p>
        </w:tc>
        <w:tc>
          <w:tcPr>
            <w:tcW w:type="dxa" w:w="4309"/>
            <w:shd w:val="clear" w:color="auto" w:fill="000000"/>
          </w:tcPr>
          <w:p>
            <w:pPr>
              <w:spacing w:after="40" w:before="40" w:line="240" w:lineRule="auto"/>
              <w:jc w:val="center"/>
            </w:pPr>
            <w:r>
              <w:rPr>
                <w:rFonts w:ascii="Helvetica" w:hAnsi="Helvetica" w:cs="Helvetica" w:eastAsia="Helvetica"/>
                <w:b/>
                <w:color w:val="FFFFFF"/>
                <w:sz w:val="18"/>
              </w:rPr>
              <w:t>Ce qu'il faut dire en une phrase</w:t>
            </w:r>
          </w:p>
        </w:tc>
        <w:tc>
          <w:tcPr>
            <w:tcW w:type="dxa" w:w="3231"/>
            <w:shd w:val="clear" w:color="auto" w:fill="000000"/>
          </w:tcPr>
          <w:p>
            <w:pPr>
              <w:spacing w:after="40" w:before="40" w:line="240" w:lineRule="auto"/>
              <w:jc w:val="center"/>
            </w:pPr>
            <w:r>
              <w:rPr>
                <w:rFonts w:ascii="Helvetica" w:hAnsi="Helvetica" w:cs="Helvetica" w:eastAsia="Helvetica"/>
                <w:b/>
                <w:color w:val="FFFFFF"/>
                <w:sz w:val="18"/>
              </w:rPr>
              <w:t>À montrer</w:t>
            </w:r>
          </w:p>
        </w:tc>
      </w:tr>
      <w:tr>
        <w:tc>
          <w:tcPr>
            <w:tcW w:type="dxa" w:w="2041"/>
            <w:shd w:val="clear" w:color="auto" w:fill="CCCCCC"/>
          </w:tcPr>
          <w:p>
            <w:pPr>
              <w:spacing w:after="40" w:before="40" w:line="240" w:lineRule="auto"/>
              <w:jc w:val="left"/>
            </w:pPr>
            <w:r>
              <w:rPr>
                <w:rFonts w:ascii="Helvetica" w:hAnsi="Helvetica" w:cs="Helvetica" w:eastAsia="Helvetica"/>
                <w:b/>
                <w:color w:val="000000"/>
                <w:sz w:val="18"/>
              </w:rPr>
              <w:t>1. Contexte</w:t>
            </w:r>
          </w:p>
        </w:tc>
        <w:tc>
          <w:tcPr>
            <w:tcW w:type="dxa" w:w="850"/>
          </w:tcPr>
          <w:p>
            <w:pPr>
              <w:spacing w:after="40" w:before="40" w:line="240" w:lineRule="auto"/>
              <w:jc w:val="left"/>
            </w:pPr>
            <w:r>
              <w:rPr>
                <w:rFonts w:ascii="Helvetica" w:hAnsi="Helvetica" w:cs="Helvetica" w:eastAsia="Helvetica"/>
                <w:color w:val="000000"/>
                <w:sz w:val="18"/>
              </w:rPr>
              <w:t>2 min</w:t>
            </w:r>
          </w:p>
        </w:tc>
        <w:tc>
          <w:tcPr>
            <w:tcW w:type="dxa" w:w="4309"/>
          </w:tcPr>
          <w:p>
            <w:pPr>
              <w:spacing w:after="40" w:before="40" w:line="240" w:lineRule="auto"/>
              <w:jc w:val="left"/>
            </w:pPr>
            <w:r>
              <w:rPr>
                <w:rFonts w:ascii="Helvetica" w:hAnsi="Helvetica" w:cs="Helvetica" w:eastAsia="Helvetica"/>
                <w:color w:val="000000"/>
                <w:sz w:val="18"/>
              </w:rPr>
              <w:t>Qui est le FPPN et pourquoi cet audit</w:t>
            </w:r>
          </w:p>
        </w:tc>
        <w:tc>
          <w:tcPr>
            <w:tcW w:type="dxa" w:w="3231"/>
          </w:tcPr>
          <w:p>
            <w:pPr>
              <w:spacing w:after="40" w:before="40" w:line="240" w:lineRule="auto"/>
              <w:jc w:val="left"/>
            </w:pPr>
            <w:r>
              <w:rPr>
                <w:rFonts w:ascii="Helvetica" w:hAnsi="Helvetica" w:cs="Helvetica" w:eastAsia="Helvetica"/>
                <w:color w:val="000000"/>
                <w:sz w:val="18"/>
              </w:rPr>
              <w:t>Diapositive 42</w:t>
            </w:r>
          </w:p>
        </w:tc>
      </w:tr>
      <w:tr>
        <w:tc>
          <w:tcPr>
            <w:tcW w:type="dxa" w:w="2041"/>
            <w:shd w:val="clear" w:color="auto" w:fill="CCCCCC"/>
          </w:tcPr>
          <w:p>
            <w:pPr>
              <w:spacing w:after="40" w:before="40" w:line="240" w:lineRule="auto"/>
              <w:jc w:val="left"/>
            </w:pPr>
            <w:r>
              <w:rPr>
                <w:rFonts w:ascii="Helvetica" w:hAnsi="Helvetica" w:cs="Helvetica" w:eastAsia="Helvetica"/>
                <w:b/>
                <w:color w:val="000000"/>
                <w:sz w:val="18"/>
              </w:rPr>
              <w:t>2. Mon périmètre</w:t>
            </w:r>
          </w:p>
        </w:tc>
        <w:tc>
          <w:tcPr>
            <w:tcW w:type="dxa" w:w="850"/>
            <w:shd w:val="clear" w:color="auto" w:fill="E8E8E8"/>
          </w:tcPr>
          <w:p>
            <w:pPr>
              <w:spacing w:after="40" w:before="40" w:line="240" w:lineRule="auto"/>
              <w:jc w:val="left"/>
            </w:pPr>
            <w:r>
              <w:rPr>
                <w:rFonts w:ascii="Helvetica" w:hAnsi="Helvetica" w:cs="Helvetica" w:eastAsia="Helvetica"/>
                <w:color w:val="000000"/>
                <w:sz w:val="18"/>
              </w:rPr>
              <w:t>1 min</w:t>
            </w:r>
          </w:p>
        </w:tc>
        <w:tc>
          <w:tcPr>
            <w:tcW w:type="dxa" w:w="4309"/>
            <w:shd w:val="clear" w:color="auto" w:fill="E8E8E8"/>
          </w:tcPr>
          <w:p>
            <w:pPr>
              <w:spacing w:after="40" w:before="40" w:line="240" w:lineRule="auto"/>
              <w:jc w:val="left"/>
            </w:pPr>
            <w:r>
              <w:rPr>
                <w:rFonts w:ascii="Helvetica" w:hAnsi="Helvetica" w:cs="Helvetica" w:eastAsia="Helvetica"/>
                <w:color w:val="000000"/>
                <w:sz w:val="18"/>
              </w:rPr>
              <w:t>Le volet actuariel et statistique, sur 2020 au 31/08/2026</w:t>
            </w:r>
          </w:p>
        </w:tc>
        <w:tc>
          <w:tcPr>
            <w:tcW w:type="dxa" w:w="3231"/>
            <w:shd w:val="clear" w:color="auto" w:fill="E8E8E8"/>
          </w:tcPr>
          <w:p>
            <w:pPr>
              <w:spacing w:after="40" w:before="40" w:line="240" w:lineRule="auto"/>
              <w:jc w:val="left"/>
            </w:pPr>
            <w:r>
              <w:rPr>
                <w:rFonts w:ascii="Helvetica" w:hAnsi="Helvetica" w:cs="Helvetica" w:eastAsia="Helvetica"/>
                <w:color w:val="000000"/>
                <w:sz w:val="18"/>
              </w:rPr>
              <w:t>Diapositive 44</w:t>
            </w:r>
          </w:p>
        </w:tc>
      </w:tr>
      <w:tr>
        <w:tc>
          <w:tcPr>
            <w:tcW w:type="dxa" w:w="2041"/>
            <w:shd w:val="clear" w:color="auto" w:fill="CCCCCC"/>
          </w:tcPr>
          <w:p>
            <w:pPr>
              <w:spacing w:after="40" w:before="40" w:line="240" w:lineRule="auto"/>
              <w:jc w:val="left"/>
            </w:pPr>
            <w:r>
              <w:rPr>
                <w:rFonts w:ascii="Helvetica" w:hAnsi="Helvetica" w:cs="Helvetica" w:eastAsia="Helvetica"/>
                <w:b/>
                <w:color w:val="000000"/>
                <w:sz w:val="18"/>
              </w:rPr>
              <w:t>3. Tâches principales</w:t>
            </w:r>
          </w:p>
        </w:tc>
        <w:tc>
          <w:tcPr>
            <w:tcW w:type="dxa" w:w="850"/>
          </w:tcPr>
          <w:p>
            <w:pPr>
              <w:spacing w:after="40" w:before="40" w:line="240" w:lineRule="auto"/>
              <w:jc w:val="left"/>
            </w:pPr>
            <w:r>
              <w:rPr>
                <w:rFonts w:ascii="Helvetica" w:hAnsi="Helvetica" w:cs="Helvetica" w:eastAsia="Helvetica"/>
                <w:color w:val="000000"/>
                <w:sz w:val="18"/>
              </w:rPr>
              <w:t>2 min</w:t>
            </w:r>
          </w:p>
        </w:tc>
        <w:tc>
          <w:tcPr>
            <w:tcW w:type="dxa" w:w="4309"/>
          </w:tcPr>
          <w:p>
            <w:pPr>
              <w:spacing w:after="40" w:before="40" w:line="240" w:lineRule="auto"/>
              <w:jc w:val="left"/>
            </w:pPr>
            <w:r>
              <w:rPr>
                <w:rFonts w:ascii="Helvetica" w:hAnsi="Helvetica" w:cs="Helvetica" w:eastAsia="Helvetica"/>
                <w:color w:val="000000"/>
                <w:sz w:val="18"/>
              </w:rPr>
              <w:t>Les quatre questions de l'offre technique</w:t>
            </w:r>
          </w:p>
        </w:tc>
        <w:tc>
          <w:tcPr>
            <w:tcW w:type="dxa" w:w="3231"/>
          </w:tcPr>
          <w:p>
            <w:pPr>
              <w:spacing w:after="40" w:before="40" w:line="240" w:lineRule="auto"/>
              <w:jc w:val="left"/>
            </w:pPr>
            <w:r>
              <w:rPr>
                <w:rFonts w:ascii="Helvetica" w:hAnsi="Helvetica" w:cs="Helvetica" w:eastAsia="Helvetica"/>
                <w:color w:val="000000"/>
                <w:sz w:val="18"/>
              </w:rPr>
              <w:t>Diapositive 4</w:t>
            </w:r>
          </w:p>
        </w:tc>
      </w:tr>
      <w:tr>
        <w:tc>
          <w:tcPr>
            <w:tcW w:type="dxa" w:w="2041"/>
            <w:shd w:val="clear" w:color="auto" w:fill="CCCCCC"/>
          </w:tcPr>
          <w:p>
            <w:pPr>
              <w:spacing w:after="40" w:before="40" w:line="240" w:lineRule="auto"/>
              <w:jc w:val="left"/>
            </w:pPr>
            <w:r>
              <w:rPr>
                <w:rFonts w:ascii="Helvetica" w:hAnsi="Helvetica" w:cs="Helvetica" w:eastAsia="Helvetica"/>
                <w:b/>
                <w:color w:val="000000"/>
                <w:sz w:val="18"/>
              </w:rPr>
              <w:t>4. Tâches ajoutées</w:t>
            </w:r>
          </w:p>
        </w:tc>
        <w:tc>
          <w:tcPr>
            <w:tcW w:type="dxa" w:w="850"/>
            <w:shd w:val="clear" w:color="auto" w:fill="E8E8E8"/>
          </w:tcPr>
          <w:p>
            <w:pPr>
              <w:spacing w:after="40" w:before="40" w:line="240" w:lineRule="auto"/>
              <w:jc w:val="left"/>
            </w:pPr>
            <w:r>
              <w:rPr>
                <w:rFonts w:ascii="Helvetica" w:hAnsi="Helvetica" w:cs="Helvetica" w:eastAsia="Helvetica"/>
                <w:color w:val="000000"/>
                <w:sz w:val="18"/>
              </w:rPr>
              <w:t>2 min</w:t>
            </w:r>
          </w:p>
        </w:tc>
        <w:tc>
          <w:tcPr>
            <w:tcW w:type="dxa" w:w="4309"/>
            <w:shd w:val="clear" w:color="auto" w:fill="E8E8E8"/>
          </w:tcPr>
          <w:p>
            <w:pPr>
              <w:spacing w:after="40" w:before="40" w:line="240" w:lineRule="auto"/>
              <w:jc w:val="left"/>
            </w:pPr>
            <w:r>
              <w:rPr>
                <w:rFonts w:ascii="Helvetica" w:hAnsi="Helvetica" w:cs="Helvetica" w:eastAsia="Helvetica"/>
                <w:color w:val="000000"/>
                <w:sz w:val="18"/>
              </w:rPr>
              <w:t>Ce que l'offre et la nature du FPPN imposent en plus</w:t>
            </w:r>
          </w:p>
        </w:tc>
        <w:tc>
          <w:tcPr>
            <w:tcW w:type="dxa" w:w="3231"/>
            <w:shd w:val="clear" w:color="auto" w:fill="E8E8E8"/>
          </w:tcPr>
          <w:p>
            <w:pPr>
              <w:spacing w:after="40" w:before="40" w:line="240" w:lineRule="auto"/>
              <w:jc w:val="left"/>
            </w:pPr>
            <w:r>
              <w:rPr>
                <w:rFonts w:ascii="Helvetica" w:hAnsi="Helvetica" w:cs="Helvetica" w:eastAsia="Helvetica"/>
                <w:color w:val="000000"/>
                <w:sz w:val="18"/>
              </w:rPr>
              <w:t>Partie 1.4 de cette note</w:t>
            </w:r>
          </w:p>
        </w:tc>
      </w:tr>
      <w:tr>
        <w:tc>
          <w:tcPr>
            <w:tcW w:type="dxa" w:w="2041"/>
            <w:shd w:val="clear" w:color="auto" w:fill="CCCCCC"/>
          </w:tcPr>
          <w:p>
            <w:pPr>
              <w:spacing w:after="40" w:before="40" w:line="240" w:lineRule="auto"/>
              <w:jc w:val="left"/>
            </w:pPr>
            <w:r>
              <w:rPr>
                <w:rFonts w:ascii="Helvetica" w:hAnsi="Helvetica" w:cs="Helvetica" w:eastAsia="Helvetica"/>
                <w:b/>
                <w:color w:val="000000"/>
                <w:sz w:val="18"/>
              </w:rPr>
              <w:t>5. Ce que j'ai fait</w:t>
            </w:r>
          </w:p>
        </w:tc>
        <w:tc>
          <w:tcPr>
            <w:tcW w:type="dxa" w:w="850"/>
          </w:tcPr>
          <w:p>
            <w:pPr>
              <w:spacing w:after="40" w:before="40" w:line="240" w:lineRule="auto"/>
              <w:jc w:val="left"/>
            </w:pPr>
            <w:r>
              <w:rPr>
                <w:rFonts w:ascii="Helvetica" w:hAnsi="Helvetica" w:cs="Helvetica" w:eastAsia="Helvetica"/>
                <w:color w:val="000000"/>
                <w:sz w:val="18"/>
              </w:rPr>
              <w:t>4 min</w:t>
            </w:r>
          </w:p>
        </w:tc>
        <w:tc>
          <w:tcPr>
            <w:tcW w:type="dxa" w:w="4309"/>
          </w:tcPr>
          <w:p>
            <w:pPr>
              <w:spacing w:after="40" w:before="40" w:line="240" w:lineRule="auto"/>
              <w:jc w:val="left"/>
            </w:pPr>
            <w:r>
              <w:rPr>
                <w:rFonts w:ascii="Helvetica" w:hAnsi="Helvetica" w:cs="Helvetica" w:eastAsia="Helvetica"/>
                <w:color w:val="000000"/>
                <w:sz w:val="18"/>
              </w:rPr>
              <w:t>Collecte, contrôles, analyses, outils, livrables</w:t>
            </w:r>
          </w:p>
        </w:tc>
        <w:tc>
          <w:tcPr>
            <w:tcW w:type="dxa" w:w="3231"/>
          </w:tcPr>
          <w:p>
            <w:pPr>
              <w:spacing w:after="40" w:before="40" w:line="240" w:lineRule="auto"/>
              <w:jc w:val="left"/>
            </w:pPr>
            <w:r>
              <w:rPr>
                <w:rFonts w:ascii="Helvetica" w:hAnsi="Helvetica" w:cs="Helvetica" w:eastAsia="Helvetica"/>
                <w:color w:val="000000"/>
                <w:sz w:val="18"/>
              </w:rPr>
              <w:t>Diapositives 46 à 58, 229 à 239 (survol)</w:t>
            </w:r>
          </w:p>
        </w:tc>
      </w:tr>
      <w:tr>
        <w:tc>
          <w:tcPr>
            <w:tcW w:type="dxa" w:w="2041"/>
            <w:shd w:val="clear" w:color="auto" w:fill="CCCCCC"/>
          </w:tcPr>
          <w:p>
            <w:pPr>
              <w:spacing w:after="40" w:before="40" w:line="240" w:lineRule="auto"/>
              <w:jc w:val="left"/>
            </w:pPr>
            <w:r>
              <w:rPr>
                <w:rFonts w:ascii="Helvetica" w:hAnsi="Helvetica" w:cs="Helvetica" w:eastAsia="Helvetica"/>
                <w:b/>
                <w:color w:val="000000"/>
                <w:sz w:val="18"/>
              </w:rPr>
              <w:t>6. Conclusions</w:t>
            </w:r>
          </w:p>
        </w:tc>
        <w:tc>
          <w:tcPr>
            <w:tcW w:type="dxa" w:w="850"/>
            <w:shd w:val="clear" w:color="auto" w:fill="E8E8E8"/>
          </w:tcPr>
          <w:p>
            <w:pPr>
              <w:spacing w:after="40" w:before="40" w:line="240" w:lineRule="auto"/>
              <w:jc w:val="left"/>
            </w:pPr>
            <w:r>
              <w:rPr>
                <w:rFonts w:ascii="Helvetica" w:hAnsi="Helvetica" w:cs="Helvetica" w:eastAsia="Helvetica"/>
                <w:color w:val="000000"/>
                <w:sz w:val="18"/>
              </w:rPr>
              <w:t>5 min</w:t>
            </w:r>
          </w:p>
        </w:tc>
        <w:tc>
          <w:tcPr>
            <w:tcW w:type="dxa" w:w="4309"/>
            <w:shd w:val="clear" w:color="auto" w:fill="E8E8E8"/>
          </w:tcPr>
          <w:p>
            <w:pPr>
              <w:spacing w:after="40" w:before="40" w:line="240" w:lineRule="auto"/>
              <w:jc w:val="left"/>
            </w:pPr>
            <w:r>
              <w:rPr>
                <w:rFonts w:ascii="Helvetica" w:hAnsi="Helvetica" w:cs="Helvetica" w:eastAsia="Helvetica"/>
                <w:color w:val="000000"/>
                <w:sz w:val="18"/>
              </w:rPr>
              <w:t>Les quatre verdicts, pourquoi et comment</w:t>
            </w:r>
          </w:p>
        </w:tc>
        <w:tc>
          <w:tcPr>
            <w:tcW w:type="dxa" w:w="3231"/>
            <w:shd w:val="clear" w:color="auto" w:fill="E8E8E8"/>
          </w:tcPr>
          <w:p>
            <w:pPr>
              <w:spacing w:after="40" w:before="40" w:line="240" w:lineRule="auto"/>
              <w:jc w:val="left"/>
            </w:pPr>
            <w:r>
              <w:rPr>
                <w:rFonts w:ascii="Helvetica" w:hAnsi="Helvetica" w:cs="Helvetica" w:eastAsia="Helvetica"/>
                <w:color w:val="000000"/>
                <w:sz w:val="18"/>
              </w:rPr>
              <w:t>Diapositives 4 à 8, 10 et 11</w:t>
            </w:r>
          </w:p>
        </w:tc>
      </w:tr>
      <w:tr>
        <w:tc>
          <w:tcPr>
            <w:tcW w:type="dxa" w:w="2041"/>
            <w:shd w:val="clear" w:color="auto" w:fill="CCCCCC"/>
          </w:tcPr>
          <w:p>
            <w:pPr>
              <w:spacing w:after="40" w:before="40" w:line="240" w:lineRule="auto"/>
              <w:jc w:val="left"/>
            </w:pPr>
            <w:r>
              <w:rPr>
                <w:rFonts w:ascii="Helvetica" w:hAnsi="Helvetica" w:cs="Helvetica" w:eastAsia="Helvetica"/>
                <w:b/>
                <w:color w:val="000000"/>
                <w:sz w:val="18"/>
              </w:rPr>
              <w:t>7. Limites</w:t>
            </w:r>
          </w:p>
        </w:tc>
        <w:tc>
          <w:tcPr>
            <w:tcW w:type="dxa" w:w="850"/>
          </w:tcPr>
          <w:p>
            <w:pPr>
              <w:spacing w:after="40" w:before="40" w:line="240" w:lineRule="auto"/>
              <w:jc w:val="left"/>
            </w:pPr>
            <w:r>
              <w:rPr>
                <w:rFonts w:ascii="Helvetica" w:hAnsi="Helvetica" w:cs="Helvetica" w:eastAsia="Helvetica"/>
                <w:color w:val="000000"/>
                <w:sz w:val="18"/>
              </w:rPr>
              <w:t>2 min</w:t>
            </w:r>
          </w:p>
        </w:tc>
        <w:tc>
          <w:tcPr>
            <w:tcW w:type="dxa" w:w="4309"/>
          </w:tcPr>
          <w:p>
            <w:pPr>
              <w:spacing w:after="40" w:before="40" w:line="240" w:lineRule="auto"/>
              <w:jc w:val="left"/>
            </w:pPr>
            <w:r>
              <w:rPr>
                <w:rFonts w:ascii="Helvetica" w:hAnsi="Helvetica" w:cs="Helvetica" w:eastAsia="Helvetica"/>
                <w:color w:val="000000"/>
                <w:sz w:val="18"/>
              </w:rPr>
              <w:t>Ce que les conclusions ne disent pas encore</w:t>
            </w:r>
          </w:p>
        </w:tc>
        <w:tc>
          <w:tcPr>
            <w:tcW w:type="dxa" w:w="3231"/>
          </w:tcPr>
          <w:p>
            <w:pPr>
              <w:spacing w:after="40" w:before="40" w:line="240" w:lineRule="auto"/>
              <w:jc w:val="left"/>
            </w:pPr>
            <w:r>
              <w:rPr>
                <w:rFonts w:ascii="Helvetica" w:hAnsi="Helvetica" w:cs="Helvetica" w:eastAsia="Helvetica"/>
                <w:color w:val="000000"/>
                <w:sz w:val="18"/>
              </w:rPr>
              <w:t>Diapositive 241</w:t>
            </w:r>
          </w:p>
        </w:tc>
      </w:tr>
      <w:tr>
        <w:tc>
          <w:tcPr>
            <w:tcW w:type="dxa" w:w="2041"/>
            <w:shd w:val="clear" w:color="auto" w:fill="CCCCCC"/>
          </w:tcPr>
          <w:p>
            <w:pPr>
              <w:spacing w:after="40" w:before="40" w:line="240" w:lineRule="auto"/>
              <w:jc w:val="left"/>
            </w:pPr>
            <w:r>
              <w:rPr>
                <w:rFonts w:ascii="Helvetica" w:hAnsi="Helvetica" w:cs="Helvetica" w:eastAsia="Helvetica"/>
                <w:b/>
                <w:color w:val="000000"/>
                <w:sz w:val="18"/>
              </w:rPr>
              <w:t>8. Reste à faire</w:t>
            </w:r>
          </w:p>
        </w:tc>
        <w:tc>
          <w:tcPr>
            <w:tcW w:type="dxa" w:w="850"/>
            <w:shd w:val="clear" w:color="auto" w:fill="E8E8E8"/>
          </w:tcPr>
          <w:p>
            <w:pPr>
              <w:spacing w:after="40" w:before="40" w:line="240" w:lineRule="auto"/>
              <w:jc w:val="left"/>
            </w:pPr>
            <w:r>
              <w:rPr>
                <w:rFonts w:ascii="Helvetica" w:hAnsi="Helvetica" w:cs="Helvetica" w:eastAsia="Helvetica"/>
                <w:color w:val="000000"/>
                <w:sz w:val="18"/>
              </w:rPr>
              <w:t>1 min</w:t>
            </w:r>
          </w:p>
        </w:tc>
        <w:tc>
          <w:tcPr>
            <w:tcW w:type="dxa" w:w="4309"/>
            <w:shd w:val="clear" w:color="auto" w:fill="E8E8E8"/>
          </w:tcPr>
          <w:p>
            <w:pPr>
              <w:spacing w:after="40" w:before="40" w:line="240" w:lineRule="auto"/>
              <w:jc w:val="left"/>
            </w:pPr>
            <w:r>
              <w:rPr>
                <w:rFonts w:ascii="Helvetica" w:hAnsi="Helvetica" w:cs="Helvetica" w:eastAsia="Helvetica"/>
                <w:color w:val="000000"/>
                <w:sz w:val="18"/>
              </w:rPr>
              <w:t>Les calculs qui attendent les données</w:t>
            </w:r>
          </w:p>
        </w:tc>
        <w:tc>
          <w:tcPr>
            <w:tcW w:type="dxa" w:w="3231"/>
            <w:shd w:val="clear" w:color="auto" w:fill="E8E8E8"/>
          </w:tcPr>
          <w:p>
            <w:pPr>
              <w:spacing w:after="40" w:before="40" w:line="240" w:lineRule="auto"/>
              <w:jc w:val="left"/>
            </w:pPr>
            <w:r>
              <w:rPr>
                <w:rFonts w:ascii="Helvetica" w:hAnsi="Helvetica" w:cs="Helvetica" w:eastAsia="Helvetica"/>
                <w:color w:val="000000"/>
                <w:sz w:val="18"/>
              </w:rPr>
              <w:t>Diapositive 242</w:t>
            </w:r>
          </w:p>
        </w:tc>
      </w:tr>
      <w:tr>
        <w:tc>
          <w:tcPr>
            <w:tcW w:type="dxa" w:w="2041"/>
            <w:shd w:val="clear" w:color="auto" w:fill="CCCCCC"/>
          </w:tcPr>
          <w:p>
            <w:pPr>
              <w:spacing w:after="40" w:before="40" w:line="240" w:lineRule="auto"/>
              <w:jc w:val="left"/>
            </w:pPr>
            <w:r>
              <w:rPr>
                <w:rFonts w:ascii="Helvetica" w:hAnsi="Helvetica" w:cs="Helvetica" w:eastAsia="Helvetica"/>
                <w:b/>
                <w:color w:val="000000"/>
                <w:sz w:val="18"/>
              </w:rPr>
              <w:t>9. Recommandations</w:t>
            </w:r>
          </w:p>
        </w:tc>
        <w:tc>
          <w:tcPr>
            <w:tcW w:type="dxa" w:w="850"/>
          </w:tcPr>
          <w:p>
            <w:pPr>
              <w:spacing w:after="40" w:before="40" w:line="240" w:lineRule="auto"/>
              <w:jc w:val="left"/>
            </w:pPr>
            <w:r>
              <w:rPr>
                <w:rFonts w:ascii="Helvetica" w:hAnsi="Helvetica" w:cs="Helvetica" w:eastAsia="Helvetica"/>
                <w:color w:val="000000"/>
                <w:sz w:val="18"/>
              </w:rPr>
              <w:t>2 min</w:t>
            </w:r>
          </w:p>
        </w:tc>
        <w:tc>
          <w:tcPr>
            <w:tcW w:type="dxa" w:w="4309"/>
          </w:tcPr>
          <w:p>
            <w:pPr>
              <w:spacing w:after="40" w:before="40" w:line="240" w:lineRule="auto"/>
              <w:jc w:val="left"/>
            </w:pPr>
            <w:r>
              <w:rPr>
                <w:rFonts w:ascii="Helvetica" w:hAnsi="Helvetica" w:cs="Helvetica" w:eastAsia="Helvetica"/>
                <w:color w:val="000000"/>
                <w:sz w:val="18"/>
              </w:rPr>
              <w:t>Neuf actions, dont quatre dans les six mois</w:t>
            </w:r>
          </w:p>
        </w:tc>
        <w:tc>
          <w:tcPr>
            <w:tcW w:type="dxa" w:w="3231"/>
          </w:tcPr>
          <w:p>
            <w:pPr>
              <w:spacing w:after="40" w:before="40" w:line="240" w:lineRule="auto"/>
              <w:jc w:val="left"/>
            </w:pPr>
            <w:r>
              <w:rPr>
                <w:rFonts w:ascii="Helvetica" w:hAnsi="Helvetica" w:cs="Helvetica" w:eastAsia="Helvetica"/>
                <w:color w:val="000000"/>
                <w:sz w:val="18"/>
              </w:rPr>
              <w:t>Diapositives 25 à 27</w:t>
            </w:r>
          </w:p>
        </w:tc>
      </w:tr>
      <w:tr>
        <w:tc>
          <w:tcPr>
            <w:tcW w:type="dxa" w:w="2041"/>
            <w:shd w:val="clear" w:color="auto" w:fill="CCCCCC"/>
          </w:tcPr>
          <w:p>
            <w:pPr>
              <w:spacing w:after="40" w:before="40" w:line="240" w:lineRule="auto"/>
              <w:jc w:val="left"/>
            </w:pPr>
            <w:r>
              <w:rPr>
                <w:rFonts w:ascii="Helvetica" w:hAnsi="Helvetica" w:cs="Helvetica" w:eastAsia="Helvetica"/>
                <w:b/>
                <w:color w:val="000000"/>
                <w:sz w:val="18"/>
              </w:rPr>
              <w:t>10. Avancement</w:t>
            </w:r>
          </w:p>
        </w:tc>
        <w:tc>
          <w:tcPr>
            <w:tcW w:type="dxa" w:w="850"/>
            <w:shd w:val="clear" w:color="auto" w:fill="E8E8E8"/>
          </w:tcPr>
          <w:p>
            <w:pPr>
              <w:spacing w:after="40" w:before="40" w:line="240" w:lineRule="auto"/>
              <w:jc w:val="left"/>
            </w:pPr>
            <w:r>
              <w:rPr>
                <w:rFonts w:ascii="Helvetica" w:hAnsi="Helvetica" w:cs="Helvetica" w:eastAsia="Helvetica"/>
                <w:color w:val="000000"/>
                <w:sz w:val="18"/>
              </w:rPr>
              <w:t>1 min</w:t>
            </w:r>
          </w:p>
        </w:tc>
        <w:tc>
          <w:tcPr>
            <w:tcW w:type="dxa" w:w="4309"/>
            <w:shd w:val="clear" w:color="auto" w:fill="E8E8E8"/>
          </w:tcPr>
          <w:p>
            <w:pPr>
              <w:spacing w:after="40" w:before="40" w:line="240" w:lineRule="auto"/>
              <w:jc w:val="left"/>
            </w:pPr>
            <w:r>
              <w:rPr>
                <w:rFonts w:ascii="Helvetica" w:hAnsi="Helvetica" w:cs="Helvetica" w:eastAsia="Helvetica"/>
                <w:color w:val="000000"/>
                <w:sz w:val="18"/>
              </w:rPr>
              <w:t>63,85 %, bon pour notre part, à risque pour celle du FPPN</w:t>
            </w:r>
          </w:p>
        </w:tc>
        <w:tc>
          <w:tcPr>
            <w:tcW w:type="dxa" w:w="3231"/>
            <w:shd w:val="clear" w:color="auto" w:fill="E8E8E8"/>
          </w:tcPr>
          <w:p>
            <w:pPr>
              <w:spacing w:after="40" w:before="40" w:line="240" w:lineRule="auto"/>
              <w:jc w:val="left"/>
            </w:pPr>
            <w:r>
              <w:rPr>
                <w:rFonts w:ascii="Helvetica" w:hAnsi="Helvetica" w:cs="Helvetica" w:eastAsia="Helvetica"/>
                <w:color w:val="000000"/>
                <w:sz w:val="18"/>
              </w:rPr>
              <w:t>Plan de travail (Excel)</w:t>
            </w:r>
          </w:p>
        </w:tc>
      </w:tr>
      <w:tr>
        <w:tc>
          <w:tcPr>
            <w:tcW w:type="dxa" w:w="2041"/>
            <w:shd w:val="clear" w:color="auto" w:fill="CCCCCC"/>
          </w:tcPr>
          <w:p>
            <w:pPr>
              <w:spacing w:after="40" w:before="40" w:line="240" w:lineRule="auto"/>
              <w:jc w:val="left"/>
            </w:pPr>
            <w:r>
              <w:rPr>
                <w:rFonts w:ascii="Helvetica" w:hAnsi="Helvetica" w:cs="Helvetica" w:eastAsia="Helvetica"/>
                <w:b/>
                <w:color w:val="000000"/>
                <w:sz w:val="18"/>
              </w:rPr>
              <w:t>11. Prochaines étapes</w:t>
            </w:r>
          </w:p>
        </w:tc>
        <w:tc>
          <w:tcPr>
            <w:tcW w:type="dxa" w:w="850"/>
          </w:tcPr>
          <w:p>
            <w:pPr>
              <w:spacing w:after="40" w:before="40" w:line="240" w:lineRule="auto"/>
              <w:jc w:val="left"/>
            </w:pPr>
            <w:r>
              <w:rPr>
                <w:rFonts w:ascii="Helvetica" w:hAnsi="Helvetica" w:cs="Helvetica" w:eastAsia="Helvetica"/>
                <w:color w:val="000000"/>
                <w:sz w:val="18"/>
              </w:rPr>
              <w:t>1 min</w:t>
            </w:r>
          </w:p>
        </w:tc>
        <w:tc>
          <w:tcPr>
            <w:tcW w:type="dxa" w:w="4309"/>
          </w:tcPr>
          <w:p>
            <w:pPr>
              <w:spacing w:after="40" w:before="40" w:line="240" w:lineRule="auto"/>
              <w:jc w:val="left"/>
            </w:pPr>
            <w:r>
              <w:rPr>
                <w:rFonts w:ascii="Helvetica" w:hAnsi="Helvetica" w:cs="Helvetica" w:eastAsia="Helvetica"/>
                <w:color w:val="000000"/>
                <w:sz w:val="18"/>
              </w:rPr>
              <w:t>Relance du FPPN, calculs, restitution, rapport définitif</w:t>
            </w:r>
          </w:p>
        </w:tc>
        <w:tc>
          <w:tcPr>
            <w:tcW w:type="dxa" w:w="3231"/>
          </w:tcPr>
          <w:p>
            <w:pPr>
              <w:spacing w:after="40" w:before="40" w:line="240" w:lineRule="auto"/>
              <w:jc w:val="left"/>
            </w:pPr>
            <w:r>
              <w:rPr>
                <w:rFonts w:ascii="Helvetica" w:hAnsi="Helvetica" w:cs="Helvetica" w:eastAsia="Helvetica"/>
                <w:color w:val="000000"/>
                <w:sz w:val="18"/>
              </w:rPr>
              <w:t>Partie 1.11 de cette note</w:t>
            </w:r>
          </w:p>
        </w:tc>
      </w:tr>
      <w:tr>
        <w:tc>
          <w:tcPr>
            <w:tcW w:type="dxa" w:w="2041"/>
            <w:shd w:val="clear" w:color="auto" w:fill="CCCCCC"/>
          </w:tcPr>
          <w:p>
            <w:pPr>
              <w:spacing w:after="40" w:before="40" w:line="240" w:lineRule="auto"/>
              <w:jc w:val="left"/>
            </w:pPr>
            <w:r>
              <w:rPr>
                <w:rFonts w:ascii="Helvetica" w:hAnsi="Helvetica" w:cs="Helvetica" w:eastAsia="Helvetica"/>
                <w:b/>
                <w:color w:val="000000"/>
                <w:sz w:val="18"/>
              </w:rPr>
              <w:t>Questions</w:t>
            </w:r>
          </w:p>
        </w:tc>
        <w:tc>
          <w:tcPr>
            <w:tcW w:type="dxa" w:w="850"/>
            <w:shd w:val="clear" w:color="auto" w:fill="E8E8E8"/>
          </w:tcPr>
          <w:p>
            <w:pPr>
              <w:spacing w:after="40" w:before="40" w:line="240" w:lineRule="auto"/>
              <w:jc w:val="left"/>
            </w:pPr>
            <w:r>
              <w:rPr>
                <w:rFonts w:ascii="Helvetica" w:hAnsi="Helvetica" w:cs="Helvetica" w:eastAsia="Helvetica"/>
                <w:color w:val="000000"/>
                <w:sz w:val="18"/>
              </w:rPr>
              <w:t>7 min</w:t>
            </w:r>
          </w:p>
        </w:tc>
        <w:tc>
          <w:tcPr>
            <w:tcW w:type="dxa" w:w="4309"/>
            <w:shd w:val="clear" w:color="auto" w:fill="E8E8E8"/>
          </w:tcPr>
          <w:p>
            <w:pPr>
              <w:spacing w:after="40" w:before="40" w:line="240" w:lineRule="auto"/>
              <w:jc w:val="left"/>
            </w:pPr>
            <w:r>
              <w:rPr>
                <w:rFonts w:ascii="Helvetica" w:hAnsi="Helvetica" w:cs="Helvetica" w:eastAsia="Helvetica"/>
                <w:color w:val="000000"/>
                <w:sz w:val="18"/>
              </w:rPr>
              <w:t>Retour au rapport selon ses questions</w:t>
            </w:r>
          </w:p>
        </w:tc>
        <w:tc>
          <w:tcPr>
            <w:tcW w:type="dxa" w:w="3231"/>
            <w:shd w:val="clear" w:color="auto" w:fill="E8E8E8"/>
          </w:tcPr>
          <w:p>
            <w:pPr>
              <w:spacing w:after="40" w:before="40" w:line="240" w:lineRule="auto"/>
              <w:jc w:val="left"/>
            </w:pPr>
            <w:r>
              <w:rPr>
                <w:rFonts w:ascii="Helvetica" w:hAnsi="Helvetica" w:cs="Helvetica" w:eastAsia="Helvetica"/>
                <w:color w:val="000000"/>
                <w:sz w:val="18"/>
              </w:rPr>
              <w:t>Carte du rapport (partie 2)</w:t>
            </w:r>
          </w:p>
        </w:tc>
      </w:tr>
    </w:tbl>
    <w:p>
      <w:pPr>
        <w:spacing w:after="200"/>
        <w:jc w:val="left"/>
      </w:pPr>
      <w:r>
        <w:rPr>
          <w:rFonts w:ascii="Helvetica" w:hAnsi="Helvetica" w:cs="Helvetica" w:eastAsia="Helvetica"/>
          <w:color w:val="000000"/>
          <w:sz w:val="16"/>
        </w:rPr>
        <w:t>Source : Note interne Adenka.</w:t>
      </w:r>
    </w:p>
    <w:p w14:paraId="1CB0F08F" w14:textId="77777777" w:rsidR="006F0CB0" w:rsidRDefault="006F0CB0" w:rsidP="006F0CB0">
      <w:pPr>
        <w:pStyle w:val="Heading1"/>
        <w:spacing w:before="100" w:after="100"/>
        <w:sectPr w:rsidR="006F0CB0" w:rsidSect="00A24B2D">
          <w:pgSz w:w="11906" w:h="16838"/>
          <w:pgMar w:top="720" w:right="720" w:bottom="720" w:left="720" w:header="708" w:footer="708" w:gutter="0"/>
          <w:cols w:space="708"/>
          <w:docGrid w:linePitch="360"/>
        </w:sectPr>
      </w:pPr>
    </w:p>
    <w:p w14:paraId="3E26D7F2" w14:textId="337516F2" w:rsidR="00DD04E3" w:rsidRDefault="003A63CB" w:rsidP="00726C7B">
      <w:r>
        <w:rPr>
          <w:noProof/>
        </w:rPr>
        <mc:AlternateContent>
          <mc:Choice Requires="wps">
            <w:drawing>
              <wp:anchor distT="0" distB="0" distL="114300" distR="114300" simplePos="0" relativeHeight="251658274" behindDoc="0" locked="0" layoutInCell="1" allowOverlap="1" wp14:anchorId="0240CFDF" wp14:editId="1EA7B570">
                <wp:simplePos x="0" y="0"/>
                <wp:positionH relativeFrom="margin">
                  <wp:align>center</wp:align>
                </wp:positionH>
                <wp:positionV relativeFrom="paragraph">
                  <wp:posOffset>-1962785</wp:posOffset>
                </wp:positionV>
                <wp:extent cx="4320000" cy="7010400"/>
                <wp:effectExtent l="0" t="0" r="0" b="0"/>
                <wp:wrapNone/>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320000" cy="7010400"/>
                        </a:xfrm>
                        <a:prstGeom prst="roundRect">
                          <a:avLst>
                            <a:gd name="adj" fmla="val 21502"/>
                          </a:avLst>
                        </a:prstGeom>
                        <a:noFill/>
                      </wps:spPr>
                      <wps:txbx>
                        <w:txbxContent>
                          <w:p w14:paraId="4180C237" w14:textId="77777777" w:rsidR="00926010" w:rsidRPr="003A63CB" w:rsidRDefault="00926010" w:rsidP="00926010">
                            <w:pPr>
                              <w:pStyle w:val="Heading1"/>
                              <w:spacing w:before="100" w:after="100"/>
                              <w:jc w:val="center"/>
                              <w:rPr>
                                <w:color w:val="FFFFFF" w:themeColor="background1"/>
                                <w:sz w:val="48"/>
                                <w:szCs w:val="48"/>
                              </w:rPr>
                            </w:pPr>
                            <w:r w:rsidRPr="003A63CB">
                              <w:rPr>
                                <w:color w:val="FFFFFF" w:themeColor="background1"/>
                                <w:sz w:val="48"/>
                                <w:szCs w:val="48"/>
                              </w:rPr>
                              <w:t>PARTIE 1 :</w:t>
                            </w:r>
                            <w:r w:rsidRPr="003A63CB">
                              <w:rPr>
                                <w:color w:val="FFFFFF" w:themeColor="background1"/>
                                <w:sz w:val="48"/>
                                <w:szCs w:val="48"/>
                              </w:rPr>
                              <w:t xml:space="preserve"> </w:t>
                            </w:r>
                          </w:p>
                          <w:p w14:paraId="03A79D83" w14:textId="77777777" w:rsidR="00926010" w:rsidRPr="003A63CB" w:rsidRDefault="00926010" w:rsidP="00926010">
                            <w:pPr>
                              <w:pStyle w:val="Heading1"/>
                              <w:spacing w:before="100" w:after="100"/>
                              <w:jc w:val="center"/>
                              <w:rPr>
                                <w:rFonts w:asciiTheme="majorHAnsi" w:eastAsiaTheme="majorEastAsia" w:hAnsiTheme="majorHAnsi" w:cstheme="majorBidi"/>
                                <w:i/>
                                <w:iCs/>
                                <w:color w:val="FFFFFF" w:themeColor="background1"/>
                                <w:sz w:val="48"/>
                                <w:szCs w:val="48"/>
                              </w:rPr>
                            </w:pPr>
                            <w:r w:rsidRPr="003A63CB">
                              <w:rPr>
                                <w:color w:val="FFFFFF" w:themeColor="background1"/>
                                <w:sz w:val="48"/>
                                <w:szCs w:val="48"/>
                              </w:rPr>
                              <w:t>FIL CONDUCTEUR</w:t>
                            </w:r>
                          </w:p>
                        </w:txbxContent>
                      </wps:txbx>
                      <wps:bodyPr rot="0" vert="horz" wrap="square" lIns="91440" tIns="45720" rIns="91440" bIns="45720" anchor="ctr" anchorCtr="0" upright="1">
                        <a:noAutofit/>
                      </wps:bodyPr>
                    </wps:wsp>
                  </a:graphicData>
                </a:graphic>
              </wp:anchor>
            </w:drawing>
          </mc:Choice>
          <mc:Fallback>
            <w:pict>
              <v:roundrect w14:anchorId="0240CFDF" id="Forme automatique 2" o:spid="_x0000_s1033" style="position:absolute;left:0;text-align:left;margin-left:0;margin-top:-154.55pt;width:133.2pt;height:552pt;rotation:90;z-index:251658274;visibility:visible;mso-wrap-style:square;mso-wrap-distance-left:9pt;mso-wrap-distance-top:0;mso-wrap-distance-right:9pt;mso-wrap-distance-bottom:0;mso-position-horizontal:center;mso-position-horizontal-relative:margin;mso-position-vertical:absolute;mso-position-vertical-relative:text;v-text-anchor:middle" arcsize="140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" filled="f" stroked="f">
                <v:textbox>
                  <w:txbxContent>
                    <w:p w14:paraId="4180C237" w14:textId="77777777" w:rsidR="00926010" w:rsidRPr="003A63CB" w:rsidRDefault="00926010" w:rsidP="00926010">
                      <w:pPr>
                        <w:pStyle w:val="Heading1"/>
                        <w:spacing w:before="100" w:after="100"/>
                        <w:jc w:val="center"/>
                        <w:rPr>
                          <w:color w:val="FFFFFF" w:themeColor="background1"/>
                          <w:sz w:val="48"/>
                          <w:szCs w:val="48"/>
                        </w:rPr>
                      </w:pPr>
                      <w:r w:rsidRPr="003A63CB">
                        <w:rPr>
                          <w:color w:val="FFFFFF" w:themeColor="background1"/>
                          <w:sz w:val="48"/>
                          <w:szCs w:val="48"/>
                        </w:rPr>
                        <w:t>PARTIE 1 :</w:t>
                      </w:r>
                      <w:r w:rsidRPr="003A63CB">
                        <w:rPr>
                          <w:color w:val="FFFFFF" w:themeColor="background1"/>
                          <w:sz w:val="48"/>
                          <w:szCs w:val="48"/>
                        </w:rPr>
                        <w:t xml:space="preserve"> </w:t>
                      </w:r>
                    </w:p>
                    <w:p w14:paraId="03A79D83" w14:textId="77777777" w:rsidR="00926010" w:rsidRPr="003A63CB" w:rsidRDefault="00926010" w:rsidP="00926010">
                      <w:pPr>
                        <w:pStyle w:val="Heading1"/>
                        <w:spacing w:before="100" w:after="100"/>
                        <w:jc w:val="center"/>
                        <w:rPr>
                          <w:rFonts w:asciiTheme="majorHAnsi" w:eastAsiaTheme="majorEastAsia" w:hAnsiTheme="majorHAnsi" w:cstheme="majorBidi"/>
                          <w:i/>
                          <w:iCs/>
                          <w:color w:val="FFFFFF" w:themeColor="background1"/>
                          <w:sz w:val="48"/>
                          <w:szCs w:val="48"/>
                        </w:rPr>
                      </w:pPr>
                      <w:r w:rsidRPr="003A63CB">
                        <w:rPr>
                          <w:color w:val="FFFFFF" w:themeColor="background1"/>
                          <w:sz w:val="48"/>
                          <w:szCs w:val="48"/>
                        </w:rPr>
                        <w:t>FIL CONDUCTEUR</w:t>
                      </w:r>
                    </w:p>
                  </w:txbxContent>
                </v:textbox>
                <w10:wrap type="square" anchorx="margin"/>
              </v:roundrect>
            </w:pict>
          </mc:Fallback>
        </mc:AlternateContent>
      </w:r>
      <w:r w:rsidR="00926010">
        <w:rPr>
          <w:noProof/>
          <w14:ligatures w14:val="standardContextual"/>
        </w:rPr>
        <mc:AlternateContent>
          <mc:Choice Requires="wps">
            <w:drawing>
              <wp:anchor distT="0" distB="0" distL="114300" distR="114300" simplePos="0" relativeHeight="251658242" behindDoc="0" locked="0" layoutInCell="1" allowOverlap="1" wp14:anchorId="140E49DA" wp14:editId="17A22642">
                <wp:simplePos x="0" y="0"/>
                <wp:positionH relativeFrom="column">
                  <wp:posOffset>-480060</wp:posOffset>
                </wp:positionH>
                <wp:positionV relativeFrom="paragraph">
                  <wp:posOffset>-510540</wp:posOffset>
                </wp:positionV>
                <wp:extent cx="7574280" cy="10751820"/>
                <wp:effectExtent l="0" t="0" r="26670" b="11430"/>
                <wp:wrapNone/>
                <wp:docPr id="613672107" name="Rectangle 10"/>
                <wp:cNvGraphicFramePr/>
                <a:graphic xmlns:a="http://schemas.openxmlformats.org/drawingml/2006/main">
                  <a:graphicData uri="http://schemas.microsoft.com/office/word/2010/wordprocessingShape">
                    <wps:wsp>
                      <wps:cNvSpPr/>
                      <wps:spPr>
                        <a:xfrm>
                          <a:off x="0" y="0"/>
                          <a:ext cx="7574280" cy="107518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E9B7977" id="Rectangle 10" o:spid="_x0000_s1026" style="position:absolute;margin-left:-37.8pt;margin-top:-40.2pt;width:596.4pt;height:846.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" fillcolor="black [3200]" strokecolor="black [480]" strokeweight="1.5pt"/>
            </w:pict>
          </mc:Fallback>
        </mc:AlternateContent>
      </w:r>
    </w:p>
    <w:p w14:paraId="29A5A8FC" w14:textId="0772451F" w:rsidR="00DD04E3" w:rsidRPr="00DD04E3" w:rsidRDefault="00DD04E3" w:rsidP="00DD04E3"/>
    <w:p w14:paraId="54310350" w14:textId="03E1B19F" w:rsidR="00DD04E3" w:rsidRPr="00DD04E3" w:rsidRDefault="00DD04E3" w:rsidP="00DD04E3"/>
    <w:p w14:paraId="2C2F6B9F" w14:textId="505262C9" w:rsidR="00DD04E3" w:rsidRPr="00DD04E3" w:rsidRDefault="003837AF" w:rsidP="00DD04E3">
      <w:r w:rsidRPr="00AA366B">
        <w:rPr>
          <w:noProof/>
        </w:rPr>
        <w:drawing>
          <wp:anchor distT="0" distB="0" distL="114300" distR="114300" simplePos="0" relativeHeight="251658267" behindDoc="0" locked="0" layoutInCell="1" allowOverlap="1" wp14:anchorId="2ADCBFCC" wp14:editId="1EA4A307">
            <wp:simplePos x="0" y="0"/>
            <wp:positionH relativeFrom="page">
              <wp:align>left</wp:align>
            </wp:positionH>
            <wp:positionV relativeFrom="paragraph">
              <wp:posOffset>167282</wp:posOffset>
            </wp:positionV>
            <wp:extent cx="7548880" cy="7259894"/>
            <wp:effectExtent l="0" t="0" r="0" b="0"/>
            <wp:wrapNone/>
            <wp:docPr id="1746398683" name="Image 15">
              <a:extLst xmlns:a="http://schemas.openxmlformats.org/drawingml/2006/main">
                <a:ext uri="{FF2B5EF4-FFF2-40B4-BE49-F238E27FC236}">
                  <a16:creationId xmlns:a16="http://schemas.microsoft.com/office/drawing/2014/main" id="{C8AC2246-CCF0-4C0C-B1BE-88C1E8DADC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pic:cNvPicPr>
                      <a:picLocks noChangeAspect="1"/>
                    </pic:cNvPicPr>
                  </pic:nvPicPr>
                  <pic:blipFill rotWithShape="1">
                    <a:blip r:embed="rId13" cstate="print">
                      <a:extLst>
                        <a:ext uri="{28A0092B-C50C-407E-A947-70E740481C1C}">
                          <a14:useLocalDpi xmlns:a14="http://schemas.microsoft.com/office/drawing/2010/main" val="0"/>
                        </a:ext>
                      </a:extLst>
                    </a:blip>
                    <a:srcRect l="-175" t="524" r="-2445" b="9082"/>
                    <a:stretch/>
                  </pic:blipFill>
                  <pic:spPr>
                    <a:xfrm>
                      <a:off x="0" y="0"/>
                      <a:ext cx="7548880" cy="7259894"/>
                    </a:xfrm>
                    <a:prstGeom prst="rect">
                      <a:avLst/>
                    </a:prstGeom>
                  </pic:spPr>
                </pic:pic>
              </a:graphicData>
            </a:graphic>
            <wp14:sizeRelH relativeFrom="margin">
              <wp14:pctWidth>0</wp14:pctWidth>
            </wp14:sizeRelH>
            <wp14:sizeRelV relativeFrom="margin">
              <wp14:pctHeight>0</wp14:pctHeight>
            </wp14:sizeRelV>
          </wp:anchor>
        </w:drawing>
      </w:r>
    </w:p>
    <w:p w14:paraId="70F74645" w14:textId="6F9E7C4C" w:rsidR="00DD04E3" w:rsidRPr="00DD04E3" w:rsidRDefault="00DD04E3" w:rsidP="00DD04E3"/>
    <w:p w14:paraId="637B0362" w14:textId="253E5702" w:rsidR="00DD04E3" w:rsidRPr="00DD04E3" w:rsidRDefault="00DD04E3" w:rsidP="00DD04E3"/>
    <w:p w14:paraId="34F038D6" w14:textId="1AAD29FE" w:rsidR="00DD04E3" w:rsidRPr="00DD04E3" w:rsidRDefault="00DD04E3" w:rsidP="00DD04E3"/>
    <w:p w14:paraId="540BCDAD" w14:textId="7FFC1DA8" w:rsidR="00DD04E3" w:rsidRPr="00DD04E3" w:rsidRDefault="00DD04E3" w:rsidP="00DD04E3"/>
    <w:p w14:paraId="62A538EF" w14:textId="19AAF6CF" w:rsidR="00DD04E3" w:rsidRPr="00DD04E3" w:rsidRDefault="00DD04E3" w:rsidP="00DD04E3"/>
    <w:p w14:paraId="6B21056D" w14:textId="70B266D0" w:rsidR="00DD04E3" w:rsidRPr="00DD04E3" w:rsidRDefault="00DD04E3" w:rsidP="00DD04E3"/>
    <w:p w14:paraId="0803D8BE" w14:textId="7ACBC061" w:rsidR="00DD04E3" w:rsidRPr="00DD04E3" w:rsidRDefault="00DD04E3" w:rsidP="00DD04E3"/>
    <w:p w14:paraId="5CCF2E8E" w14:textId="426E6CC9" w:rsidR="00DD04E3" w:rsidRPr="00DD04E3" w:rsidRDefault="00DD04E3" w:rsidP="00DD04E3"/>
    <w:p w14:paraId="2C7A88BD" w14:textId="77777777" w:rsidR="00DD04E3" w:rsidRPr="00DD04E3" w:rsidRDefault="00DD04E3" w:rsidP="00DD04E3"/>
    <w:p w14:paraId="6C8AEE97" w14:textId="77777777" w:rsidR="00DD04E3" w:rsidRPr="00DD04E3" w:rsidRDefault="00DD04E3" w:rsidP="00DD04E3"/>
    <w:p w14:paraId="193F1F69" w14:textId="77777777" w:rsidR="00DD04E3" w:rsidRPr="00DD04E3" w:rsidRDefault="00DD04E3" w:rsidP="00DD04E3"/>
    <w:p w14:paraId="3E78C07D" w14:textId="77777777" w:rsidR="00DD04E3" w:rsidRPr="00DD04E3" w:rsidRDefault="00DD04E3" w:rsidP="00DD04E3"/>
    <w:p w14:paraId="1833AA50" w14:textId="463C0184" w:rsidR="00DD04E3" w:rsidRPr="00DD04E3" w:rsidRDefault="00DD04E3" w:rsidP="00DD04E3">
      <w:pPr>
        <w:tabs>
          <w:tab w:val="left" w:pos="3384"/>
        </w:tabs>
      </w:pPr>
      <w:r>
        <w:tab/>
      </w:r>
    </w:p>
    <w:p w14:paraId="1A14F53F" w14:textId="77777777" w:rsidR="00DD04E3" w:rsidRPr="00DD04E3" w:rsidRDefault="00DD04E3" w:rsidP="00DD04E3"/>
    <w:p w14:paraId="794C1888" w14:textId="77777777" w:rsidR="00DD04E3" w:rsidRPr="00DD04E3" w:rsidRDefault="00DD04E3" w:rsidP="00DD04E3"/>
    <w:p w14:paraId="3D57E509" w14:textId="77777777" w:rsidR="00DD04E3" w:rsidRPr="00DD04E3" w:rsidRDefault="00DD04E3" w:rsidP="00DD04E3"/>
    <w:p w14:paraId="75AB4326" w14:textId="77777777" w:rsidR="00DD04E3" w:rsidRPr="00DD04E3" w:rsidRDefault="00DD04E3" w:rsidP="00DD04E3"/>
    <w:p w14:paraId="242B9CEF" w14:textId="77777777" w:rsidR="00DD04E3" w:rsidRPr="00DD04E3" w:rsidRDefault="00DD04E3" w:rsidP="00DD04E3">
      <w:pPr>
        <w:sectPr w:rsidR="00DD04E3" w:rsidRPr="00DD04E3" w:rsidSect="00A24B2D">
          <w:pgSz w:w="11906" w:h="16838"/>
          <w:pgMar w:top="720" w:right="720" w:bottom="720" w:left="720" w:header="708" w:footer="708" w:gutter="0"/>
          <w:cols w:space="708"/>
          <w:docGrid w:linePitch="360"/>
        </w:sectPr>
      </w:pPr>
    </w:p>
    <w:p>
      <w:pPr>
        <w:pStyle w:val="Heading1"/>
      </w:pPr>
      <w:r>
        <w:t>PARTIE 1 : FIL CONDUCTEUR</w:t>
      </w:r>
    </w:p>
    <w:p>
      <w:pPr/>
      <w:r>
        <w:rPr>
          <w:rFonts w:ascii="Helvetica" w:hAnsi="Helvetica" w:cs="Helvetica" w:eastAsia="Helvetica"/>
          <w:color w:val="000000"/>
        </w:rPr>
        <w:t>Le texte en italique est une proposition de ce qu'il faut dire. Il peut être lu tel quel ou reformulé. Chaque étape se termine par une phrase de transition.</w:t>
      </w:r>
    </w:p>
    <w:p>
      <w:pPr>
        <w:pStyle w:val="Heading2"/>
      </w:pPr>
      <w:r>
        <w:t>1.1. LE CONTEXTE DE LA MISSION (2 MINUTES)</w:t>
      </w:r>
    </w:p>
    <w:p>
      <w:pPr/>
      <w:r>
        <w:rPr>
          <w:rFonts w:ascii="Helvetica" w:hAnsi="Helvetica" w:cs="Helvetica" w:eastAsia="Helvetica"/>
          <w:b/>
          <w:color w:val="000000"/>
        </w:rPr>
        <w:t>Le message : le FPPN gère l'argent de prévoyance et d'épargne des policiers, et l'audit doit dire s'il peut tenir ses promesses.</w:t>
      </w:r>
    </w:p>
    <w:p>
      <w:pPr/>
      <w:r>
        <w:rPr>
          <w:rFonts w:ascii="Helvetica" w:hAnsi="Helvetica" w:cs="Helvetica" w:eastAsia="Helvetica"/>
          <w:i/>
          <w:color w:val="000000"/>
        </w:rPr>
        <w:t>« Le FPPN est la mutuelle des policiers de Côte d'Ivoire. Les cotisations sont prélevées directement sur la solde, ou sur la pension pour les retraités. En échange, le FPPN rembourse les soins, verse une allocation au décès, gère une épargne de fin de carrière (l'EFC) et une épargne volontaire (le PEP), et prête aux policiers par le Grenier du Policier. Il relève de la mutualité sociale de l'UEMOA et il est suivi par l'AIRMS, le régulateur ivoirien. Adenka réalise l'audit comptable et financier du FPPN sur la période du 01/01/2020 au 31/08/2026, sur la base d'une offre technique validée par le FPPN. »</w:t>
      </w:r>
    </w:p>
    <w:p>
      <w:pPr/>
      <w:r>
        <w:rPr>
          <w:rFonts w:ascii="Helvetica" w:hAnsi="Helvetica" w:cs="Helvetica" w:eastAsia="Helvetica"/>
          <w:b/>
          <w:color w:val="000000"/>
        </w:rPr>
        <w:t>Transition.</w:t>
      </w:r>
      <w:r>
        <w:rPr>
          <w:rFonts w:ascii="Helvetica" w:hAnsi="Helvetica" w:cs="Helvetica" w:eastAsia="Helvetica"/>
          <w:color w:val="000000"/>
        </w:rPr>
        <w:t xml:space="preserve"> </w:t>
      </w:r>
      <w:r>
        <w:rPr>
          <w:rFonts w:ascii="Helvetica" w:hAnsi="Helvetica" w:cs="Helvetica" w:eastAsia="Helvetica"/>
          <w:i/>
          <w:color w:val="000000"/>
        </w:rPr>
        <w:t>« Dans cet audit, mon intervention porte sur un volet précis. »</w:t>
      </w:r>
    </w:p>
    <w:p>
      <w:pPr>
        <w:pStyle w:val="Heading2"/>
      </w:pPr>
      <w:r>
        <w:t>1.2. MON PÉRIMÈTRE (1 MINUTE)</w:t>
      </w:r>
    </w:p>
    <w:p>
      <w:pPr/>
      <w:r>
        <w:rPr>
          <w:rFonts w:ascii="Helvetica" w:hAnsi="Helvetica" w:cs="Helvetica" w:eastAsia="Helvetica"/>
          <w:b/>
          <w:color w:val="000000"/>
        </w:rPr>
        <w:t>Le message : j'interviens sur le volet actuariel et statistique, c'est-à-dire sur ce que le FPPN devra payer plus tard et sur sa capacité à le payer.</w:t>
      </w:r>
    </w:p>
    <w:p>
      <w:pPr/>
      <w:r>
        <w:rPr>
          <w:rFonts w:ascii="Helvetica" w:hAnsi="Helvetica" w:cs="Helvetica" w:eastAsia="Helvetica"/>
          <w:i/>
          <w:color w:val="000000"/>
        </w:rPr>
        <w:t>« L'audit comptable vérifie que les comptes sont justes. Mon volet regarde vers l'avenir : combien le FPPN doit à ses adhérents, s'il a mis assez de côté, et si son argent sera disponible au bon moment. Mon profil dans l'offre technique (page 74) et le pôle 4 (page 70) fixent ce périmètre. La valorisation et le rendement des placements, ainsi que les ratios des TDR, relèvent de l'expert financier (pages 70 et 74). »</w:t>
      </w:r>
    </w:p>
    <w:p>
      <w:pPr/>
      <w:r>
        <w:rPr>
          <w:rFonts w:ascii="Helvetica" w:hAnsi="Helvetica" w:cs="Helvetica" w:eastAsia="Helvetica"/>
          <w:b/>
          <w:color w:val="000000"/>
        </w:rPr>
        <w:t>Transition.</w:t>
      </w:r>
      <w:r>
        <w:rPr>
          <w:rFonts w:ascii="Helvetica" w:hAnsi="Helvetica" w:cs="Helvetica" w:eastAsia="Helvetica"/>
          <w:color w:val="000000"/>
        </w:rPr>
        <w:t xml:space="preserve"> </w:t>
      </w:r>
      <w:r>
        <w:rPr>
          <w:rFonts w:ascii="Helvetica" w:hAnsi="Helvetica" w:cs="Helvetica" w:eastAsia="Helvetica"/>
          <w:i/>
          <w:color w:val="000000"/>
        </w:rPr>
        <w:t>« Concrètement, ce périmètre se traduit par quatre questions. »</w:t>
      </w:r>
    </w:p>
    <w:p>
      <w:pPr>
        <w:pStyle w:val="Heading2"/>
      </w:pPr>
      <w:r>
        <w:t>1.3. LES TÂCHES PRINCIPALES DE MON PÉRIMÈTRE (2 MINUTES, DIAPOSITIVE 4)</w:t>
      </w:r>
    </w:p>
    <w:p>
      <w:pPr/>
      <w:r>
        <w:rPr>
          <w:rFonts w:ascii="Helvetica" w:hAnsi="Helvetica" w:cs="Helvetica" w:eastAsia="Helvetica"/>
          <w:b/>
          <w:color w:val="000000"/>
        </w:rPr>
        <w:t>Le message : quatre questions structurent tout le rapport, et chacune reçoit une réponse explicite dès la diapositive 4.</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2</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Les quatre tâches principales</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4309"/>
        <w:gridCol w:w="6123"/>
      </w:tblGrid>
      <w:tr>
        <w:trPr>
          <w:tblHeader/>
        </w:trPr>
        <w:tc>
          <w:tcPr>
            <w:tcW w:type="dxa" w:w="4309"/>
            <w:shd w:val="clear" w:color="auto" w:fill="000000"/>
          </w:tcPr>
          <w:p>
            <w:pPr>
              <w:spacing w:after="40" w:before="40" w:line="240" w:lineRule="auto"/>
              <w:jc w:val="left"/>
            </w:pPr>
            <w:r>
              <w:rPr>
                <w:rFonts w:ascii="Helvetica" w:hAnsi="Helvetica" w:cs="Helvetica" w:eastAsia="Helvetica"/>
                <w:b/>
                <w:color w:val="FFFFFF"/>
                <w:sz w:val="18"/>
              </w:rPr>
              <w:t>Question de l'offre technique</w:t>
            </w:r>
          </w:p>
        </w:tc>
        <w:tc>
          <w:tcPr>
            <w:tcW w:type="dxa" w:w="6123"/>
            <w:shd w:val="clear" w:color="auto" w:fill="000000"/>
          </w:tcPr>
          <w:p>
            <w:pPr>
              <w:spacing w:after="40" w:before="40" w:line="240" w:lineRule="auto"/>
              <w:jc w:val="center"/>
            </w:pPr>
            <w:r>
              <w:rPr>
                <w:rFonts w:ascii="Helvetica" w:hAnsi="Helvetica" w:cs="Helvetica" w:eastAsia="Helvetica"/>
                <w:b/>
                <w:color w:val="FFFFFF"/>
                <w:sz w:val="18"/>
              </w:rPr>
              <w:t>Ce que cela veut dire en clair</w:t>
            </w:r>
          </w:p>
        </w:tc>
      </w:tr>
      <w:tr>
        <w:tc>
          <w:tcPr>
            <w:tcW w:type="dxa" w:w="4309"/>
            <w:shd w:val="clear" w:color="auto" w:fill="CCCCCC"/>
          </w:tcPr>
          <w:p>
            <w:pPr>
              <w:spacing w:after="40" w:before="40" w:line="240" w:lineRule="auto"/>
              <w:jc w:val="left"/>
            </w:pPr>
            <w:r>
              <w:rPr>
                <w:rFonts w:ascii="Helvetica" w:hAnsi="Helvetica" w:cs="Helvetica" w:eastAsia="Helvetica"/>
                <w:b/>
                <w:color w:val="000000"/>
                <w:sz w:val="18"/>
              </w:rPr>
              <w:t>1. Évaluer les engagements du FPPN envers ses adhérents et leurs ayants droit</w:t>
            </w:r>
          </w:p>
        </w:tc>
        <w:tc>
          <w:tcPr>
            <w:tcW w:type="dxa" w:w="6123"/>
          </w:tcPr>
          <w:p>
            <w:pPr>
              <w:spacing w:after="40" w:before="40" w:line="240" w:lineRule="auto"/>
              <w:jc w:val="left"/>
            </w:pPr>
            <w:r>
              <w:rPr>
                <w:rFonts w:ascii="Helvetica" w:hAnsi="Helvetica" w:cs="Helvetica" w:eastAsia="Helvetica"/>
                <w:color w:val="000000"/>
                <w:sz w:val="18"/>
              </w:rPr>
              <w:t>Combien le FPPN doit-il aujourd'hui et devra-t-il plus tard : épargne, intérêts, prestations maladie et décès ?</w:t>
            </w:r>
          </w:p>
        </w:tc>
      </w:tr>
      <w:tr>
        <w:tc>
          <w:tcPr>
            <w:tcW w:type="dxa" w:w="4309"/>
            <w:shd w:val="clear" w:color="auto" w:fill="CCCCCC"/>
          </w:tcPr>
          <w:p>
            <w:pPr>
              <w:spacing w:after="40" w:before="40" w:line="240" w:lineRule="auto"/>
              <w:jc w:val="left"/>
            </w:pPr>
            <w:r>
              <w:rPr>
                <w:rFonts w:ascii="Helvetica" w:hAnsi="Helvetica" w:cs="Helvetica" w:eastAsia="Helvetica"/>
                <w:b/>
                <w:color w:val="000000"/>
                <w:sz w:val="18"/>
              </w:rPr>
              <w:t>2. Apprécier la suffisance des provisions au regard des prestations servies</w:t>
            </w:r>
          </w:p>
        </w:tc>
        <w:tc>
          <w:tcPr>
            <w:tcW w:type="dxa" w:w="6123"/>
            <w:shd w:val="clear" w:color="auto" w:fill="E8E8E8"/>
          </w:tcPr>
          <w:p>
            <w:pPr>
              <w:spacing w:after="40" w:before="40" w:line="240" w:lineRule="auto"/>
              <w:jc w:val="left"/>
            </w:pPr>
            <w:r>
              <w:rPr>
                <w:rFonts w:ascii="Helvetica" w:hAnsi="Helvetica" w:cs="Helvetica" w:eastAsia="Helvetica"/>
                <w:color w:val="000000"/>
                <w:sz w:val="18"/>
              </w:rPr>
              <w:t>Les sommes mises de côté au bilan suffisent-elles à payer les prestations déjà nées ?</w:t>
            </w:r>
          </w:p>
        </w:tc>
      </w:tr>
      <w:tr>
        <w:tc>
          <w:tcPr>
            <w:tcW w:type="dxa" w:w="4309"/>
            <w:shd w:val="clear" w:color="auto" w:fill="CCCCCC"/>
          </w:tcPr>
          <w:p>
            <w:pPr>
              <w:spacing w:after="40" w:before="40" w:line="240" w:lineRule="auto"/>
              <w:jc w:val="left"/>
            </w:pPr>
            <w:r>
              <w:rPr>
                <w:rFonts w:ascii="Helvetica" w:hAnsi="Helvetica" w:cs="Helvetica" w:eastAsia="Helvetica"/>
                <w:b/>
                <w:color w:val="000000"/>
                <w:sz w:val="18"/>
              </w:rPr>
              <w:t>3. Apprécier l'adossement actif-passif</w:t>
            </w:r>
          </w:p>
        </w:tc>
        <w:tc>
          <w:tcPr>
            <w:tcW w:type="dxa" w:w="6123"/>
          </w:tcPr>
          <w:p>
            <w:pPr>
              <w:spacing w:after="40" w:before="40" w:line="240" w:lineRule="auto"/>
              <w:jc w:val="left"/>
            </w:pPr>
            <w:r>
              <w:rPr>
                <w:rFonts w:ascii="Helvetica" w:hAnsi="Helvetica" w:cs="Helvetica" w:eastAsia="Helvetica"/>
                <w:color w:val="000000"/>
                <w:sz w:val="18"/>
              </w:rPr>
              <w:t>L'argent du FPPN sera-t-il disponible au moment où il devra payer ?</w:t>
            </w:r>
          </w:p>
        </w:tc>
      </w:tr>
      <w:tr>
        <w:tc>
          <w:tcPr>
            <w:tcW w:type="dxa" w:w="4309"/>
            <w:shd w:val="clear" w:color="auto" w:fill="CCCCCC"/>
          </w:tcPr>
          <w:p>
            <w:pPr>
              <w:spacing w:after="40" w:before="40" w:line="240" w:lineRule="auto"/>
              <w:jc w:val="left"/>
            </w:pPr>
            <w:r>
              <w:rPr>
                <w:rFonts w:ascii="Helvetica" w:hAnsi="Helvetica" w:cs="Helvetica" w:eastAsia="Helvetica"/>
                <w:b/>
                <w:color w:val="000000"/>
                <w:sz w:val="18"/>
              </w:rPr>
              <w:t>4. Analyser l'adéquation des placements aux engagements</w:t>
            </w:r>
          </w:p>
        </w:tc>
        <w:tc>
          <w:tcPr>
            <w:tcW w:type="dxa" w:w="6123"/>
            <w:shd w:val="clear" w:color="auto" w:fill="E8E8E8"/>
          </w:tcPr>
          <w:p>
            <w:pPr>
              <w:spacing w:after="40" w:before="40" w:line="240" w:lineRule="auto"/>
              <w:jc w:val="left"/>
            </w:pPr>
            <w:r>
              <w:rPr>
                <w:rFonts w:ascii="Helvetica" w:hAnsi="Helvetica" w:cs="Helvetica" w:eastAsia="Helvetica"/>
                <w:color w:val="000000"/>
                <w:sz w:val="18"/>
              </w:rPr>
              <w:t>Les placements sont-ils sûrs, disponibles et assez rentables pour servir l'épargne promise ?</w:t>
            </w:r>
          </w:p>
        </w:tc>
      </w:tr>
    </w:tbl>
    <w:p>
      <w:pPr>
        <w:spacing w:after="200"/>
        <w:jc w:val="left"/>
      </w:pPr>
      <w:r>
        <w:rPr>
          <w:rFonts w:ascii="Helvetica" w:hAnsi="Helvetica" w:cs="Helvetica" w:eastAsia="Helvetica"/>
          <w:color w:val="000000"/>
          <w:sz w:val="16"/>
        </w:rPr>
        <w:t>Source : Offre technique Adenka validée par le FPPN, profil de l'actuaire (p. 74) ; rapport du 23/10/2026, diapositive 4.</w:t>
      </w:r>
    </w:p>
    <w:p>
      <w:pPr/>
      <w:r>
        <w:rPr>
          <w:rFonts w:ascii="Helvetica" w:hAnsi="Helvetica" w:cs="Helvetica" w:eastAsia="Helvetica"/>
          <w:b/>
          <w:color w:val="000000"/>
        </w:rPr>
        <w:t>Transition.</w:t>
      </w:r>
      <w:r>
        <w:rPr>
          <w:rFonts w:ascii="Helvetica" w:hAnsi="Helvetica" w:cs="Helvetica" w:eastAsia="Helvetica"/>
          <w:color w:val="000000"/>
        </w:rPr>
        <w:t xml:space="preserve"> </w:t>
      </w:r>
      <w:r>
        <w:rPr>
          <w:rFonts w:ascii="Helvetica" w:hAnsi="Helvetica" w:cs="Helvetica" w:eastAsia="Helvetica"/>
          <w:i/>
          <w:color w:val="000000"/>
        </w:rPr>
        <w:t>« Pour y répondre correctement, l'offre technique et la nature du FPPN imposent d'autres travaux. »</w:t>
      </w:r>
    </w:p>
    <w:p>
      <w:pPr>
        <w:pStyle w:val="Heading2"/>
      </w:pPr>
      <w:r>
        <w:t>1.4. LES TÂCHES AJOUTÉES AU VU DE L'OFFRE TECHNIQUE ET DE LA NATURE DE LA MISSION (2 MINUTES)</w:t>
      </w:r>
    </w:p>
    <w:p>
      <w:pPr/>
      <w:r>
        <w:rPr>
          <w:rFonts w:ascii="Helvetica" w:hAnsi="Helvetica" w:cs="Helvetica" w:eastAsia="Helvetica"/>
          <w:b/>
          <w:color w:val="000000"/>
        </w:rPr>
        <w:t>Le message : ces travaux ne sont pas un dépassement du périmètre, ils sont prévus par l'offre ou indispensables pour répondre aux quatre questions.</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3</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Les tâches ajoutées et leur fondement</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3061"/>
        <w:gridCol w:w="4535"/>
        <w:gridCol w:w="2835"/>
      </w:tblGrid>
      <w:tr>
        <w:trPr>
          <w:tblHeader/>
        </w:trPr>
        <w:tc>
          <w:tcPr>
            <w:tcW w:type="dxa" w:w="3061"/>
            <w:shd w:val="clear" w:color="auto" w:fill="000000"/>
          </w:tcPr>
          <w:p>
            <w:pPr>
              <w:spacing w:after="40" w:before="40" w:line="240" w:lineRule="auto"/>
              <w:jc w:val="left"/>
            </w:pPr>
            <w:r>
              <w:rPr>
                <w:rFonts w:ascii="Helvetica" w:hAnsi="Helvetica" w:cs="Helvetica" w:eastAsia="Helvetica"/>
                <w:b/>
                <w:color w:val="FFFFFF"/>
                <w:sz w:val="18"/>
              </w:rPr>
              <w:t>Tâche ajoutée</w:t>
            </w:r>
          </w:p>
        </w:tc>
        <w:tc>
          <w:tcPr>
            <w:tcW w:type="dxa" w:w="4535"/>
            <w:shd w:val="clear" w:color="auto" w:fill="000000"/>
          </w:tcPr>
          <w:p>
            <w:pPr>
              <w:spacing w:after="40" w:before="40" w:line="240" w:lineRule="auto"/>
              <w:jc w:val="center"/>
            </w:pPr>
            <w:r>
              <w:rPr>
                <w:rFonts w:ascii="Helvetica" w:hAnsi="Helvetica" w:cs="Helvetica" w:eastAsia="Helvetica"/>
                <w:b/>
                <w:color w:val="FFFFFF"/>
                <w:sz w:val="18"/>
              </w:rPr>
              <w:t>Pourquoi elle est nécessaire</w:t>
            </w:r>
          </w:p>
        </w:tc>
        <w:tc>
          <w:tcPr>
            <w:tcW w:type="dxa" w:w="2835"/>
            <w:shd w:val="clear" w:color="auto" w:fill="000000"/>
          </w:tcPr>
          <w:p>
            <w:pPr>
              <w:spacing w:after="40" w:before="40" w:line="240" w:lineRule="auto"/>
              <w:jc w:val="center"/>
            </w:pPr>
            <w:r>
              <w:rPr>
                <w:rFonts w:ascii="Helvetica" w:hAnsi="Helvetica" w:cs="Helvetica" w:eastAsia="Helvetica"/>
                <w:b/>
                <w:color w:val="FFFFFF"/>
                <w:sz w:val="18"/>
              </w:rPr>
              <w:t>Fondement</w:t>
            </w:r>
          </w:p>
        </w:tc>
      </w:tr>
      <w:tr>
        <w:tc>
          <w:tcPr>
            <w:tcW w:type="dxa" w:w="3061"/>
            <w:shd w:val="clear" w:color="auto" w:fill="CCCCCC"/>
          </w:tcPr>
          <w:p>
            <w:pPr>
              <w:spacing w:after="40" w:before="40" w:line="240" w:lineRule="auto"/>
              <w:jc w:val="left"/>
            </w:pPr>
            <w:r>
              <w:rPr>
                <w:rFonts w:ascii="Helvetica" w:hAnsi="Helvetica" w:cs="Helvetica" w:eastAsia="Helvetica"/>
                <w:b/>
                <w:color w:val="000000"/>
                <w:sz w:val="18"/>
              </w:rPr>
              <w:t>Contrôler les données de base (effectifs, cotisations, fichiers de précomptes)</w:t>
            </w:r>
          </w:p>
        </w:tc>
        <w:tc>
          <w:tcPr>
            <w:tcW w:type="dxa" w:w="4535"/>
          </w:tcPr>
          <w:p>
            <w:pPr>
              <w:spacing w:after="40" w:before="40" w:line="240" w:lineRule="auto"/>
              <w:jc w:val="left"/>
            </w:pPr>
            <w:r>
              <w:rPr>
                <w:rFonts w:ascii="Helvetica" w:hAnsi="Helvetica" w:cs="Helvetica" w:eastAsia="Helvetica"/>
                <w:color w:val="000000"/>
                <w:sz w:val="18"/>
              </w:rPr>
              <w:t>Un calcul actuariel ne vaut que par ses données. Les fichiers du FPPN contenaient des lignes de total, des montants doublés et des fichiers vides.</w:t>
            </w:r>
          </w:p>
        </w:tc>
        <w:tc>
          <w:tcPr>
            <w:tcW w:type="dxa" w:w="2835"/>
          </w:tcPr>
          <w:p>
            <w:pPr>
              <w:spacing w:after="40" w:before="40" w:line="240" w:lineRule="auto"/>
              <w:jc w:val="left"/>
            </w:pPr>
            <w:r>
              <w:rPr>
                <w:rFonts w:ascii="Helvetica" w:hAnsi="Helvetica" w:cs="Helvetica" w:eastAsia="Helvetica"/>
                <w:color w:val="000000"/>
                <w:sz w:val="18"/>
              </w:rPr>
              <w:t>Offre technique, pôle 4 (p. 70)</w:t>
            </w:r>
          </w:p>
        </w:tc>
      </w:tr>
      <w:tr>
        <w:tc>
          <w:tcPr>
            <w:tcW w:type="dxa" w:w="3061"/>
            <w:shd w:val="clear" w:color="auto" w:fill="CCCCCC"/>
          </w:tcPr>
          <w:p>
            <w:pPr>
              <w:spacing w:after="40" w:before="40" w:line="240" w:lineRule="auto"/>
              <w:jc w:val="left"/>
            </w:pPr>
            <w:r>
              <w:rPr>
                <w:rFonts w:ascii="Helvetica" w:hAnsi="Helvetica" w:cs="Helvetica" w:eastAsia="Helvetica"/>
                <w:b/>
                <w:color w:val="000000"/>
                <w:sz w:val="18"/>
              </w:rPr>
              <w:t>Calculer les 36 ratios de la Décision n° 05/2022 de l'UEMOA</w:t>
            </w:r>
          </w:p>
        </w:tc>
        <w:tc>
          <w:tcPr>
            <w:tcW w:type="dxa" w:w="4535"/>
            <w:shd w:val="clear" w:color="auto" w:fill="E8E8E8"/>
          </w:tcPr>
          <w:p>
            <w:pPr>
              <w:spacing w:after="40" w:before="40" w:line="240" w:lineRule="auto"/>
              <w:jc w:val="left"/>
            </w:pPr>
            <w:r>
              <w:rPr>
                <w:rFonts w:ascii="Helvetica" w:hAnsi="Helvetica" w:cs="Helvetica" w:eastAsia="Helvetica"/>
                <w:color w:val="000000"/>
                <w:sz w:val="18"/>
              </w:rPr>
              <w:t>Apprécier l'adéquation des réserves aux exigences prudentielles et comparer les réserves aux indicateurs de l'AIRMS.</w:t>
            </w:r>
          </w:p>
        </w:tc>
        <w:tc>
          <w:tcPr>
            <w:tcW w:type="dxa" w:w="2835"/>
            <w:shd w:val="clear" w:color="auto" w:fill="E8E8E8"/>
          </w:tcPr>
          <w:p>
            <w:pPr>
              <w:spacing w:after="40" w:before="40" w:line="240" w:lineRule="auto"/>
              <w:jc w:val="left"/>
            </w:pPr>
            <w:r>
              <w:rPr>
                <w:rFonts w:ascii="Helvetica" w:hAnsi="Helvetica" w:cs="Helvetica" w:eastAsia="Helvetica"/>
                <w:color w:val="000000"/>
                <w:sz w:val="18"/>
              </w:rPr>
              <w:t>Offre technique, pôle 4 (p. 70) et risque R3 (p. 36)</w:t>
            </w:r>
          </w:p>
        </w:tc>
      </w:tr>
      <w:tr>
        <w:tc>
          <w:tcPr>
            <w:tcW w:type="dxa" w:w="3061"/>
            <w:shd w:val="clear" w:color="auto" w:fill="CCCCCC"/>
          </w:tcPr>
          <w:p>
            <w:pPr>
              <w:spacing w:after="40" w:before="40" w:line="240" w:lineRule="auto"/>
              <w:jc w:val="left"/>
            </w:pPr>
            <w:r>
              <w:rPr>
                <w:rFonts w:ascii="Helvetica" w:hAnsi="Helvetica" w:cs="Helvetica" w:eastAsia="Helvetica"/>
                <w:b/>
                <w:color w:val="000000"/>
                <w:sz w:val="18"/>
              </w:rPr>
              <w:t>Projeter l'équilibre technique</w:t>
            </w:r>
          </w:p>
        </w:tc>
        <w:tc>
          <w:tcPr>
            <w:tcW w:type="dxa" w:w="4535"/>
          </w:tcPr>
          <w:p>
            <w:pPr>
              <w:spacing w:after="40" w:before="40" w:line="240" w:lineRule="auto"/>
              <w:jc w:val="left"/>
            </w:pPr>
            <w:r>
              <w:rPr>
                <w:rFonts w:ascii="Helvetica" w:hAnsi="Helvetica" w:cs="Helvetica" w:eastAsia="Helvetica"/>
                <w:color w:val="000000"/>
                <w:sz w:val="18"/>
              </w:rPr>
              <w:t>Vérifier que les cotisations futures couvriront les prestations et les frais futurs.</w:t>
            </w:r>
          </w:p>
        </w:tc>
        <w:tc>
          <w:tcPr>
            <w:tcW w:type="dxa" w:w="2835"/>
          </w:tcPr>
          <w:p>
            <w:pPr>
              <w:spacing w:after="40" w:before="40" w:line="240" w:lineRule="auto"/>
              <w:jc w:val="left"/>
            </w:pPr>
            <w:r>
              <w:rPr>
                <w:rFonts w:ascii="Helvetica" w:hAnsi="Helvetica" w:cs="Helvetica" w:eastAsia="Helvetica"/>
                <w:color w:val="000000"/>
                <w:sz w:val="18"/>
              </w:rPr>
              <w:t>Offre technique, pôle 4 (p. 70)</w:t>
            </w:r>
          </w:p>
        </w:tc>
      </w:tr>
      <w:tr>
        <w:tc>
          <w:tcPr>
            <w:tcW w:type="dxa" w:w="3061"/>
            <w:shd w:val="clear" w:color="auto" w:fill="CCCCCC"/>
          </w:tcPr>
          <w:p>
            <w:pPr>
              <w:spacing w:after="40" w:before="40" w:line="240" w:lineRule="auto"/>
              <w:jc w:val="left"/>
            </w:pPr>
            <w:r>
              <w:rPr>
                <w:rFonts w:ascii="Helvetica" w:hAnsi="Helvetica" w:cs="Helvetica" w:eastAsia="Helvetica"/>
                <w:b/>
                <w:color w:val="000000"/>
                <w:sz w:val="18"/>
              </w:rPr>
              <w:t>Volet statistique : qualité des données, décès, santé</w:t>
            </w:r>
          </w:p>
        </w:tc>
        <w:tc>
          <w:tcPr>
            <w:tcW w:type="dxa" w:w="4535"/>
            <w:shd w:val="clear" w:color="auto" w:fill="E8E8E8"/>
          </w:tcPr>
          <w:p>
            <w:pPr>
              <w:spacing w:after="40" w:before="40" w:line="240" w:lineRule="auto"/>
              <w:jc w:val="left"/>
            </w:pPr>
            <w:r>
              <w:rPr>
                <w:rFonts w:ascii="Helvetica" w:hAnsi="Helvetica" w:cs="Helvetica" w:eastAsia="Helvetica"/>
                <w:color w:val="000000"/>
                <w:sz w:val="18"/>
              </w:rPr>
              <w:t>Mesurer la sinistralité, les délais, les dossiers non payés, la mortalité comparée aux tables CIMA.</w:t>
            </w:r>
          </w:p>
        </w:tc>
        <w:tc>
          <w:tcPr>
            <w:tcW w:type="dxa" w:w="2835"/>
            <w:shd w:val="clear" w:color="auto" w:fill="E8E8E8"/>
          </w:tcPr>
          <w:p>
            <w:pPr>
              <w:spacing w:after="40" w:before="40" w:line="240" w:lineRule="auto"/>
              <w:jc w:val="left"/>
            </w:pPr>
            <w:r>
              <w:rPr>
                <w:rFonts w:ascii="Helvetica" w:hAnsi="Helvetica" w:cs="Helvetica" w:eastAsia="Helvetica"/>
                <w:color w:val="000000"/>
                <w:sz w:val="18"/>
              </w:rPr>
              <w:t>Plan d'analyse statistique du 16/10/2026</w:t>
            </w:r>
          </w:p>
        </w:tc>
      </w:tr>
      <w:tr>
        <w:tc>
          <w:tcPr>
            <w:tcW w:type="dxa" w:w="3061"/>
            <w:shd w:val="clear" w:color="auto" w:fill="CCCCCC"/>
          </w:tcPr>
          <w:p>
            <w:pPr>
              <w:spacing w:after="40" w:before="40" w:line="240" w:lineRule="auto"/>
              <w:jc w:val="left"/>
            </w:pPr>
            <w:r>
              <w:rPr>
                <w:rFonts w:ascii="Helvetica" w:hAnsi="Helvetica" w:cs="Helvetica" w:eastAsia="Helvetica"/>
                <w:b/>
                <w:color w:val="000000"/>
                <w:sz w:val="18"/>
              </w:rPr>
              <w:t>Revoir les autres provisions (prêts du Grenier, compte GNA, départ à la retraite du personnel)</w:t>
            </w:r>
          </w:p>
        </w:tc>
        <w:tc>
          <w:tcPr>
            <w:tcW w:type="dxa" w:w="4535"/>
          </w:tcPr>
          <w:p>
            <w:pPr>
              <w:spacing w:after="40" w:before="40" w:line="240" w:lineRule="auto"/>
              <w:jc w:val="left"/>
            </w:pPr>
            <w:r>
              <w:rPr>
                <w:rFonts w:ascii="Helvetica" w:hAnsi="Helvetica" w:cs="Helvetica" w:eastAsia="Helvetica"/>
                <w:color w:val="000000"/>
                <w:sz w:val="18"/>
              </w:rPr>
              <w:t>Elles pèsent sur les fonds propres et donc sur la capacité à payer les adhérents.</w:t>
            </w:r>
          </w:p>
        </w:tc>
        <w:tc>
          <w:tcPr>
            <w:tcW w:type="dxa" w:w="2835"/>
          </w:tcPr>
          <w:p>
            <w:pPr>
              <w:spacing w:after="40" w:before="40" w:line="240" w:lineRule="auto"/>
              <w:jc w:val="left"/>
            </w:pPr>
            <w:r>
              <w:rPr>
                <w:rFonts w:ascii="Helvetica" w:hAnsi="Helvetica" w:cs="Helvetica" w:eastAsia="Helvetica"/>
                <w:color w:val="000000"/>
                <w:sz w:val="18"/>
              </w:rPr>
              <w:t>Plan de travail, tâche 4.4</w:t>
            </w:r>
          </w:p>
        </w:tc>
      </w:tr>
      <w:tr>
        <w:tc>
          <w:tcPr>
            <w:tcW w:type="dxa" w:w="3061"/>
            <w:shd w:val="clear" w:color="auto" w:fill="CCCCCC"/>
          </w:tcPr>
          <w:p>
            <w:pPr>
              <w:spacing w:after="40" w:before="40" w:line="240" w:lineRule="auto"/>
              <w:jc w:val="left"/>
            </w:pPr>
            <w:r>
              <w:rPr>
                <w:rFonts w:ascii="Helvetica" w:hAnsi="Helvetica" w:cs="Helvetica" w:eastAsia="Helvetica"/>
                <w:b/>
                <w:color w:val="000000"/>
                <w:sz w:val="18"/>
              </w:rPr>
              <w:t>Établir le cadre réglementaire applicable</w:t>
            </w:r>
          </w:p>
        </w:tc>
        <w:tc>
          <w:tcPr>
            <w:tcW w:type="dxa" w:w="4535"/>
            <w:shd w:val="clear" w:color="auto" w:fill="E8E8E8"/>
          </w:tcPr>
          <w:p>
            <w:pPr>
              <w:spacing w:after="40" w:before="40" w:line="240" w:lineRule="auto"/>
              <w:jc w:val="left"/>
            </w:pPr>
            <w:r>
              <w:rPr>
                <w:rFonts w:ascii="Helvetica" w:hAnsi="Helvetica" w:cs="Helvetica" w:eastAsia="Helvetica"/>
                <w:color w:val="000000"/>
                <w:sz w:val="18"/>
              </w:rPr>
              <w:t>Le FPPN relève de la mutualité sociale de l'UEMOA. Le Code CIMA ne sert que de référence technique, et ce choix doit être justifié.</w:t>
            </w:r>
          </w:p>
        </w:tc>
        <w:tc>
          <w:tcPr>
            <w:tcW w:type="dxa" w:w="2835"/>
            <w:shd w:val="clear" w:color="auto" w:fill="E8E8E8"/>
          </w:tcPr>
          <w:p>
            <w:pPr>
              <w:spacing w:after="40" w:before="40" w:line="240" w:lineRule="auto"/>
              <w:jc w:val="left"/>
            </w:pPr>
            <w:r>
              <w:rPr>
                <w:rFonts w:ascii="Helvetica" w:hAnsi="Helvetica" w:cs="Helvetica" w:eastAsia="Helvetica"/>
                <w:color w:val="000000"/>
                <w:sz w:val="18"/>
              </w:rPr>
              <w:t>Règlement n° 07/2009, règlement d'exécution n° 004/2022, Décision n° 05/2022, PCMS</w:t>
            </w:r>
          </w:p>
        </w:tc>
      </w:tr>
      <w:tr>
        <w:tc>
          <w:tcPr>
            <w:tcW w:type="dxa" w:w="3061"/>
            <w:shd w:val="clear" w:color="auto" w:fill="CCCCCC"/>
          </w:tcPr>
          <w:p>
            <w:pPr>
              <w:spacing w:after="40" w:before="40" w:line="240" w:lineRule="auto"/>
              <w:jc w:val="left"/>
            </w:pPr>
            <w:r>
              <w:rPr>
                <w:rFonts w:ascii="Helvetica" w:hAnsi="Helvetica" w:cs="Helvetica" w:eastAsia="Helvetica"/>
                <w:b/>
                <w:color w:val="000000"/>
                <w:sz w:val="18"/>
              </w:rPr>
              <w:t>Décrire les circuits des cotisations par produit</w:t>
            </w:r>
          </w:p>
        </w:tc>
        <w:tc>
          <w:tcPr>
            <w:tcW w:type="dxa" w:w="4535"/>
          </w:tcPr>
          <w:p>
            <w:pPr>
              <w:spacing w:after="40" w:before="40" w:line="240" w:lineRule="auto"/>
              <w:jc w:val="left"/>
            </w:pPr>
            <w:r>
              <w:rPr>
                <w:rFonts w:ascii="Helvetica" w:hAnsi="Helvetica" w:cs="Helvetica" w:eastAsia="Helvetica"/>
                <w:color w:val="000000"/>
                <w:sz w:val="18"/>
              </w:rPr>
              <w:t>Repérer où l'argent peut se perdre entre la Solde, la CGRAE, le GNA et la comptabilité.</w:t>
            </w:r>
          </w:p>
        </w:tc>
        <w:tc>
          <w:tcPr>
            <w:tcW w:type="dxa" w:w="2835"/>
          </w:tcPr>
          <w:p>
            <w:pPr>
              <w:spacing w:after="40" w:before="40" w:line="240" w:lineRule="auto"/>
              <w:jc w:val="left"/>
            </w:pPr>
            <w:r>
              <w:rPr>
                <w:rFonts w:ascii="Helvetica" w:hAnsi="Helvetica" w:cs="Helvetica" w:eastAsia="Helvetica"/>
                <w:color w:val="000000"/>
                <w:sz w:val="18"/>
              </w:rPr>
              <w:t>Logigrammes du FPPN, entretien du 19/10/2026</w:t>
            </w:r>
          </w:p>
        </w:tc>
      </w:tr>
    </w:tbl>
    <w:p>
      <w:pPr>
        <w:spacing w:after="200"/>
        <w:jc w:val="left"/>
      </w:pPr>
      <w:r>
        <w:rPr>
          <w:rFonts w:ascii="Helvetica" w:hAnsi="Helvetica" w:cs="Helvetica" w:eastAsia="Helvetica"/>
          <w:color w:val="000000"/>
          <w:sz w:val="16"/>
        </w:rPr>
        <w:t>Source : Offre technique Adenka ; plan d'analyse du 16/10/2026 ; plan de travail du 23/10/2026.</w:t>
      </w:r>
    </w:p>
    <w:p>
      <w:pPr/>
      <w:r>
        <w:rPr>
          <w:rFonts w:ascii="Helvetica" w:hAnsi="Helvetica" w:cs="Helvetica" w:eastAsia="Helvetica"/>
          <w:b/>
          <w:color w:val="000000"/>
        </w:rPr>
        <w:t>Transition.</w:t>
      </w:r>
      <w:r>
        <w:rPr>
          <w:rFonts w:ascii="Helvetica" w:hAnsi="Helvetica" w:cs="Helvetica" w:eastAsia="Helvetica"/>
          <w:color w:val="000000"/>
        </w:rPr>
        <w:t xml:space="preserve"> </w:t>
      </w:r>
      <w:r>
        <w:rPr>
          <w:rFonts w:ascii="Helvetica" w:hAnsi="Helvetica" w:cs="Helvetica" w:eastAsia="Helvetica"/>
          <w:i/>
          <w:color w:val="000000"/>
        </w:rPr>
        <w:t>« Voici maintenant ce qui a été réalisé. »</w:t>
      </w:r>
    </w:p>
    <w:p>
      <w:pPr>
        <w:pStyle w:val="Heading2"/>
      </w:pPr>
      <w:r>
        <w:t>1.5. CE QUE J'AI PU FAIRE (4 MINUTES)</w:t>
      </w:r>
    </w:p>
    <w:p>
      <w:pPr/>
      <w:r>
        <w:rPr>
          <w:rFonts w:ascii="Helvetica" w:hAnsi="Helvetica" w:cs="Helvetica" w:eastAsia="Helvetica"/>
          <w:b/>
          <w:color w:val="000000"/>
        </w:rPr>
        <w:t>Le message : les travaux couvrent tout le périmètre, des fichiers bruts du FPPN jusqu'aux recommandations, avec des outils qui rendent chaque chiffre vérifiable.</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4</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Les travaux réalisés en sept étapes</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1474"/>
        <w:gridCol w:w="5669"/>
        <w:gridCol w:w="3288"/>
      </w:tblGrid>
      <w:tr>
        <w:trPr>
          <w:tblHeader/>
        </w:trPr>
        <w:tc>
          <w:tcPr>
            <w:tcW w:type="dxa" w:w="1474"/>
            <w:shd w:val="clear" w:color="auto" w:fill="000000"/>
          </w:tcPr>
          <w:p>
            <w:pPr>
              <w:spacing w:after="40" w:before="40" w:line="240" w:lineRule="auto"/>
              <w:jc w:val="left"/>
            </w:pPr>
            <w:r>
              <w:rPr>
                <w:rFonts w:ascii="Helvetica" w:hAnsi="Helvetica" w:cs="Helvetica" w:eastAsia="Helvetica"/>
                <w:b/>
                <w:color w:val="FFFFFF"/>
                <w:sz w:val="18"/>
              </w:rPr>
              <w:t>Étape</w:t>
            </w:r>
          </w:p>
        </w:tc>
        <w:tc>
          <w:tcPr>
            <w:tcW w:type="dxa" w:w="5669"/>
            <w:shd w:val="clear" w:color="auto" w:fill="000000"/>
          </w:tcPr>
          <w:p>
            <w:pPr>
              <w:spacing w:after="40" w:before="40" w:line="240" w:lineRule="auto"/>
              <w:jc w:val="center"/>
            </w:pPr>
            <w:r>
              <w:rPr>
                <w:rFonts w:ascii="Helvetica" w:hAnsi="Helvetica" w:cs="Helvetica" w:eastAsia="Helvetica"/>
                <w:b/>
                <w:color w:val="FFFFFF"/>
                <w:sz w:val="18"/>
              </w:rPr>
              <w:t>Ce qui a été fait</w:t>
            </w:r>
          </w:p>
        </w:tc>
        <w:tc>
          <w:tcPr>
            <w:tcW w:type="dxa" w:w="3288"/>
            <w:shd w:val="clear" w:color="auto" w:fill="000000"/>
          </w:tcPr>
          <w:p>
            <w:pPr>
              <w:spacing w:after="40" w:before="40" w:line="240" w:lineRule="auto"/>
              <w:jc w:val="center"/>
            </w:pPr>
            <w:r>
              <w:rPr>
                <w:rFonts w:ascii="Helvetica" w:hAnsi="Helvetica" w:cs="Helvetica" w:eastAsia="Helvetica"/>
                <w:b/>
                <w:color w:val="FFFFFF"/>
                <w:sz w:val="18"/>
              </w:rPr>
              <w:t>Chiffre à citer</w:t>
            </w:r>
          </w:p>
        </w:tc>
      </w:tr>
      <w:tr>
        <w:tc>
          <w:tcPr>
            <w:tcW w:type="dxa" w:w="1474"/>
            <w:shd w:val="clear" w:color="auto" w:fill="CCCCCC"/>
          </w:tcPr>
          <w:p>
            <w:pPr>
              <w:spacing w:after="40" w:before="40" w:line="240" w:lineRule="auto"/>
              <w:jc w:val="left"/>
            </w:pPr>
            <w:r>
              <w:rPr>
                <w:rFonts w:ascii="Helvetica" w:hAnsi="Helvetica" w:cs="Helvetica" w:eastAsia="Helvetica"/>
                <w:b/>
                <w:color w:val="000000"/>
                <w:sz w:val="18"/>
              </w:rPr>
              <w:t>Lancement</w:t>
            </w:r>
          </w:p>
        </w:tc>
        <w:tc>
          <w:tcPr>
            <w:tcW w:type="dxa" w:w="5669"/>
          </w:tcPr>
          <w:p>
            <w:pPr>
              <w:spacing w:after="40" w:before="40" w:line="240" w:lineRule="auto"/>
              <w:jc w:val="left"/>
            </w:pPr>
            <w:r>
              <w:rPr>
                <w:rFonts w:ascii="Helvetica" w:hAnsi="Helvetica" w:cs="Helvetica" w:eastAsia="Helvetica"/>
                <w:color w:val="000000"/>
                <w:sz w:val="18"/>
              </w:rPr>
              <w:t>Réunions de lancement des 13 et 14/10/2026, liste des documents demandés (PBC)</w:t>
            </w:r>
          </w:p>
        </w:tc>
        <w:tc>
          <w:tcPr>
            <w:tcW w:type="dxa" w:w="3288"/>
          </w:tcPr>
          <w:p>
            <w:pPr>
              <w:spacing w:after="40" w:before="40" w:line="240" w:lineRule="auto"/>
              <w:jc w:val="left"/>
            </w:pPr>
            <w:r>
              <w:rPr>
                <w:rFonts w:ascii="Helvetica" w:hAnsi="Helvetica" w:cs="Helvetica" w:eastAsia="Helvetica"/>
                <w:color w:val="000000"/>
                <w:sz w:val="18"/>
              </w:rPr>
              <w:t>90 documents demandés</w:t>
            </w:r>
          </w:p>
        </w:tc>
      </w:tr>
      <w:tr>
        <w:tc>
          <w:tcPr>
            <w:tcW w:type="dxa" w:w="1474"/>
            <w:shd w:val="clear" w:color="auto" w:fill="CCCCCC"/>
          </w:tcPr>
          <w:p>
            <w:pPr>
              <w:spacing w:after="40" w:before="40" w:line="240" w:lineRule="auto"/>
              <w:jc w:val="left"/>
            </w:pPr>
            <w:r>
              <w:rPr>
                <w:rFonts w:ascii="Helvetica" w:hAnsi="Helvetica" w:cs="Helvetica" w:eastAsia="Helvetica"/>
                <w:b/>
                <w:color w:val="000000"/>
                <w:sz w:val="18"/>
              </w:rPr>
              <w:t>Collecte</w:t>
            </w:r>
          </w:p>
        </w:tc>
        <w:tc>
          <w:tcPr>
            <w:tcW w:type="dxa" w:w="5669"/>
            <w:shd w:val="clear" w:color="auto" w:fill="E8E8E8"/>
          </w:tcPr>
          <w:p>
            <w:pPr>
              <w:spacing w:after="40" w:before="40" w:line="240" w:lineRule="auto"/>
              <w:jc w:val="left"/>
            </w:pPr>
            <w:r>
              <w:rPr>
                <w:rFonts w:ascii="Helvetica" w:hAnsi="Helvetica" w:cs="Helvetica" w:eastAsia="Helvetica"/>
                <w:color w:val="000000"/>
                <w:sz w:val="18"/>
              </w:rPr>
              <w:t>Sept envois du FPPN du 15/10 au 23/10/2026, pointés un par un</w:t>
            </w:r>
          </w:p>
        </w:tc>
        <w:tc>
          <w:tcPr>
            <w:tcW w:type="dxa" w:w="3288"/>
            <w:shd w:val="clear" w:color="auto" w:fill="E8E8E8"/>
          </w:tcPr>
          <w:p>
            <w:pPr>
              <w:spacing w:after="40" w:before="40" w:line="240" w:lineRule="auto"/>
              <w:jc w:val="left"/>
            </w:pPr>
            <w:r>
              <w:rPr>
                <w:rFonts w:ascii="Helvetica" w:hAnsi="Helvetica" w:cs="Helvetica" w:eastAsia="Helvetica"/>
                <w:color w:val="000000"/>
                <w:sz w:val="18"/>
              </w:rPr>
              <w:t>6 reçus, 41 partiels, 43 non reçus</w:t>
            </w:r>
          </w:p>
        </w:tc>
      </w:tr>
      <w:tr>
        <w:tc>
          <w:tcPr>
            <w:tcW w:type="dxa" w:w="1474"/>
            <w:shd w:val="clear" w:color="auto" w:fill="CCCCCC"/>
          </w:tcPr>
          <w:p>
            <w:pPr>
              <w:spacing w:after="40" w:before="40" w:line="240" w:lineRule="auto"/>
              <w:jc w:val="left"/>
            </w:pPr>
            <w:r>
              <w:rPr>
                <w:rFonts w:ascii="Helvetica" w:hAnsi="Helvetica" w:cs="Helvetica" w:eastAsia="Helvetica"/>
                <w:b/>
                <w:color w:val="000000"/>
                <w:sz w:val="18"/>
              </w:rPr>
              <w:t>Entretiens</w:t>
            </w:r>
          </w:p>
        </w:tc>
        <w:tc>
          <w:tcPr>
            <w:tcW w:type="dxa" w:w="5669"/>
          </w:tcPr>
          <w:p>
            <w:pPr>
              <w:spacing w:after="40" w:before="40" w:line="240" w:lineRule="auto"/>
              <w:jc w:val="left"/>
            </w:pPr>
            <w:r>
              <w:rPr>
                <w:rFonts w:ascii="Helvetica" w:hAnsi="Helvetica" w:cs="Helvetica" w:eastAsia="Helvetica"/>
                <w:color w:val="000000"/>
                <w:sz w:val="18"/>
              </w:rPr>
              <w:t>Responsable des cotisations, chef comptable, service des prestations (16 et 19/10/2026), avec guides et comptes rendus</w:t>
            </w:r>
          </w:p>
        </w:tc>
        <w:tc>
          <w:tcPr>
            <w:tcW w:type="dxa" w:w="3288"/>
          </w:tcPr>
          <w:p>
            <w:pPr>
              <w:spacing w:after="40" w:before="40" w:line="240" w:lineRule="auto"/>
              <w:jc w:val="left"/>
            </w:pPr>
            <w:r>
              <w:rPr>
                <w:rFonts w:ascii="Helvetica" w:hAnsi="Helvetica" w:cs="Helvetica" w:eastAsia="Helvetica"/>
                <w:color w:val="000000"/>
                <w:sz w:val="18"/>
              </w:rPr>
              <w:t>4 entretiens documentés</w:t>
            </w:r>
          </w:p>
        </w:tc>
      </w:tr>
      <w:tr>
        <w:tc>
          <w:tcPr>
            <w:tcW w:type="dxa" w:w="1474"/>
            <w:shd w:val="clear" w:color="auto" w:fill="CCCCCC"/>
          </w:tcPr>
          <w:p>
            <w:pPr>
              <w:spacing w:after="40" w:before="40" w:line="240" w:lineRule="auto"/>
              <w:jc w:val="left"/>
            </w:pPr>
            <w:r>
              <w:rPr>
                <w:rFonts w:ascii="Helvetica" w:hAnsi="Helvetica" w:cs="Helvetica" w:eastAsia="Helvetica"/>
                <w:b/>
                <w:color w:val="000000"/>
                <w:sz w:val="18"/>
              </w:rPr>
              <w:t>Données</w:t>
            </w:r>
          </w:p>
        </w:tc>
        <w:tc>
          <w:tcPr>
            <w:tcW w:type="dxa" w:w="5669"/>
            <w:shd w:val="clear" w:color="auto" w:fill="E8E8E8"/>
          </w:tcPr>
          <w:p>
            <w:pPr>
              <w:spacing w:after="40" w:before="40" w:line="240" w:lineRule="auto"/>
              <w:jc w:val="left"/>
            </w:pPr>
            <w:r>
              <w:rPr>
                <w:rFonts w:ascii="Helvetica" w:hAnsi="Helvetica" w:cs="Helvetica" w:eastAsia="Helvetica"/>
                <w:color w:val="000000"/>
                <w:sz w:val="18"/>
              </w:rPr>
              <w:t>Précomptes sur salaire et sur pension, balances comptables, grands livres, états financiers, fichiers du personnel, prêts du Grenier</w:t>
            </w:r>
          </w:p>
        </w:tc>
        <w:tc>
          <w:tcPr>
            <w:tcW w:type="dxa" w:w="3288"/>
            <w:shd w:val="clear" w:color="auto" w:fill="E8E8E8"/>
          </w:tcPr>
          <w:p>
            <w:pPr>
              <w:spacing w:after="40" w:before="40" w:line="240" w:lineRule="auto"/>
              <w:jc w:val="left"/>
            </w:pPr>
            <w:r>
              <w:rPr>
                <w:rFonts w:ascii="Helvetica" w:hAnsi="Helvetica" w:cs="Helvetica" w:eastAsia="Helvetica"/>
                <w:color w:val="000000"/>
                <w:sz w:val="18"/>
              </w:rPr>
              <w:t>4 454 416 lignes de précomptes contrôlées</w:t>
            </w:r>
          </w:p>
        </w:tc>
      </w:tr>
      <w:tr>
        <w:tc>
          <w:tcPr>
            <w:tcW w:type="dxa" w:w="1474"/>
            <w:shd w:val="clear" w:color="auto" w:fill="CCCCCC"/>
          </w:tcPr>
          <w:p>
            <w:pPr>
              <w:spacing w:after="40" w:before="40" w:line="240" w:lineRule="auto"/>
              <w:jc w:val="left"/>
            </w:pPr>
            <w:r>
              <w:rPr>
                <w:rFonts w:ascii="Helvetica" w:hAnsi="Helvetica" w:cs="Helvetica" w:eastAsia="Helvetica"/>
                <w:b/>
                <w:color w:val="000000"/>
                <w:sz w:val="18"/>
              </w:rPr>
              <w:t>Contrôles</w:t>
            </w:r>
          </w:p>
        </w:tc>
        <w:tc>
          <w:tcPr>
            <w:tcW w:type="dxa" w:w="5669"/>
          </w:tcPr>
          <w:p>
            <w:pPr>
              <w:spacing w:after="40" w:before="40" w:line="240" w:lineRule="auto"/>
              <w:jc w:val="left"/>
            </w:pPr>
            <w:r>
              <w:rPr>
                <w:rFonts w:ascii="Helvetica" w:hAnsi="Helvetica" w:cs="Helvetica" w:eastAsia="Helvetica"/>
                <w:color w:val="000000"/>
                <w:sz w:val="18"/>
              </w:rPr>
              <w:t>Vrai format des fichiers, lignes de total, montants doublés, fichiers vides, rapprochement aller et retour</w:t>
            </w:r>
          </w:p>
        </w:tc>
        <w:tc>
          <w:tcPr>
            <w:tcW w:type="dxa" w:w="3288"/>
          </w:tcPr>
          <w:p>
            <w:pPr>
              <w:spacing w:after="40" w:before="40" w:line="240" w:lineRule="auto"/>
              <w:jc w:val="left"/>
            </w:pPr>
            <w:r>
              <w:rPr>
                <w:rFonts w:ascii="Helvetica" w:hAnsi="Helvetica" w:cs="Helvetica" w:eastAsia="Helvetica"/>
                <w:color w:val="000000"/>
                <w:sz w:val="18"/>
              </w:rPr>
              <w:t>7 balances et 506 feuilles de précomptes relues</w:t>
            </w:r>
          </w:p>
        </w:tc>
      </w:tr>
      <w:tr>
        <w:tc>
          <w:tcPr>
            <w:tcW w:type="dxa" w:w="1474"/>
            <w:shd w:val="clear" w:color="auto" w:fill="CCCCCC"/>
          </w:tcPr>
          <w:p>
            <w:pPr>
              <w:spacing w:after="40" w:before="40" w:line="240" w:lineRule="auto"/>
              <w:jc w:val="left"/>
            </w:pPr>
            <w:r>
              <w:rPr>
                <w:rFonts w:ascii="Helvetica" w:hAnsi="Helvetica" w:cs="Helvetica" w:eastAsia="Helvetica"/>
                <w:b/>
                <w:color w:val="000000"/>
                <w:sz w:val="18"/>
              </w:rPr>
              <w:t>Analyses</w:t>
            </w:r>
          </w:p>
        </w:tc>
        <w:tc>
          <w:tcPr>
            <w:tcW w:type="dxa" w:w="5669"/>
            <w:shd w:val="clear" w:color="auto" w:fill="E8E8E8"/>
          </w:tcPr>
          <w:p>
            <w:pPr>
              <w:spacing w:after="40" w:before="40" w:line="240" w:lineRule="auto"/>
              <w:jc w:val="left"/>
            </w:pPr>
            <w:r>
              <w:rPr>
                <w:rFonts w:ascii="Helvetica" w:hAnsi="Helvetica" w:cs="Helvetica" w:eastAsia="Helvetica"/>
                <w:color w:val="000000"/>
                <w:sz w:val="18"/>
              </w:rPr>
              <w:t>Effectifs, cotisations, sinistralité, épargne, prêts, retraités, provisions, adossement, placements, 36 ratios de l'UEMOA, sensibilités, mortalité, projection</w:t>
            </w:r>
          </w:p>
        </w:tc>
        <w:tc>
          <w:tcPr>
            <w:tcW w:type="dxa" w:w="3288"/>
            <w:shd w:val="clear" w:color="auto" w:fill="E8E8E8"/>
          </w:tcPr>
          <w:p>
            <w:pPr>
              <w:spacing w:after="40" w:before="40" w:line="240" w:lineRule="auto"/>
              <w:jc w:val="left"/>
            </w:pPr>
            <w:r>
              <w:rPr>
                <w:rFonts w:ascii="Helvetica" w:hAnsi="Helvetica" w:cs="Helvetica" w:eastAsia="Helvetica"/>
                <w:color w:val="000000"/>
                <w:sz w:val="18"/>
              </w:rPr>
              <w:t>14 parties de rapport</w:t>
            </w:r>
          </w:p>
        </w:tc>
      </w:tr>
      <w:tr>
        <w:tc>
          <w:tcPr>
            <w:tcW w:type="dxa" w:w="1474"/>
            <w:shd w:val="clear" w:color="auto" w:fill="CCCCCC"/>
          </w:tcPr>
          <w:p>
            <w:pPr>
              <w:spacing w:after="40" w:before="40" w:line="240" w:lineRule="auto"/>
              <w:jc w:val="left"/>
            </w:pPr>
            <w:r>
              <w:rPr>
                <w:rFonts w:ascii="Helvetica" w:hAnsi="Helvetica" w:cs="Helvetica" w:eastAsia="Helvetica"/>
                <w:b/>
                <w:color w:val="000000"/>
                <w:sz w:val="18"/>
              </w:rPr>
              <w:t>Synthèse</w:t>
            </w:r>
          </w:p>
        </w:tc>
        <w:tc>
          <w:tcPr>
            <w:tcW w:type="dxa" w:w="5669"/>
          </w:tcPr>
          <w:p>
            <w:pPr>
              <w:spacing w:after="40" w:before="40" w:line="240" w:lineRule="auto"/>
              <w:jc w:val="left"/>
            </w:pPr>
            <w:r>
              <w:rPr>
                <w:rFonts w:ascii="Helvetica" w:hAnsi="Helvetica" w:cs="Helvetica" w:eastAsia="Helvetica"/>
                <w:color w:val="000000"/>
                <w:sz w:val="18"/>
              </w:rPr>
              <w:t>Constats, matrices des risques et de conformité, recommandations avec horizon</w:t>
            </w:r>
          </w:p>
        </w:tc>
        <w:tc>
          <w:tcPr>
            <w:tcW w:type="dxa" w:w="3288"/>
          </w:tcPr>
          <w:p>
            <w:pPr>
              <w:spacing w:after="40" w:before="40" w:line="240" w:lineRule="auto"/>
              <w:jc w:val="left"/>
            </w:pPr>
            <w:r>
              <w:rPr>
                <w:rFonts w:ascii="Helvetica" w:hAnsi="Helvetica" w:cs="Helvetica" w:eastAsia="Helvetica"/>
                <w:color w:val="000000"/>
                <w:sz w:val="18"/>
              </w:rPr>
              <w:t>9 recommandations</w:t>
            </w:r>
          </w:p>
        </w:tc>
      </w:tr>
    </w:tbl>
    <w:p>
      <w:pPr>
        <w:spacing w:after="200"/>
        <w:jc w:val="left"/>
      </w:pPr>
      <w:r>
        <w:rPr>
          <w:rFonts w:ascii="Helvetica" w:hAnsi="Helvetica" w:cs="Helvetica" w:eastAsia="Helvetica"/>
          <w:color w:val="000000"/>
          <w:sz w:val="16"/>
        </w:rPr>
        <w:t>Source : Rapport du 23/10/2026 ; PBC du 23/10/2026 ; plan de travail du 23/10/2026.</w:t>
      </w:r>
    </w:p>
    <w:p>
      <w:pPr/>
      <w:r>
        <w:rPr>
          <w:rFonts w:ascii="Helvetica" w:hAnsi="Helvetica" w:cs="Helvetica" w:eastAsia="Helvetica"/>
          <w:b/>
          <w:color w:val="000000"/>
        </w:rPr>
        <w:t>Les outils utilisés.</w:t>
      </w:r>
      <w:r>
        <w:rPr>
          <w:rFonts w:ascii="Helvetica" w:hAnsi="Helvetica" w:cs="Helvetica" w:eastAsia="Helvetica"/>
          <w:color w:val="000000"/>
        </w:rPr>
        <w:t xml:space="preserve"> C'est un point fort à mettre en avant devant un profil finance ou audit (diapositives 229 à 239).</w:t>
      </w:r>
    </w:p>
    <w:p>
      <w:pPr>
        <w:pStyle w:val="ListParagraph"/>
        <w:numPr>
          <w:ilvl w:val="0"/>
          <w:numId w:val="3"/>
        </w:numPr>
        <w:spacing w:after="60"/>
        <w:jc w:val="both"/>
      </w:pPr>
      <w:r>
        <w:rPr>
          <w:rFonts w:ascii="Helvetica" w:hAnsi="Helvetica" w:cs="Helvetica" w:eastAsia="Helvetica"/>
          <w:b/>
          <w:color w:val="000000"/>
        </w:rPr>
        <w:t>Python</w:t>
      </w:r>
      <w:r>
        <w:rPr>
          <w:rFonts w:ascii="Helvetica" w:hAnsi="Helvetica" w:cs="Helvetica" w:eastAsia="Helvetica"/>
          <w:color w:val="000000"/>
        </w:rPr>
        <w:t xml:space="preserve"> pour lire et contrôler les fichiers bruts du FPPN : plus de quatre millions de lignes, plusieurs formats différents, fichiers scannés lus par reconnaissance de caractères.</w:t>
      </w:r>
    </w:p>
    <w:p>
      <w:pPr>
        <w:pStyle w:val="ListParagraph"/>
        <w:numPr>
          <w:ilvl w:val="0"/>
          <w:numId w:val="3"/>
        </w:numPr>
        <w:spacing w:after="60"/>
        <w:jc w:val="both"/>
      </w:pPr>
      <w:r>
        <w:rPr>
          <w:rFonts w:ascii="Helvetica" w:hAnsi="Helvetica" w:cs="Helvetica" w:eastAsia="Helvetica"/>
          <w:b/>
          <w:color w:val="000000"/>
        </w:rPr>
        <w:t>Une empreinte numérique de chaque fichier reçu</w:t>
      </w:r>
      <w:r>
        <w:rPr>
          <w:rFonts w:ascii="Helvetica" w:hAnsi="Helvetica" w:cs="Helvetica" w:eastAsia="Helvetica"/>
          <w:color w:val="000000"/>
        </w:rPr>
        <w:t xml:space="preserve"> : elle prouve que les fichiers analysés sont identiques à ceux transmis.</w:t>
      </w:r>
    </w:p>
    <w:p>
      <w:pPr>
        <w:pStyle w:val="ListParagraph"/>
        <w:numPr>
          <w:ilvl w:val="0"/>
          <w:numId w:val="3"/>
        </w:numPr>
        <w:spacing w:after="60"/>
        <w:jc w:val="both"/>
      </w:pPr>
      <w:r>
        <w:rPr>
          <w:rFonts w:ascii="Helvetica" w:hAnsi="Helvetica" w:cs="Helvetica" w:eastAsia="Helvetica"/>
          <w:b/>
          <w:color w:val="000000"/>
        </w:rPr>
        <w:t>Un classeur Excel de 99 onglets</w:t>
      </w:r>
      <w:r>
        <w:rPr>
          <w:rFonts w:ascii="Helvetica" w:hAnsi="Helvetica" w:cs="Helvetica" w:eastAsia="Helvetica"/>
          <w:color w:val="000000"/>
        </w:rPr>
        <w:t xml:space="preserve"> : chaque calcul y est refait par une formule visible, avec une explication en tête d'onglet. L'onglet « 0_controle » compare chaque formule au chiffre du rapport : 0 écart.</w:t>
      </w:r>
    </w:p>
    <w:p>
      <w:pPr>
        <w:pStyle w:val="ListParagraph"/>
        <w:numPr>
          <w:ilvl w:val="0"/>
          <w:numId w:val="3"/>
        </w:numPr>
        <w:spacing w:after="60"/>
        <w:jc w:val="both"/>
      </w:pPr>
      <w:r>
        <w:rPr>
          <w:rFonts w:ascii="Helvetica" w:hAnsi="Helvetica" w:cs="Helvetica" w:eastAsia="Helvetica"/>
          <w:b/>
          <w:color w:val="000000"/>
        </w:rPr>
        <w:t>Un contrôle automatique du rapport</w:t>
      </w:r>
      <w:r>
        <w:rPr>
          <w:rFonts w:ascii="Helvetica" w:hAnsi="Helvetica" w:cs="Helvetica" w:eastAsia="Helvetica"/>
          <w:color w:val="000000"/>
        </w:rPr>
        <w:t xml:space="preserve"> : les 2 885 chiffres écrits dans le rapport sont retrouvés un par un dans les calculs (diapositive 239).</w:t>
      </w:r>
    </w:p>
    <w:p>
      <w:pPr>
        <w:pStyle w:val="ListParagraph"/>
        <w:numPr>
          <w:ilvl w:val="0"/>
          <w:numId w:val="3"/>
        </w:numPr>
        <w:spacing w:after="60"/>
        <w:jc w:val="both"/>
      </w:pPr>
      <w:r>
        <w:rPr>
          <w:rFonts w:ascii="Helvetica" w:hAnsi="Helvetica" w:cs="Helvetica" w:eastAsia="Helvetica"/>
          <w:b/>
          <w:color w:val="000000"/>
        </w:rPr>
        <w:t>Une vérification indépendante</w:t>
      </w:r>
      <w:r>
        <w:rPr>
          <w:rFonts w:ascii="Helvetica" w:hAnsi="Helvetica" w:cs="Helvetica" w:eastAsia="Helvetica"/>
          <w:color w:val="000000"/>
        </w:rPr>
        <w:t xml:space="preserve"> : les chiffres ont été recalculés une seconde fois depuis les fichiers bruts. 18 anomalies ont été relevées et corrigées.</w:t>
      </w:r>
    </w:p>
    <w:p>
      <w:pPr>
        <w:pStyle w:val="ListParagraph"/>
        <w:numPr>
          <w:ilvl w:val="0"/>
          <w:numId w:val="3"/>
        </w:numPr>
        <w:spacing w:after="60"/>
        <w:jc w:val="both"/>
      </w:pPr>
      <w:r>
        <w:rPr>
          <w:rFonts w:ascii="Helvetica" w:hAnsi="Helvetica" w:cs="Helvetica" w:eastAsia="Helvetica"/>
          <w:b/>
          <w:color w:val="000000"/>
        </w:rPr>
        <w:t>Des logigrammes modifiables</w:t>
      </w:r>
      <w:r>
        <w:rPr>
          <w:rFonts w:ascii="Helvetica" w:hAnsi="Helvetica" w:cs="Helvetica" w:eastAsia="Helvetica"/>
          <w:color w:val="000000"/>
        </w:rPr>
        <w:t xml:space="preserve"> dans PowerPoint, et un code couleur par boules expliqué sous chaque tableau.</w:t>
      </w:r>
    </w:p>
    <w:p>
      <w:pPr/>
      <w:r>
        <w:rPr>
          <w:rFonts w:ascii="Helvetica" w:hAnsi="Helvetica" w:cs="Helvetica" w:eastAsia="Helvetica"/>
          <w:b/>
          <w:color w:val="000000"/>
        </w:rPr>
        <w:t>Les livrables produits à ce jour.</w:t>
      </w:r>
      <w:r>
        <w:rPr>
          <w:rFonts w:ascii="Helvetica" w:hAnsi="Helvetica" w:cs="Helvetica" w:eastAsia="Helvetica"/>
          <w:color w:val="000000"/>
        </w:rPr>
        <w:t xml:space="preserve"> Les citer sans les ouvrir, pour montrer l'exhaustivité.</w:t>
      </w:r>
    </w:p>
    <w:p>
      <w:pPr>
        <w:pStyle w:val="ListParagraph"/>
        <w:numPr>
          <w:ilvl w:val="0"/>
          <w:numId w:val="3"/>
        </w:numPr>
        <w:spacing w:after="60"/>
        <w:jc w:val="both"/>
      </w:pPr>
      <w:r>
        <w:rPr>
          <w:rFonts w:ascii="Helvetica" w:hAnsi="Helvetica" w:cs="Helvetica" w:eastAsia="Helvetica"/>
          <w:color w:val="000000"/>
        </w:rPr>
        <w:t>Rapport actuariel et statistique (291 diapositives, PowerPoint et PDF).</w:t>
      </w:r>
    </w:p>
    <w:p>
      <w:pPr>
        <w:pStyle w:val="ListParagraph"/>
        <w:numPr>
          <w:ilvl w:val="0"/>
          <w:numId w:val="3"/>
        </w:numPr>
        <w:spacing w:after="60"/>
        <w:jc w:val="both"/>
      </w:pPr>
      <w:r>
        <w:rPr>
          <w:rFonts w:ascii="Helvetica" w:hAnsi="Helvetica" w:cs="Helvetica" w:eastAsia="Helvetica"/>
          <w:color w:val="000000"/>
        </w:rPr>
        <w:t>Classeur de calcul de 99 onglets.</w:t>
      </w:r>
    </w:p>
    <w:p>
      <w:pPr>
        <w:pStyle w:val="ListParagraph"/>
        <w:numPr>
          <w:ilvl w:val="0"/>
          <w:numId w:val="3"/>
        </w:numPr>
        <w:spacing w:after="60"/>
        <w:jc w:val="both"/>
      </w:pPr>
      <w:r>
        <w:rPr>
          <w:rFonts w:ascii="Helvetica" w:hAnsi="Helvetica" w:cs="Helvetica" w:eastAsia="Helvetica"/>
          <w:color w:val="000000"/>
        </w:rPr>
        <w:t>Liste des documents demandés (PBC), pointée à chaque envoi.</w:t>
      </w:r>
    </w:p>
    <w:p>
      <w:pPr>
        <w:pStyle w:val="ListParagraph"/>
        <w:numPr>
          <w:ilvl w:val="0"/>
          <w:numId w:val="3"/>
        </w:numPr>
        <w:spacing w:after="60"/>
        <w:jc w:val="both"/>
      </w:pPr>
      <w:r>
        <w:rPr>
          <w:rFonts w:ascii="Helvetica" w:hAnsi="Helvetica" w:cs="Helvetica" w:eastAsia="Helvetica"/>
          <w:color w:val="000000"/>
        </w:rPr>
        <w:t>Liste des 26 questions et 84 documents à transmettre par le FPPN.</w:t>
      </w:r>
    </w:p>
    <w:p>
      <w:pPr>
        <w:pStyle w:val="ListParagraph"/>
        <w:numPr>
          <w:ilvl w:val="0"/>
          <w:numId w:val="3"/>
        </w:numPr>
        <w:spacing w:after="60"/>
        <w:jc w:val="both"/>
      </w:pPr>
      <w:r>
        <w:rPr>
          <w:rFonts w:ascii="Helvetica" w:hAnsi="Helvetica" w:cs="Helvetica" w:eastAsia="Helvetica"/>
          <w:color w:val="000000"/>
        </w:rPr>
        <w:t>Fichier de vérification de cohérence des chiffres et des sources.</w:t>
      </w:r>
    </w:p>
    <w:p>
      <w:pPr>
        <w:pStyle w:val="ListParagraph"/>
        <w:numPr>
          <w:ilvl w:val="0"/>
          <w:numId w:val="3"/>
        </w:numPr>
        <w:spacing w:after="60"/>
        <w:jc w:val="both"/>
      </w:pPr>
      <w:r>
        <w:rPr>
          <w:rFonts w:ascii="Helvetica" w:hAnsi="Helvetica" w:cs="Helvetica" w:eastAsia="Helvetica"/>
          <w:color w:val="000000"/>
        </w:rPr>
        <w:t>Plan de travail pointé, avec le taux de réalisation par phase.</w:t>
      </w:r>
    </w:p>
    <w:p>
      <w:pPr>
        <w:pStyle w:val="ListParagraph"/>
        <w:numPr>
          <w:ilvl w:val="0"/>
          <w:numId w:val="3"/>
        </w:numPr>
        <w:spacing w:after="60"/>
        <w:jc w:val="both"/>
      </w:pPr>
      <w:r>
        <w:rPr>
          <w:rFonts w:ascii="Helvetica" w:hAnsi="Helvetica" w:cs="Helvetica" w:eastAsia="Helvetica"/>
          <w:color w:val="000000"/>
        </w:rPr>
        <w:t>Logigrammes du FPPN mis à jour, avec les contrôles manquants signalés.</w:t>
      </w:r>
    </w:p>
    <w:p>
      <w:pPr>
        <w:pStyle w:val="ListParagraph"/>
        <w:numPr>
          <w:ilvl w:val="0"/>
          <w:numId w:val="3"/>
        </w:numPr>
        <w:spacing w:after="60"/>
        <w:jc w:val="both"/>
      </w:pPr>
      <w:r>
        <w:rPr>
          <w:rFonts w:ascii="Helvetica" w:hAnsi="Helvetica" w:cs="Helvetica" w:eastAsia="Helvetica"/>
          <w:color w:val="000000"/>
        </w:rPr>
        <w:t>Guides d'entretien, comptes rendus et note de point d'étape du 21/10/2026.</w:t>
      </w:r>
    </w:p>
    <w:p>
      <w:pPr/>
      <w:r>
        <w:rPr>
          <w:rFonts w:ascii="Helvetica" w:hAnsi="Helvetica" w:cs="Helvetica" w:eastAsia="Helvetica"/>
          <w:i/>
          <w:color w:val="000000"/>
        </w:rPr>
        <w:t>« Le rapport fait 291 diapositives parce que chaque chiffre est sourcé et démontré. Le résumé exécutif, aux diapositives 3 à 27, se suffit à lui-même. Le reste sert de preuve. »</w:t>
      </w:r>
    </w:p>
    <w:p>
      <w:pPr/>
      <w:r>
        <w:rPr>
          <w:rFonts w:ascii="Helvetica" w:hAnsi="Helvetica" w:cs="Helvetica" w:eastAsia="Helvetica"/>
          <w:b/>
          <w:color w:val="000000"/>
        </w:rPr>
        <w:t>Transition.</w:t>
      </w:r>
      <w:r>
        <w:rPr>
          <w:rFonts w:ascii="Helvetica" w:hAnsi="Helvetica" w:cs="Helvetica" w:eastAsia="Helvetica"/>
          <w:color w:val="000000"/>
        </w:rPr>
        <w:t xml:space="preserve"> </w:t>
      </w:r>
      <w:r>
        <w:rPr>
          <w:rFonts w:ascii="Helvetica" w:hAnsi="Helvetica" w:cs="Helvetica" w:eastAsia="Helvetica"/>
          <w:i/>
          <w:color w:val="000000"/>
        </w:rPr>
        <w:t>« Ces travaux conduisent à quatre conclusions. »</w:t>
      </w:r>
    </w:p>
    <w:p>
      <w:pPr>
        <w:pStyle w:val="Heading2"/>
      </w:pPr>
      <w:r>
        <w:t>1.6. LES CONCLUSIONS, POURQUOI ET COMMENT J'Y ARRIVE (5 MINUTES, DIAPOSITIVES 4 À 8)</w:t>
      </w:r>
    </w:p>
    <w:p>
      <w:pPr/>
      <w:r>
        <w:rPr>
          <w:rFonts w:ascii="Helvetica" w:hAnsi="Helvetica" w:cs="Helvetica" w:eastAsia="Helvetica"/>
          <w:b/>
          <w:color w:val="000000"/>
        </w:rPr>
        <w:t>Le message : le FPPN dégage des excédents chaque année, mais il n'est pas en mesure de démontrer qu'il pourra rembourser l'épargne de ses adhérents.</w:t>
      </w:r>
      <w:r>
        <w:rPr>
          <w:rFonts w:ascii="Helvetica" w:hAnsi="Helvetica" w:cs="Helvetica" w:eastAsia="Helvetica"/>
          <w:color w:val="000000"/>
        </w:rPr>
        <w:t xml:space="preserve"> Montrer la diapositive 4, puis donner pour chaque question le verdict, le chiffre et la façon dont il a été obtenu.</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5</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Les quatre conclusions et leur démonstration</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1814"/>
        <w:gridCol w:w="3855"/>
        <w:gridCol w:w="4762"/>
      </w:tblGrid>
      <w:tr>
        <w:trPr>
          <w:tblHeader/>
        </w:trPr>
        <w:tc>
          <w:tcPr>
            <w:tcW w:type="dxa" w:w="1814"/>
            <w:shd w:val="clear" w:color="auto" w:fill="000000"/>
          </w:tcPr>
          <w:p>
            <w:pPr>
              <w:spacing w:after="40" w:before="40" w:line="240" w:lineRule="auto"/>
              <w:jc w:val="left"/>
            </w:pPr>
            <w:r>
              <w:rPr>
                <w:rFonts w:ascii="Helvetica" w:hAnsi="Helvetica" w:cs="Helvetica" w:eastAsia="Helvetica"/>
                <w:b/>
                <w:color w:val="FFFFFF"/>
                <w:sz w:val="18"/>
              </w:rPr>
              <w:t>Question et verdict</w:t>
            </w:r>
          </w:p>
        </w:tc>
        <w:tc>
          <w:tcPr>
            <w:tcW w:type="dxa" w:w="3855"/>
            <w:shd w:val="clear" w:color="auto" w:fill="000000"/>
          </w:tcPr>
          <w:p>
            <w:pPr>
              <w:spacing w:after="40" w:before="40" w:line="240" w:lineRule="auto"/>
              <w:jc w:val="center"/>
            </w:pPr>
            <w:r>
              <w:rPr>
                <w:rFonts w:ascii="Helvetica" w:hAnsi="Helvetica" w:cs="Helvetica" w:eastAsia="Helvetica"/>
                <w:b/>
                <w:color w:val="FFFFFF"/>
                <w:sz w:val="18"/>
              </w:rPr>
              <w:t>Conclusion</w:t>
            </w:r>
          </w:p>
        </w:tc>
        <w:tc>
          <w:tcPr>
            <w:tcW w:type="dxa" w:w="4762"/>
            <w:shd w:val="clear" w:color="auto" w:fill="000000"/>
          </w:tcPr>
          <w:p>
            <w:pPr>
              <w:spacing w:after="40" w:before="40" w:line="240" w:lineRule="auto"/>
              <w:jc w:val="center"/>
            </w:pPr>
            <w:r>
              <w:rPr>
                <w:rFonts w:ascii="Helvetica" w:hAnsi="Helvetica" w:cs="Helvetica" w:eastAsia="Helvetica"/>
                <w:b/>
                <w:color w:val="FFFFFF"/>
                <w:sz w:val="18"/>
              </w:rPr>
              <w:t>Pourquoi et comment</w:t>
            </w:r>
          </w:p>
        </w:tc>
      </w:tr>
      <w:tr>
        <w:tc>
          <w:tcPr>
            <w:tcW w:type="dxa" w:w="1814"/>
            <w:shd w:val="clear" w:color="auto" w:fill="CCCCCC"/>
          </w:tcPr>
          <w:p>
            <w:pPr>
              <w:spacing w:after="40" w:before="40" w:line="240" w:lineRule="auto"/>
              <w:jc w:val="left"/>
            </w:pPr>
            <w:r>
              <w:rPr>
                <w:rFonts w:ascii="Helvetica" w:hAnsi="Helvetica" w:cs="Helvetica" w:eastAsia="Helvetica"/>
                <w:b/>
                <w:color w:val="000000"/>
                <w:sz w:val="18"/>
              </w:rPr>
              <w:t>1. Engagements</w:t>
              <w:br/>
              <w:t>Partiellement démontré</w:t>
            </w:r>
          </w:p>
        </w:tc>
        <w:tc>
          <w:tcPr>
            <w:tcW w:type="dxa" w:w="3855"/>
          </w:tcPr>
          <w:p>
            <w:pPr>
              <w:spacing w:after="40" w:before="40" w:line="240" w:lineRule="auto"/>
              <w:jc w:val="left"/>
            </w:pPr>
            <w:r>
              <w:rPr>
                <w:rFonts w:ascii="Helvetica" w:hAnsi="Helvetica" w:cs="Helvetica" w:eastAsia="Helvetica"/>
                <w:color w:val="000000"/>
                <w:sz w:val="18"/>
              </w:rPr>
              <w:t>L'épargne due vaut 15 743 516 391 FCFA au 31/08/2026. Avec les intérêts promis, l'engagement atteint 19 022 429 629 FCFA.</w:t>
            </w:r>
          </w:p>
        </w:tc>
        <w:tc>
          <w:tcPr>
            <w:tcW w:type="dxa" w:w="4762"/>
          </w:tcPr>
          <w:p>
            <w:pPr>
              <w:spacing w:after="40" w:before="40" w:line="240" w:lineRule="auto"/>
              <w:jc w:val="left"/>
            </w:pPr>
            <w:r>
              <w:rPr>
                <w:rFonts w:ascii="Helvetica" w:hAnsi="Helvetica" w:cs="Helvetica" w:eastAsia="Helvetica"/>
                <w:color w:val="000000"/>
                <w:sz w:val="18"/>
              </w:rPr>
              <w:t>Soldes d'épargne lus dans les balances 2020 au 31/08/2026. Intérêts recalculés sur l'encours moyen de chaque année, aux taux de 3,50 % (PEP) et 5,50 % (EFC) : 3 278 913 238 FCFA jamais comptabilisés. Sans comptes individuels, le montant ne peut pas être vérifié épargnant par épargnant.</w:t>
            </w:r>
          </w:p>
        </w:tc>
      </w:tr>
      <w:tr>
        <w:tc>
          <w:tcPr>
            <w:tcW w:type="dxa" w:w="1814"/>
            <w:shd w:val="clear" w:color="auto" w:fill="CCCCCC"/>
          </w:tcPr>
          <w:p>
            <w:pPr>
              <w:spacing w:after="40" w:before="40" w:line="240" w:lineRule="auto"/>
              <w:jc w:val="left"/>
            </w:pPr>
            <w:r>
              <w:rPr>
                <w:rFonts w:ascii="Helvetica" w:hAnsi="Helvetica" w:cs="Helvetica" w:eastAsia="Helvetica"/>
                <w:b/>
                <w:color w:val="000000"/>
                <w:sz w:val="18"/>
              </w:rPr>
              <w:t>2. Provisions</w:t>
              <w:br/>
              <w:t>Partiellement démontré</w:t>
            </w:r>
          </w:p>
        </w:tc>
        <w:tc>
          <w:tcPr>
            <w:tcW w:type="dxa" w:w="3855"/>
            <w:shd w:val="clear" w:color="auto" w:fill="E8E8E8"/>
          </w:tcPr>
          <w:p>
            <w:pPr>
              <w:spacing w:after="40" w:before="40" w:line="240" w:lineRule="auto"/>
              <w:jc w:val="left"/>
            </w:pPr>
            <w:r>
              <w:rPr>
                <w:rFonts w:ascii="Helvetica" w:hAnsi="Helvetica" w:cs="Helvetica" w:eastAsia="Helvetica"/>
                <w:color w:val="000000"/>
                <w:sz w:val="18"/>
              </w:rPr>
              <w:t>Les provisions maladie et obsèques (4 829 298 290 FCFA) sont figées depuis 2020 et dépassent de 4 809 716 898 FCFA le besoin mesuré (19 581 392 FCFA).</w:t>
            </w:r>
          </w:p>
        </w:tc>
        <w:tc>
          <w:tcPr>
            <w:tcW w:type="dxa" w:w="4762"/>
            <w:shd w:val="clear" w:color="auto" w:fill="E8E8E8"/>
          </w:tcPr>
          <w:p>
            <w:pPr>
              <w:spacing w:after="40" w:before="40" w:line="240" w:lineRule="auto"/>
              <w:jc w:val="left"/>
            </w:pPr>
            <w:r>
              <w:rPr>
                <w:rFonts w:ascii="Helvetica" w:hAnsi="Helvetica" w:cs="Helvetica" w:eastAsia="Helvetica"/>
                <w:color w:val="000000"/>
                <w:sz w:val="18"/>
              </w:rPr>
              <w:t>Besoin mesuré sur les factures de soins arrivées après la clôture (journal des sinistres) et sur les décès déclarés après la clôture. Le total n'est pas trop faible, il est mal affecté : rien n'est provisionné pour les intérêts de l'épargne.</w:t>
            </w:r>
          </w:p>
        </w:tc>
      </w:tr>
      <w:tr>
        <w:tc>
          <w:tcPr>
            <w:tcW w:type="dxa" w:w="1814"/>
            <w:shd w:val="clear" w:color="auto" w:fill="CCCCCC"/>
          </w:tcPr>
          <w:p>
            <w:pPr>
              <w:spacing w:after="40" w:before="40" w:line="240" w:lineRule="auto"/>
              <w:jc w:val="left"/>
            </w:pPr>
            <w:r>
              <w:rPr>
                <w:rFonts w:ascii="Helvetica" w:hAnsi="Helvetica" w:cs="Helvetica" w:eastAsia="Helvetica"/>
                <w:b/>
                <w:color w:val="000000"/>
                <w:sz w:val="18"/>
              </w:rPr>
              <w:t>3. Adossement</w:t>
              <w:br/>
              <w:t>Insuffisant</w:t>
            </w:r>
          </w:p>
        </w:tc>
        <w:tc>
          <w:tcPr>
            <w:tcW w:type="dxa" w:w="3855"/>
          </w:tcPr>
          <w:p>
            <w:pPr>
              <w:spacing w:after="40" w:before="40" w:line="240" w:lineRule="auto"/>
              <w:jc w:val="left"/>
            </w:pPr>
            <w:r>
              <w:rPr>
                <w:rFonts w:ascii="Helvetica" w:hAnsi="Helvetica" w:cs="Helvetica" w:eastAsia="Helvetica"/>
                <w:color w:val="000000"/>
                <w:sz w:val="18"/>
              </w:rPr>
              <w:t>Les actifs disponibles à moins d'un an couvrent 34,42 % des paiements attendus dans l'année. Le manque cumulé atteint 12 596 052 822 FCFA à cinq ans.</w:t>
            </w:r>
          </w:p>
        </w:tc>
        <w:tc>
          <w:tcPr>
            <w:tcW w:type="dxa" w:w="4762"/>
          </w:tcPr>
          <w:p>
            <w:pPr>
              <w:spacing w:after="40" w:before="40" w:line="240" w:lineRule="auto"/>
              <w:jc w:val="left"/>
            </w:pPr>
            <w:r>
              <w:rPr>
                <w:rFonts w:ascii="Helvetica" w:hAnsi="Helvetica" w:cs="Helvetica" w:eastAsia="Helvetica"/>
                <w:color w:val="000000"/>
                <w:sz w:val="18"/>
              </w:rPr>
              <w:t>Actifs classés selon leur délai de mobilisation, dettes classées par échéance, sorties d'épargne au taux observé. Les actifs sont retenus à leur valeur comptable : c'est une estimation favorable au FPPN.</w:t>
            </w:r>
          </w:p>
        </w:tc>
      </w:tr>
      <w:tr>
        <w:tc>
          <w:tcPr>
            <w:tcW w:type="dxa" w:w="1814"/>
            <w:shd w:val="clear" w:color="auto" w:fill="CCCCCC"/>
          </w:tcPr>
          <w:p>
            <w:pPr>
              <w:spacing w:after="40" w:before="40" w:line="240" w:lineRule="auto"/>
              <w:jc w:val="left"/>
            </w:pPr>
            <w:r>
              <w:rPr>
                <w:rFonts w:ascii="Helvetica" w:hAnsi="Helvetica" w:cs="Helvetica" w:eastAsia="Helvetica"/>
                <w:b/>
                <w:color w:val="000000"/>
                <w:sz w:val="18"/>
              </w:rPr>
              <w:t>4. Placements</w:t>
              <w:br/>
              <w:t>Insuffisant</w:t>
            </w:r>
          </w:p>
        </w:tc>
        <w:tc>
          <w:tcPr>
            <w:tcW w:type="dxa" w:w="3855"/>
            <w:shd w:val="clear" w:color="auto" w:fill="E8E8E8"/>
          </w:tcPr>
          <w:p>
            <w:pPr>
              <w:spacing w:after="40" w:before="40" w:line="240" w:lineRule="auto"/>
              <w:jc w:val="left"/>
            </w:pPr>
            <w:r>
              <w:rPr>
                <w:rFonts w:ascii="Helvetica" w:hAnsi="Helvetica" w:cs="Helvetica" w:eastAsia="Helvetica"/>
                <w:color w:val="000000"/>
                <w:sz w:val="18"/>
              </w:rPr>
              <w:t>En 2025, l'argent réellement placé (763 752 135 FCFA) représente 5,53 % de l'épargne due. Le rendement moyen est de 4,90 % par an de 2021 à 2025.</w:t>
            </w:r>
          </w:p>
        </w:tc>
        <w:tc>
          <w:tcPr>
            <w:tcW w:type="dxa" w:w="4762"/>
            <w:shd w:val="clear" w:color="auto" w:fill="E8E8E8"/>
          </w:tcPr>
          <w:p>
            <w:pPr>
              <w:spacing w:after="40" w:before="40" w:line="240" w:lineRule="auto"/>
              <w:jc w:val="left"/>
            </w:pPr>
            <w:r>
              <w:rPr>
                <w:rFonts w:ascii="Helvetica" w:hAnsi="Helvetica" w:cs="Helvetica" w:eastAsia="Helvetica"/>
                <w:color w:val="000000"/>
                <w:sz w:val="18"/>
              </w:rPr>
              <w:t>Encours des dépôts à terme et des FCP lu jour par jour dans les grands livres. L'épargne a surtout financé des actifs peu liquides : clinique, terrains, prêts. Aucune politique de placement votée n'a été transmise.</w:t>
            </w:r>
          </w:p>
        </w:tc>
      </w:tr>
    </w:tbl>
    <w:p>
      <w:pPr>
        <w:spacing w:after="200"/>
        <w:jc w:val="left"/>
      </w:pPr>
      <w:r>
        <w:rPr>
          <w:rFonts w:ascii="Helvetica" w:hAnsi="Helvetica" w:cs="Helvetica" w:eastAsia="Helvetica"/>
          <w:color w:val="000000"/>
          <w:sz w:val="16"/>
        </w:rPr>
        <w:t>Source : Rapport du 23/10/2026, diapositives 4 à 8.</w:t>
      </w:r>
    </w:p>
    <w:p>
      <w:pPr/>
      <w:r>
        <w:rPr>
          <w:rFonts w:ascii="Helvetica" w:hAnsi="Helvetica" w:cs="Helvetica" w:eastAsia="Helvetica"/>
          <w:b/>
          <w:color w:val="000000"/>
        </w:rPr>
        <w:t>Les constats transversaux à citer.</w:t>
      </w:r>
      <w:r>
        <w:rPr>
          <w:rFonts w:ascii="Helvetica" w:hAnsi="Helvetica" w:cs="Helvetica" w:eastAsia="Helvetica"/>
          <w:color w:val="000000"/>
        </w:rPr>
        <w:t xml:space="preserve"> Les fonds propres sont négatifs à chaque clôture depuis 2020 (-879 498 700 FCFA au 31/08/2026), et 14 ratios de l'UEMOA sur 36 ne sont pas respectés, dont la réserve obligatoire, les fonds propres et la liquidité (diapositive 20). La synthèse des constats (diapositives 10 et 11) présente chaque constat avec le fait chiffré, la norme qui s'applique, l'écart et son effet.</w:t>
      </w:r>
    </w:p>
    <w:p>
      <w:pPr/>
      <w:r>
        <w:rPr>
          <w:rFonts w:ascii="Helvetica" w:hAnsi="Helvetica" w:cs="Helvetica" w:eastAsia="Helvetica"/>
          <w:i/>
          <w:color w:val="000000"/>
        </w:rPr>
        <w:t>« La non-conformité sur deux exercices de suite permet à l'AIRMS de retirer l'agrément (règlement n° 07/2009, art. 84). Ce n'est pas automatique, mais c'est l'enjeu principal pour le FPPN. »</w:t>
      </w:r>
    </w:p>
    <w:p>
      <w:pPr/>
      <w:r>
        <w:rPr>
          <w:rFonts w:ascii="Helvetica" w:hAnsi="Helvetica" w:cs="Helvetica" w:eastAsia="Helvetica"/>
          <w:b/>
          <w:color w:val="000000"/>
        </w:rPr>
        <w:t>Transition.</w:t>
      </w:r>
      <w:r>
        <w:rPr>
          <w:rFonts w:ascii="Helvetica" w:hAnsi="Helvetica" w:cs="Helvetica" w:eastAsia="Helvetica"/>
          <w:color w:val="000000"/>
        </w:rPr>
        <w:t xml:space="preserve"> </w:t>
      </w:r>
      <w:r>
        <w:rPr>
          <w:rFonts w:ascii="Helvetica" w:hAnsi="Helvetica" w:cs="Helvetica" w:eastAsia="Helvetica"/>
          <w:i/>
          <w:color w:val="000000"/>
        </w:rPr>
        <w:t>« Ces conclusions ont des limites qu'il faut connaître. »</w:t>
      </w:r>
    </w:p>
    <w:p>
      <w:pPr>
        <w:pStyle w:val="Heading2"/>
      </w:pPr>
      <w:r>
        <w:t>1.7. LES LIMITES DE CES CONCLUSIONS (2 MINUTES, DIAPOSITIVE 241)</w:t>
      </w:r>
    </w:p>
    <w:p>
      <w:pPr/>
      <w:r>
        <w:rPr>
          <w:rFonts w:ascii="Helvetica" w:hAnsi="Helvetica" w:cs="Helvetica" w:eastAsia="Helvetica"/>
          <w:b/>
          <w:color w:val="000000"/>
        </w:rPr>
        <w:t>Le message : les limites changent la précision des montants, pas le sens des verdicts.</w:t>
      </w:r>
    </w:p>
    <w:p>
      <w:pPr>
        <w:pStyle w:val="ListParagraph"/>
        <w:numPr>
          <w:ilvl w:val="0"/>
          <w:numId w:val="3"/>
        </w:numPr>
        <w:spacing w:after="60"/>
        <w:jc w:val="both"/>
      </w:pPr>
      <w:r>
        <w:rPr>
          <w:rFonts w:ascii="Helvetica" w:hAnsi="Helvetica" w:cs="Helvetica" w:eastAsia="Helvetica"/>
          <w:b/>
          <w:color w:val="000000"/>
        </w:rPr>
        <w:t>Trois données manquantes bloquent les calculs actuariels centraux</w:t>
      </w:r>
      <w:r>
        <w:rPr>
          <w:rFonts w:ascii="Helvetica" w:hAnsi="Helvetica" w:cs="Helvetica" w:eastAsia="Helvetica"/>
          <w:color w:val="000000"/>
        </w:rPr>
        <w:t xml:space="preserve"> : la base des prestations datée (date des soins, du dépôt et du paiement de chaque facture), les dates de naissance des mutualistes et des retraités, et le fichier des ayants droit. Sans elles, ni provision dossier par dossier, ni mortalité par âge, ni engagement santé des retraités.</w:t>
      </w:r>
    </w:p>
    <w:p>
      <w:pPr>
        <w:pStyle w:val="ListParagraph"/>
        <w:numPr>
          <w:ilvl w:val="0"/>
          <w:numId w:val="3"/>
        </w:numPr>
        <w:spacing w:after="60"/>
        <w:jc w:val="both"/>
      </w:pPr>
      <w:r>
        <w:rPr>
          <w:rFonts w:ascii="Helvetica" w:hAnsi="Helvetica" w:cs="Helvetica" w:eastAsia="Helvetica"/>
          <w:b/>
          <w:color w:val="000000"/>
        </w:rPr>
        <w:t>L'engagement d'épargne est global</w:t>
      </w:r>
      <w:r>
        <w:rPr>
          <w:rFonts w:ascii="Helvetica" w:hAnsi="Helvetica" w:cs="Helvetica" w:eastAsia="Helvetica"/>
          <w:color w:val="000000"/>
        </w:rPr>
        <w:t xml:space="preserve"> : aucun compte individuel ni taux servi arrêté n'a été transmis.</w:t>
      </w:r>
    </w:p>
    <w:p>
      <w:pPr>
        <w:pStyle w:val="ListParagraph"/>
        <w:numPr>
          <w:ilvl w:val="0"/>
          <w:numId w:val="3"/>
        </w:numPr>
        <w:spacing w:after="60"/>
        <w:jc w:val="both"/>
      </w:pPr>
      <w:r>
        <w:rPr>
          <w:rFonts w:ascii="Helvetica" w:hAnsi="Helvetica" w:cs="Helvetica" w:eastAsia="Helvetica"/>
          <w:b/>
          <w:color w:val="000000"/>
        </w:rPr>
        <w:t>L'adossement est une estimation favorable</w:t>
      </w:r>
      <w:r>
        <w:rPr>
          <w:rFonts w:ascii="Helvetica" w:hAnsi="Helvetica" w:cs="Helvetica" w:eastAsia="Helvetica"/>
          <w:color w:val="000000"/>
        </w:rPr>
        <w:t xml:space="preserve"> : les actifs sont retenus à leur valeur comptable, sans expertise de la clinique ni des terrains.</w:t>
      </w:r>
    </w:p>
    <w:p>
      <w:pPr>
        <w:pStyle w:val="ListParagraph"/>
        <w:numPr>
          <w:ilvl w:val="0"/>
          <w:numId w:val="3"/>
        </w:numPr>
        <w:spacing w:after="60"/>
        <w:jc w:val="both"/>
      </w:pPr>
      <w:r>
        <w:rPr>
          <w:rFonts w:ascii="Helvetica" w:hAnsi="Helvetica" w:cs="Helvetica" w:eastAsia="Helvetica"/>
          <w:b/>
          <w:color w:val="000000"/>
        </w:rPr>
        <w:t>Les méthodes avancées ne sont pas applicables</w:t>
      </w:r>
      <w:r>
        <w:rPr>
          <w:rFonts w:ascii="Helvetica" w:hAnsi="Helvetica" w:cs="Helvetica" w:eastAsia="Helvetica"/>
          <w:color w:val="000000"/>
        </w:rPr>
        <w:t xml:space="preserve"> : duration, valeur à risque ou modèle stochastique exigent une courbe de taux, un échéancier et un taux servi fiable.</w:t>
      </w:r>
    </w:p>
    <w:p>
      <w:pPr>
        <w:pStyle w:val="ListParagraph"/>
        <w:numPr>
          <w:ilvl w:val="0"/>
          <w:numId w:val="3"/>
        </w:numPr>
        <w:spacing w:after="60"/>
        <w:jc w:val="both"/>
      </w:pPr>
      <w:r>
        <w:rPr>
          <w:rFonts w:ascii="Helvetica" w:hAnsi="Helvetica" w:cs="Helvetica" w:eastAsia="Helvetica"/>
          <w:b/>
          <w:color w:val="000000"/>
        </w:rPr>
        <w:t>Certains taux sont mesurés sur une période courte</w:t>
      </w:r>
      <w:r>
        <w:rPr>
          <w:rFonts w:ascii="Helvetica" w:hAnsi="Helvetica" w:cs="Helvetica" w:eastAsia="Helvetica"/>
          <w:color w:val="000000"/>
        </w:rPr>
        <w:t xml:space="preserve"> : le taux de cotisation maladie de 3,77 % repose sur 8 mois de fichiers (04 à 10/2024 et 01/2025).</w:t>
      </w:r>
    </w:p>
    <w:p>
      <w:pPr>
        <w:pStyle w:val="ListParagraph"/>
        <w:numPr>
          <w:ilvl w:val="0"/>
          <w:numId w:val="3"/>
        </w:numPr>
        <w:spacing w:after="60"/>
        <w:jc w:val="both"/>
      </w:pPr>
      <w:r>
        <w:rPr>
          <w:rFonts w:ascii="Helvetica" w:hAnsi="Helvetica" w:cs="Helvetica" w:eastAsia="Helvetica"/>
          <w:b/>
          <w:color w:val="000000"/>
        </w:rPr>
        <w:t>Quelques constats reposent sur des déclarations du FPPN</w:t>
      </w:r>
      <w:r>
        <w:rPr>
          <w:rFonts w:ascii="Helvetica" w:hAnsi="Helvetica" w:cs="Helvetica" w:eastAsia="Helvetica"/>
          <w:color w:val="000000"/>
        </w:rPr>
        <w:t xml:space="preserve"> : ils sont surlignés en jaune dans le rapport et seront confirmés ou retirés à réception des pièces.</w:t>
      </w:r>
    </w:p>
    <w:p>
      <w:pPr>
        <w:pStyle w:val="ListParagraph"/>
        <w:numPr>
          <w:ilvl w:val="0"/>
          <w:numId w:val="3"/>
        </w:numPr>
        <w:spacing w:after="60"/>
        <w:jc w:val="both"/>
      </w:pPr>
      <w:r>
        <w:rPr>
          <w:rFonts w:ascii="Helvetica" w:hAnsi="Helvetica" w:cs="Helvetica" w:eastAsia="Helvetica"/>
          <w:b/>
          <w:color w:val="000000"/>
        </w:rPr>
        <w:t>Les PDF du Code CIMA et du référentiel comptable des SFD sont illisibles</w:t>
      </w:r>
      <w:r>
        <w:rPr>
          <w:rFonts w:ascii="Helvetica" w:hAnsi="Helvetica" w:cs="Helvetica" w:eastAsia="Helvetica"/>
          <w:color w:val="000000"/>
        </w:rPr>
        <w:t xml:space="preserve"> (police mal encodée) : seules les pages de la circulaire n° 00230 ont pu être lues.</w:t>
      </w:r>
    </w:p>
    <w:p>
      <w:pPr/>
      <w:r>
        <w:rPr>
          <w:rFonts w:ascii="Helvetica" w:hAnsi="Helvetica" w:cs="Helvetica" w:eastAsia="Helvetica"/>
          <w:b/>
          <w:color w:val="000000"/>
        </w:rPr>
        <w:t>Transition.</w:t>
      </w:r>
      <w:r>
        <w:rPr>
          <w:rFonts w:ascii="Helvetica" w:hAnsi="Helvetica" w:cs="Helvetica" w:eastAsia="Helvetica"/>
          <w:color w:val="000000"/>
        </w:rPr>
        <w:t xml:space="preserve"> </w:t>
      </w:r>
      <w:r>
        <w:rPr>
          <w:rFonts w:ascii="Helvetica" w:hAnsi="Helvetica" w:cs="Helvetica" w:eastAsia="Helvetica"/>
          <w:i/>
          <w:color w:val="000000"/>
        </w:rPr>
        <w:t>« D'où le travail qui reste à faire. »</w:t>
      </w:r>
    </w:p>
    <w:p>
      <w:pPr>
        <w:pStyle w:val="Heading2"/>
      </w:pPr>
      <w:r>
        <w:t>1.8. LE RESTE À FAIRE (1 MINUTE, DIAPOSITIVE 242)</w:t>
      </w:r>
    </w:p>
    <w:p>
      <w:pPr/>
      <w:r>
        <w:rPr>
          <w:rFonts w:ascii="Helvetica" w:hAnsi="Helvetica" w:cs="Helvetica" w:eastAsia="Helvetica"/>
          <w:b/>
          <w:color w:val="000000"/>
        </w:rPr>
        <w:t>Le message : il reste surtout des calculs qui attendent les données du FPPN, puis la finalisation du rapport.</w:t>
      </w:r>
    </w:p>
    <w:p>
      <w:pPr>
        <w:pStyle w:val="ListParagraph"/>
        <w:numPr>
          <w:ilvl w:val="0"/>
          <w:numId w:val="3"/>
        </w:numPr>
        <w:spacing w:after="60"/>
        <w:jc w:val="both"/>
      </w:pPr>
      <w:r>
        <w:rPr>
          <w:rFonts w:ascii="Helvetica" w:hAnsi="Helvetica" w:cs="Helvetica" w:eastAsia="Helvetica"/>
          <w:b/>
          <w:color w:val="000000"/>
        </w:rPr>
        <w:t>Engagements</w:t>
      </w:r>
      <w:r>
        <w:rPr>
          <w:rFonts w:ascii="Helvetica" w:hAnsi="Helvetica" w:cs="Helvetica" w:eastAsia="Helvetica"/>
          <w:color w:val="000000"/>
        </w:rPr>
        <w:t xml:space="preserve"> : calculs par âge et engagement par épargnant, dès réception des dates de naissance et des comptes individuels.</w:t>
      </w:r>
    </w:p>
    <w:p>
      <w:pPr>
        <w:pStyle w:val="ListParagraph"/>
        <w:numPr>
          <w:ilvl w:val="0"/>
          <w:numId w:val="3"/>
        </w:numPr>
        <w:spacing w:after="60"/>
        <w:jc w:val="both"/>
      </w:pPr>
      <w:r>
        <w:rPr>
          <w:rFonts w:ascii="Helvetica" w:hAnsi="Helvetica" w:cs="Helvetica" w:eastAsia="Helvetica"/>
          <w:b/>
          <w:color w:val="000000"/>
        </w:rPr>
        <w:t>Provisions</w:t>
      </w:r>
      <w:r>
        <w:rPr>
          <w:rFonts w:ascii="Helvetica" w:hAnsi="Helvetica" w:cs="Helvetica" w:eastAsia="Helvetica"/>
          <w:color w:val="000000"/>
        </w:rPr>
        <w:t xml:space="preserve"> : provision maladie et décès dossier par dossier, boni et mali par exercice, à partir de la base des prestations datée.</w:t>
      </w:r>
    </w:p>
    <w:p>
      <w:pPr>
        <w:pStyle w:val="ListParagraph"/>
        <w:numPr>
          <w:ilvl w:val="0"/>
          <w:numId w:val="3"/>
        </w:numPr>
        <w:spacing w:after="60"/>
        <w:jc w:val="both"/>
      </w:pPr>
      <w:r>
        <w:rPr>
          <w:rFonts w:ascii="Helvetica" w:hAnsi="Helvetica" w:cs="Helvetica" w:eastAsia="Helvetica"/>
          <w:b/>
          <w:color w:val="000000"/>
        </w:rPr>
        <w:t>Placements</w:t>
      </w:r>
      <w:r>
        <w:rPr>
          <w:rFonts w:ascii="Helvetica" w:hAnsi="Helvetica" w:cs="Helvetica" w:eastAsia="Helvetica"/>
          <w:color w:val="000000"/>
        </w:rPr>
        <w:t xml:space="preserve"> : adossement par échéance, à partir de l'inventaire et de l'échéancier signés des placements.</w:t>
      </w:r>
    </w:p>
    <w:p>
      <w:pPr>
        <w:pStyle w:val="ListParagraph"/>
        <w:numPr>
          <w:ilvl w:val="0"/>
          <w:numId w:val="3"/>
        </w:numPr>
        <w:spacing w:after="60"/>
        <w:jc w:val="both"/>
      </w:pPr>
      <w:r>
        <w:rPr>
          <w:rFonts w:ascii="Helvetica" w:hAnsi="Helvetica" w:cs="Helvetica" w:eastAsia="Helvetica"/>
          <w:b/>
          <w:color w:val="000000"/>
        </w:rPr>
        <w:t>Projection de l'équilibre technique</w:t>
      </w:r>
      <w:r>
        <w:rPr>
          <w:rFonts w:ascii="Helvetica" w:hAnsi="Helvetica" w:cs="Helvetica" w:eastAsia="Helvetica"/>
          <w:color w:val="000000"/>
        </w:rPr>
        <w:t xml:space="preserve"> par garantie, après les calculs d'engagements et de provisions.</w:t>
      </w:r>
    </w:p>
    <w:p>
      <w:pPr>
        <w:pStyle w:val="ListParagraph"/>
        <w:numPr>
          <w:ilvl w:val="0"/>
          <w:numId w:val="3"/>
        </w:numPr>
        <w:spacing w:after="60"/>
        <w:jc w:val="both"/>
      </w:pPr>
      <w:r>
        <w:rPr>
          <w:rFonts w:ascii="Helvetica" w:hAnsi="Helvetica" w:cs="Helvetica" w:eastAsia="Helvetica"/>
          <w:b/>
          <w:color w:val="000000"/>
        </w:rPr>
        <w:t>Ratios</w:t>
      </w:r>
      <w:r>
        <w:rPr>
          <w:rFonts w:ascii="Helvetica" w:hAnsi="Helvetica" w:cs="Helvetica" w:eastAsia="Helvetica"/>
          <w:color w:val="000000"/>
        </w:rPr>
        <w:t xml:space="preserve"> : onze indicateurs de gouvernance en attente de pièces.</w:t>
      </w:r>
    </w:p>
    <w:p>
      <w:pPr>
        <w:pStyle w:val="ListParagraph"/>
        <w:numPr>
          <w:ilvl w:val="0"/>
          <w:numId w:val="3"/>
        </w:numPr>
        <w:spacing w:after="60"/>
        <w:jc w:val="both"/>
      </w:pPr>
      <w:r>
        <w:rPr>
          <w:rFonts w:ascii="Helvetica" w:hAnsi="Helvetica" w:cs="Helvetica" w:eastAsia="Helvetica"/>
          <w:b/>
          <w:color w:val="000000"/>
        </w:rPr>
        <w:t>Rapport</w:t>
      </w:r>
      <w:r>
        <w:rPr>
          <w:rFonts w:ascii="Helvetica" w:hAnsi="Helvetica" w:cs="Helvetica" w:eastAsia="Helvetica"/>
          <w:color w:val="000000"/>
        </w:rPr>
        <w:t xml:space="preserve"> : restitution, intégration des commentaires du FPPN, version définitive.</w:t>
      </w:r>
    </w:p>
    <w:p>
      <w:pPr/>
      <w:r>
        <w:rPr>
          <w:rFonts w:ascii="Helvetica" w:hAnsi="Helvetica" w:cs="Helvetica" w:eastAsia="Helvetica"/>
          <w:b/>
          <w:color w:val="000000"/>
        </w:rPr>
        <w:t>Transition.</w:t>
      </w:r>
      <w:r>
        <w:rPr>
          <w:rFonts w:ascii="Helvetica" w:hAnsi="Helvetica" w:cs="Helvetica" w:eastAsia="Helvetica"/>
          <w:color w:val="000000"/>
        </w:rPr>
        <w:t xml:space="preserve"> </w:t>
      </w:r>
      <w:r>
        <w:rPr>
          <w:rFonts w:ascii="Helvetica" w:hAnsi="Helvetica" w:cs="Helvetica" w:eastAsia="Helvetica"/>
          <w:i/>
          <w:color w:val="000000"/>
        </w:rPr>
        <w:t>« Sans attendre ces données, les premières conclusions permettent déjà de recommander des actions. »</w:t>
      </w:r>
    </w:p>
    <w:p>
      <w:pPr>
        <w:pStyle w:val="Heading2"/>
      </w:pPr>
      <w:r>
        <w:t>1.9. LES RECOMMANDATIONS (2 MINUTES, DIAPOSITIVES 25 À 27)</w:t>
      </w:r>
    </w:p>
    <w:p>
      <w:pPr/>
      <w:r>
        <w:rPr>
          <w:rFonts w:ascii="Helvetica" w:hAnsi="Helvetica" w:cs="Helvetica" w:eastAsia="Helvetica"/>
          <w:b/>
          <w:color w:val="000000"/>
        </w:rPr>
        <w:t>Le message : neuf recommandations, chacune liée à un constat, avec un horizon. Les quatre premières sont à engager dans les six mois.</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6</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Les neuf recommandations</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7143"/>
        <w:gridCol w:w="3288"/>
      </w:tblGrid>
      <w:tr>
        <w:trPr>
          <w:tblHeader/>
        </w:trPr>
        <w:tc>
          <w:tcPr>
            <w:tcW w:type="dxa" w:w="7143"/>
            <w:shd w:val="clear" w:color="auto" w:fill="000000"/>
          </w:tcPr>
          <w:p>
            <w:pPr>
              <w:spacing w:after="40" w:before="40" w:line="240" w:lineRule="auto"/>
              <w:jc w:val="left"/>
            </w:pPr>
            <w:r>
              <w:rPr>
                <w:rFonts w:ascii="Helvetica" w:hAnsi="Helvetica" w:cs="Helvetica" w:eastAsia="Helvetica"/>
                <w:b/>
                <w:color w:val="FFFFFF"/>
                <w:sz w:val="18"/>
              </w:rPr>
              <w:t>Recommandation</w:t>
            </w:r>
          </w:p>
        </w:tc>
        <w:tc>
          <w:tcPr>
            <w:tcW w:type="dxa" w:w="3288"/>
            <w:shd w:val="clear" w:color="auto" w:fill="000000"/>
          </w:tcPr>
          <w:p>
            <w:pPr>
              <w:spacing w:after="40" w:before="40" w:line="240" w:lineRule="auto"/>
              <w:jc w:val="center"/>
            </w:pPr>
            <w:r>
              <w:rPr>
                <w:rFonts w:ascii="Helvetica" w:hAnsi="Helvetica" w:cs="Helvetica" w:eastAsia="Helvetica"/>
                <w:b/>
                <w:color w:val="FFFFFF"/>
                <w:sz w:val="18"/>
              </w:rPr>
              <w:t>Horizon</w:t>
            </w:r>
          </w:p>
        </w:tc>
      </w:tr>
      <w:tr>
        <w:tc>
          <w:tcPr>
            <w:tcW w:type="dxa" w:w="7143"/>
            <w:shd w:val="clear" w:color="auto" w:fill="CCCCCC"/>
          </w:tcPr>
          <w:p>
            <w:pPr>
              <w:spacing w:after="40" w:before="40" w:line="240" w:lineRule="auto"/>
              <w:jc w:val="left"/>
            </w:pPr>
            <w:r>
              <w:rPr>
                <w:rFonts w:ascii="Helvetica" w:hAnsi="Helvetica" w:cs="Helvetica" w:eastAsia="Helvetica"/>
                <w:b/>
                <w:color w:val="000000"/>
                <w:sz w:val="18"/>
              </w:rPr>
              <w:t>1. Calculer les provisions maladie et décès à chaque clôture</w:t>
            </w:r>
          </w:p>
        </w:tc>
        <w:tc>
          <w:tcPr>
            <w:tcW w:type="dxa" w:w="3288"/>
          </w:tcPr>
          <w:p>
            <w:pPr>
              <w:spacing w:after="40" w:before="40" w:line="240" w:lineRule="auto"/>
              <w:jc w:val="left"/>
            </w:pPr>
            <w:r>
              <w:rPr>
                <w:rFonts w:ascii="Helvetica" w:hAnsi="Helvetica" w:cs="Helvetica" w:eastAsia="Helvetica"/>
                <w:color w:val="000000"/>
                <w:sz w:val="18"/>
              </w:rPr>
              <w:t>Court terme (moins de 6 mois)</w:t>
            </w:r>
          </w:p>
        </w:tc>
      </w:tr>
      <w:tr>
        <w:tc>
          <w:tcPr>
            <w:tcW w:type="dxa" w:w="7143"/>
            <w:shd w:val="clear" w:color="auto" w:fill="CCCCCC"/>
          </w:tcPr>
          <w:p>
            <w:pPr>
              <w:spacing w:after="40" w:before="40" w:line="240" w:lineRule="auto"/>
              <w:jc w:val="left"/>
            </w:pPr>
            <w:r>
              <w:rPr>
                <w:rFonts w:ascii="Helvetica" w:hAnsi="Helvetica" w:cs="Helvetica" w:eastAsia="Helvetica"/>
                <w:b/>
                <w:color w:val="000000"/>
                <w:sz w:val="18"/>
              </w:rPr>
              <w:t>2. Arrêter le taux servi sur l'épargne et tenir les comptes individuels</w:t>
            </w:r>
          </w:p>
        </w:tc>
        <w:tc>
          <w:tcPr>
            <w:tcW w:type="dxa" w:w="3288"/>
            <w:shd w:val="clear" w:color="auto" w:fill="E8E8E8"/>
          </w:tcPr>
          <w:p>
            <w:pPr>
              <w:spacing w:after="40" w:before="40" w:line="240" w:lineRule="auto"/>
              <w:jc w:val="left"/>
            </w:pPr>
            <w:r>
              <w:rPr>
                <w:rFonts w:ascii="Helvetica" w:hAnsi="Helvetica" w:cs="Helvetica" w:eastAsia="Helvetica"/>
                <w:color w:val="000000"/>
                <w:sz w:val="18"/>
              </w:rPr>
              <w:t>Court terme (moins de 6 mois)</w:t>
            </w:r>
          </w:p>
        </w:tc>
      </w:tr>
      <w:tr>
        <w:tc>
          <w:tcPr>
            <w:tcW w:type="dxa" w:w="7143"/>
            <w:shd w:val="clear" w:color="auto" w:fill="CCCCCC"/>
          </w:tcPr>
          <w:p>
            <w:pPr>
              <w:spacing w:after="40" w:before="40" w:line="240" w:lineRule="auto"/>
              <w:jc w:val="left"/>
            </w:pPr>
            <w:r>
              <w:rPr>
                <w:rFonts w:ascii="Helvetica" w:hAnsi="Helvetica" w:cs="Helvetica" w:eastAsia="Helvetica"/>
                <w:b/>
                <w:color w:val="000000"/>
                <w:sz w:val="18"/>
              </w:rPr>
              <w:t>3. Transmettre les données qui manquent aux calculs actuariels</w:t>
            </w:r>
          </w:p>
        </w:tc>
        <w:tc>
          <w:tcPr>
            <w:tcW w:type="dxa" w:w="3288"/>
          </w:tcPr>
          <w:p>
            <w:pPr>
              <w:spacing w:after="40" w:before="40" w:line="240" w:lineRule="auto"/>
              <w:jc w:val="left"/>
            </w:pPr>
            <w:r>
              <w:rPr>
                <w:rFonts w:ascii="Helvetica" w:hAnsi="Helvetica" w:cs="Helvetica" w:eastAsia="Helvetica"/>
                <w:color w:val="000000"/>
                <w:sz w:val="18"/>
              </w:rPr>
              <w:t>Court terme (moins de 6 mois)</w:t>
            </w:r>
          </w:p>
        </w:tc>
      </w:tr>
      <w:tr>
        <w:tc>
          <w:tcPr>
            <w:tcW w:type="dxa" w:w="7143"/>
            <w:shd w:val="clear" w:color="auto" w:fill="CCCCCC"/>
          </w:tcPr>
          <w:p>
            <w:pPr>
              <w:spacing w:after="40" w:before="40" w:line="240" w:lineRule="auto"/>
              <w:jc w:val="left"/>
            </w:pPr>
            <w:r>
              <w:rPr>
                <w:rFonts w:ascii="Helvetica" w:hAnsi="Helvetica" w:cs="Helvetica" w:eastAsia="Helvetica"/>
                <w:b/>
                <w:color w:val="000000"/>
                <w:sz w:val="18"/>
              </w:rPr>
              <w:t>4. Présenter à l'AIRMS un plan de mise en conformité prudentielle</w:t>
            </w:r>
          </w:p>
        </w:tc>
        <w:tc>
          <w:tcPr>
            <w:tcW w:type="dxa" w:w="3288"/>
            <w:shd w:val="clear" w:color="auto" w:fill="E8E8E8"/>
          </w:tcPr>
          <w:p>
            <w:pPr>
              <w:spacing w:after="40" w:before="40" w:line="240" w:lineRule="auto"/>
              <w:jc w:val="left"/>
            </w:pPr>
            <w:r>
              <w:rPr>
                <w:rFonts w:ascii="Helvetica" w:hAnsi="Helvetica" w:cs="Helvetica" w:eastAsia="Helvetica"/>
                <w:color w:val="000000"/>
                <w:sz w:val="18"/>
              </w:rPr>
              <w:t>Court terme (moins de 6 mois)</w:t>
            </w:r>
          </w:p>
        </w:tc>
      </w:tr>
      <w:tr>
        <w:tc>
          <w:tcPr>
            <w:tcW w:type="dxa" w:w="7143"/>
            <w:shd w:val="clear" w:color="auto" w:fill="CCCCCC"/>
          </w:tcPr>
          <w:p>
            <w:pPr>
              <w:spacing w:after="40" w:before="40" w:line="240" w:lineRule="auto"/>
              <w:jc w:val="left"/>
            </w:pPr>
            <w:r>
              <w:rPr>
                <w:rFonts w:ascii="Helvetica" w:hAnsi="Helvetica" w:cs="Helvetica" w:eastAsia="Helvetica"/>
                <w:b/>
                <w:color w:val="000000"/>
                <w:sz w:val="18"/>
              </w:rPr>
              <w:t>5. Constituer une réserve de liquidité et adopter une politique de placement</w:t>
            </w:r>
          </w:p>
        </w:tc>
        <w:tc>
          <w:tcPr>
            <w:tcW w:type="dxa" w:w="3288"/>
          </w:tcPr>
          <w:p>
            <w:pPr>
              <w:spacing w:after="40" w:before="40" w:line="240" w:lineRule="auto"/>
              <w:jc w:val="left"/>
            </w:pPr>
            <w:r>
              <w:rPr>
                <w:rFonts w:ascii="Helvetica" w:hAnsi="Helvetica" w:cs="Helvetica" w:eastAsia="Helvetica"/>
                <w:color w:val="000000"/>
                <w:sz w:val="18"/>
              </w:rPr>
              <w:t>Moyen terme (6 à 18 mois)</w:t>
            </w:r>
          </w:p>
        </w:tc>
      </w:tr>
      <w:tr>
        <w:tc>
          <w:tcPr>
            <w:tcW w:type="dxa" w:w="7143"/>
            <w:shd w:val="clear" w:color="auto" w:fill="CCCCCC"/>
          </w:tcPr>
          <w:p>
            <w:pPr>
              <w:spacing w:after="40" w:before="40" w:line="240" w:lineRule="auto"/>
              <w:jc w:val="left"/>
            </w:pPr>
            <w:r>
              <w:rPr>
                <w:rFonts w:ascii="Helvetica" w:hAnsi="Helvetica" w:cs="Helvetica" w:eastAsia="Helvetica"/>
                <w:b/>
                <w:color w:val="000000"/>
                <w:sz w:val="18"/>
              </w:rPr>
              <w:t>6. Rééquilibrer la garantie maladie</w:t>
            </w:r>
          </w:p>
        </w:tc>
        <w:tc>
          <w:tcPr>
            <w:tcW w:type="dxa" w:w="3288"/>
            <w:shd w:val="clear" w:color="auto" w:fill="E8E8E8"/>
          </w:tcPr>
          <w:p>
            <w:pPr>
              <w:spacing w:after="40" w:before="40" w:line="240" w:lineRule="auto"/>
              <w:jc w:val="left"/>
            </w:pPr>
            <w:r>
              <w:rPr>
                <w:rFonts w:ascii="Helvetica" w:hAnsi="Helvetica" w:cs="Helvetica" w:eastAsia="Helvetica"/>
                <w:color w:val="000000"/>
                <w:sz w:val="18"/>
              </w:rPr>
              <w:t>Moyen terme (6 à 18 mois)</w:t>
            </w:r>
          </w:p>
        </w:tc>
      </w:tr>
      <w:tr>
        <w:tc>
          <w:tcPr>
            <w:tcW w:type="dxa" w:w="7143"/>
            <w:shd w:val="clear" w:color="auto" w:fill="CCCCCC"/>
          </w:tcPr>
          <w:p>
            <w:pPr>
              <w:spacing w:after="40" w:before="40" w:line="240" w:lineRule="auto"/>
              <w:jc w:val="left"/>
            </w:pPr>
            <w:r>
              <w:rPr>
                <w:rFonts w:ascii="Helvetica" w:hAnsi="Helvetica" w:cs="Helvetica" w:eastAsia="Helvetica"/>
                <w:b/>
                <w:color w:val="000000"/>
                <w:sz w:val="18"/>
              </w:rPr>
              <w:t>7. Encadrer les investissements dans la clinique, le Grenier et le projet de Cocody</w:t>
            </w:r>
          </w:p>
        </w:tc>
        <w:tc>
          <w:tcPr>
            <w:tcW w:type="dxa" w:w="3288"/>
          </w:tcPr>
          <w:p>
            <w:pPr>
              <w:spacing w:after="40" w:before="40" w:line="240" w:lineRule="auto"/>
              <w:jc w:val="left"/>
            </w:pPr>
            <w:r>
              <w:rPr>
                <w:rFonts w:ascii="Helvetica" w:hAnsi="Helvetica" w:cs="Helvetica" w:eastAsia="Helvetica"/>
                <w:color w:val="000000"/>
                <w:sz w:val="18"/>
              </w:rPr>
              <w:t>Moyen terme (6 à 18 mois)</w:t>
            </w:r>
          </w:p>
        </w:tc>
      </w:tr>
      <w:tr>
        <w:tc>
          <w:tcPr>
            <w:tcW w:type="dxa" w:w="7143"/>
            <w:shd w:val="clear" w:color="auto" w:fill="CCCCCC"/>
          </w:tcPr>
          <w:p>
            <w:pPr>
              <w:spacing w:after="40" w:before="40" w:line="240" w:lineRule="auto"/>
              <w:jc w:val="left"/>
            </w:pPr>
            <w:r>
              <w:rPr>
                <w:rFonts w:ascii="Helvetica" w:hAnsi="Helvetica" w:cs="Helvetica" w:eastAsia="Helvetica"/>
                <w:b/>
                <w:color w:val="000000"/>
                <w:sz w:val="18"/>
              </w:rPr>
              <w:t>8. Faire réaliser l'étude actuarielle des risques longs et certifier les comptes</w:t>
            </w:r>
          </w:p>
        </w:tc>
        <w:tc>
          <w:tcPr>
            <w:tcW w:type="dxa" w:w="3288"/>
            <w:shd w:val="clear" w:color="auto" w:fill="E8E8E8"/>
          </w:tcPr>
          <w:p>
            <w:pPr>
              <w:spacing w:after="40" w:before="40" w:line="240" w:lineRule="auto"/>
              <w:jc w:val="left"/>
            </w:pPr>
            <w:r>
              <w:rPr>
                <w:rFonts w:ascii="Helvetica" w:hAnsi="Helvetica" w:cs="Helvetica" w:eastAsia="Helvetica"/>
                <w:color w:val="000000"/>
                <w:sz w:val="18"/>
              </w:rPr>
              <w:t>Long terme (plus de 18 mois)</w:t>
            </w:r>
          </w:p>
        </w:tc>
      </w:tr>
      <w:tr>
        <w:tc>
          <w:tcPr>
            <w:tcW w:type="dxa" w:w="7143"/>
            <w:shd w:val="clear" w:color="auto" w:fill="CCCCCC"/>
          </w:tcPr>
          <w:p>
            <w:pPr>
              <w:spacing w:after="40" w:before="40" w:line="240" w:lineRule="auto"/>
              <w:jc w:val="left"/>
            </w:pPr>
            <w:r>
              <w:rPr>
                <w:rFonts w:ascii="Helvetica" w:hAnsi="Helvetica" w:cs="Helvetica" w:eastAsia="Helvetica"/>
                <w:b/>
                <w:color w:val="000000"/>
                <w:sz w:val="18"/>
              </w:rPr>
              <w:t>9. Mettre en place un dispositif actuariel permanent</w:t>
            </w:r>
          </w:p>
        </w:tc>
        <w:tc>
          <w:tcPr>
            <w:tcW w:type="dxa" w:w="3288"/>
          </w:tcPr>
          <w:p>
            <w:pPr>
              <w:spacing w:after="40" w:before="40" w:line="240" w:lineRule="auto"/>
              <w:jc w:val="left"/>
            </w:pPr>
            <w:r>
              <w:rPr>
                <w:rFonts w:ascii="Helvetica" w:hAnsi="Helvetica" w:cs="Helvetica" w:eastAsia="Helvetica"/>
                <w:color w:val="000000"/>
                <w:sz w:val="18"/>
              </w:rPr>
              <w:t>Long terme (plus de 18 mois)</w:t>
            </w:r>
          </w:p>
        </w:tc>
      </w:tr>
    </w:tbl>
    <w:p>
      <w:pPr>
        <w:spacing w:after="200"/>
        <w:jc w:val="left"/>
      </w:pPr>
      <w:r>
        <w:rPr>
          <w:rFonts w:ascii="Helvetica" w:hAnsi="Helvetica" w:cs="Helvetica" w:eastAsia="Helvetica"/>
          <w:color w:val="000000"/>
          <w:sz w:val="16"/>
        </w:rPr>
        <w:t>Source : Rapport du 23/10/2026, diapositives 25 et 26.</w:t>
      </w:r>
    </w:p>
    <w:p>
      <w:pPr/>
      <w:r>
        <w:rPr>
          <w:rFonts w:ascii="Helvetica" w:hAnsi="Helvetica" w:cs="Helvetica" w:eastAsia="Helvetica"/>
          <w:i/>
          <w:color w:val="000000"/>
        </w:rPr>
        <w:t>« La matrice de criticité (diapositive 12) croise la gravité de chaque constat et l'horizon de l'action. La feuille de route (diapositive 27) enchaîne quatre étapes : collecter, calculer, vérifier, projeter. »</w:t>
      </w:r>
    </w:p>
    <w:p>
      <w:pPr/>
      <w:r>
        <w:rPr>
          <w:rFonts w:ascii="Helvetica" w:hAnsi="Helvetica" w:cs="Helvetica" w:eastAsia="Helvetica"/>
          <w:b/>
          <w:color w:val="000000"/>
        </w:rPr>
        <w:t>Transition.</w:t>
      </w:r>
      <w:r>
        <w:rPr>
          <w:rFonts w:ascii="Helvetica" w:hAnsi="Helvetica" w:cs="Helvetica" w:eastAsia="Helvetica"/>
          <w:color w:val="000000"/>
        </w:rPr>
        <w:t xml:space="preserve"> </w:t>
      </w:r>
      <w:r>
        <w:rPr>
          <w:rFonts w:ascii="Helvetica" w:hAnsi="Helvetica" w:cs="Helvetica" w:eastAsia="Helvetica"/>
          <w:i/>
          <w:color w:val="000000"/>
        </w:rPr>
        <w:t>« Où en est-on aujourd'hui ? »</w:t>
      </w:r>
    </w:p>
    <w:p>
      <w:pPr>
        <w:pStyle w:val="Heading2"/>
      </w:pPr>
      <w:r>
        <w:t>1.10. LE TAUX D'AVANCEMENT (1 MINUTE)</w:t>
      </w:r>
    </w:p>
    <w:p>
      <w:pPr/>
      <w:r>
        <w:rPr>
          <w:rFonts w:ascii="Helvetica" w:hAnsi="Helvetica" w:cs="Helvetica" w:eastAsia="Helvetica"/>
          <w:b/>
          <w:color w:val="000000"/>
        </w:rPr>
        <w:t>Le message : avec 63,85 % de réalisation, l'avancement est bon pour la partie qui dépend d'Adenka, mais il est à risque pour la partie qui dépend des données du FPPN.</w:t>
      </w:r>
      <w:r>
        <w:rPr>
          <w:rFonts w:ascii="Helvetica" w:hAnsi="Helvetica" w:cs="Helvetica" w:eastAsia="Helvetica"/>
          <w:color w:val="000000"/>
        </w:rPr>
        <w:t xml:space="preserve"> Montrer l'onglet « Synthèse-PT_Actuariat » du plan de travail.</w:t>
      </w:r>
    </w:p>
    <w:p>
      <w:pPr>
        <w:pStyle w:val="ListParagraph"/>
        <w:numPr>
          <w:ilvl w:val="0"/>
          <w:numId w:val="3"/>
        </w:numPr>
        <w:spacing w:after="60"/>
        <w:jc w:val="both"/>
      </w:pPr>
      <w:r>
        <w:rPr>
          <w:rFonts w:ascii="Helvetica" w:hAnsi="Helvetica" w:cs="Helvetica" w:eastAsia="Helvetica"/>
          <w:b/>
          <w:color w:val="000000"/>
        </w:rPr>
        <w:t>Pourquoi c'est un bon avancement.</w:t>
      </w:r>
      <w:r>
        <w:rPr>
          <w:rFonts w:ascii="Helvetica" w:hAnsi="Helvetica" w:cs="Helvetica" w:eastAsia="Helvetica"/>
          <w:color w:val="000000"/>
        </w:rPr>
        <w:t xml:space="preserve"> La mission a démarré le 13/10/2026. Au 23/10/2026, 9 jours ouvrés sur 35 se sont écoulés jusqu'au rapport définitif du 30/11/2026, soit 25,71 % du calendrier, pour 63,85 % des travaux réalisés.</w:t>
      </w:r>
    </w:p>
    <w:p>
      <w:pPr>
        <w:pStyle w:val="ListParagraph"/>
        <w:numPr>
          <w:ilvl w:val="0"/>
          <w:numId w:val="3"/>
        </w:numPr>
        <w:spacing w:after="60"/>
        <w:jc w:val="both"/>
      </w:pPr>
      <w:r>
        <w:rPr>
          <w:rFonts w:ascii="Helvetica" w:hAnsi="Helvetica" w:cs="Helvetica" w:eastAsia="Helvetica"/>
          <w:b/>
          <w:color w:val="000000"/>
        </w:rPr>
        <w:t>Pourquoi il reste un risque.</w:t>
      </w:r>
      <w:r>
        <w:rPr>
          <w:rFonts w:ascii="Helvetica" w:hAnsi="Helvetica" w:cs="Helvetica" w:eastAsia="Helvetica"/>
          <w:color w:val="000000"/>
        </w:rPr>
        <w:t xml:space="preserve"> Le reste (36,15 %) se concentre dans l'évaluation des engagements (54,37 %) et la projection (40,00 %), qui attendent les données du FPPN, et dans la finalisation du rapport (42,00 %), prévue en fin de mission.</w:t>
      </w:r>
    </w:p>
    <w:p>
      <w:pPr>
        <w:pStyle w:val="ListParagraph"/>
        <w:numPr>
          <w:ilvl w:val="0"/>
          <w:numId w:val="3"/>
        </w:numPr>
        <w:spacing w:after="60"/>
        <w:jc w:val="both"/>
      </w:pPr>
      <w:r>
        <w:rPr>
          <w:rFonts w:ascii="Helvetica" w:hAnsi="Helvetica" w:cs="Helvetica" w:eastAsia="Helvetica"/>
          <w:b/>
          <w:color w:val="000000"/>
        </w:rPr>
        <w:t>Ce que cela représente.</w:t>
      </w:r>
      <w:r>
        <w:rPr>
          <w:rFonts w:ascii="Helvetica" w:hAnsi="Helvetica" w:cs="Helvetica" w:eastAsia="Helvetica"/>
          <w:color w:val="000000"/>
        </w:rPr>
        <w:t xml:space="preserve"> Environ 14,10 jours de travail restent à réaliser sur 39 jours estimés, et 20 jours ouvrés séparent le 26/10/2026 de la restitution du 23/11/2026.</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7</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Avancement par phase au 23/10/2026</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3742"/>
        <w:gridCol w:w="1814"/>
        <w:gridCol w:w="4876"/>
      </w:tblGrid>
      <w:tr>
        <w:trPr>
          <w:tblHeader/>
        </w:trPr>
        <w:tc>
          <w:tcPr>
            <w:tcW w:type="dxa" w:w="3742"/>
            <w:shd w:val="clear" w:color="auto" w:fill="000000"/>
          </w:tcPr>
          <w:p>
            <w:pPr>
              <w:spacing w:after="40" w:before="40" w:line="240" w:lineRule="auto"/>
              <w:jc w:val="left"/>
            </w:pPr>
            <w:r>
              <w:rPr>
                <w:rFonts w:ascii="Helvetica" w:hAnsi="Helvetica" w:cs="Helvetica" w:eastAsia="Helvetica"/>
                <w:b/>
                <w:color w:val="FFFFFF"/>
                <w:sz w:val="18"/>
              </w:rPr>
              <w:t>Phase</w:t>
            </w:r>
          </w:p>
        </w:tc>
        <w:tc>
          <w:tcPr>
            <w:tcW w:type="dxa" w:w="1814"/>
            <w:shd w:val="clear" w:color="auto" w:fill="000000"/>
          </w:tcPr>
          <w:p>
            <w:pPr>
              <w:spacing w:after="40" w:before="40" w:line="240" w:lineRule="auto"/>
              <w:jc w:val="center"/>
            </w:pPr>
            <w:r>
              <w:rPr>
                <w:rFonts w:ascii="Helvetica" w:hAnsi="Helvetica" w:cs="Helvetica" w:eastAsia="Helvetica"/>
                <w:b/>
                <w:color w:val="FFFFFF"/>
                <w:sz w:val="18"/>
              </w:rPr>
              <w:t>Taux de réalisation</w:t>
            </w:r>
          </w:p>
        </w:tc>
        <w:tc>
          <w:tcPr>
            <w:tcW w:type="dxa" w:w="4876"/>
            <w:shd w:val="clear" w:color="auto" w:fill="000000"/>
          </w:tcPr>
          <w:p>
            <w:pPr>
              <w:spacing w:after="40" w:before="40" w:line="240" w:lineRule="auto"/>
              <w:jc w:val="center"/>
            </w:pPr>
            <w:r>
              <w:rPr>
                <w:rFonts w:ascii="Helvetica" w:hAnsi="Helvetica" w:cs="Helvetica" w:eastAsia="Helvetica"/>
                <w:b/>
                <w:color w:val="FFFFFF"/>
                <w:sz w:val="18"/>
              </w:rPr>
              <w:t>Ce qui reste</w:t>
            </w:r>
          </w:p>
        </w:tc>
      </w:tr>
      <w:tr>
        <w:tc>
          <w:tcPr>
            <w:tcW w:type="dxa" w:w="3742"/>
            <w:shd w:val="clear" w:color="auto" w:fill="CCCCCC"/>
          </w:tcPr>
          <w:p>
            <w:pPr>
              <w:spacing w:after="40" w:before="40" w:line="240" w:lineRule="auto"/>
              <w:jc w:val="left"/>
            </w:pPr>
            <w:r>
              <w:rPr>
                <w:rFonts w:ascii="Helvetica" w:hAnsi="Helvetica" w:cs="Helvetica" w:eastAsia="Helvetica"/>
                <w:b/>
                <w:color w:val="000000"/>
                <w:sz w:val="18"/>
              </w:rPr>
              <w:t>1. Cadrage : textes, garanties, règles</w:t>
            </w:r>
          </w:p>
        </w:tc>
        <w:tc>
          <w:tcPr>
            <w:tcW w:type="dxa" w:w="1814"/>
          </w:tcPr>
          <w:p>
            <w:pPr>
              <w:spacing w:after="40" w:before="40" w:line="240" w:lineRule="auto"/>
              <w:jc w:val="right"/>
            </w:pPr>
            <w:r>
              <w:rPr>
                <w:rFonts w:ascii="Helvetica" w:hAnsi="Helvetica" w:cs="Helvetica" w:eastAsia="Helvetica"/>
                <w:color w:val="000000"/>
                <w:sz w:val="18"/>
              </w:rPr>
              <w:t>87,50 %</w:t>
            </w:r>
          </w:p>
        </w:tc>
        <w:tc>
          <w:tcPr>
            <w:tcW w:type="dxa" w:w="4876"/>
          </w:tcPr>
          <w:p>
            <w:pPr>
              <w:spacing w:after="40" w:before="40" w:line="240" w:lineRule="auto"/>
              <w:jc w:val="left"/>
            </w:pPr>
            <w:r>
              <w:rPr>
                <w:rFonts w:ascii="Helvetica" w:hAnsi="Helvetica" w:cs="Helvetica" w:eastAsia="Helvetica"/>
                <w:color w:val="000000"/>
                <w:sz w:val="18"/>
              </w:rPr>
              <w:t>Versions des statuts antérieures à 2023, âge de départ du personnel</w:t>
            </w:r>
          </w:p>
        </w:tc>
      </w:tr>
      <w:tr>
        <w:tc>
          <w:tcPr>
            <w:tcW w:type="dxa" w:w="3742"/>
            <w:shd w:val="clear" w:color="auto" w:fill="CCCCCC"/>
          </w:tcPr>
          <w:p>
            <w:pPr>
              <w:spacing w:after="40" w:before="40" w:line="240" w:lineRule="auto"/>
              <w:jc w:val="left"/>
            </w:pPr>
            <w:r>
              <w:rPr>
                <w:rFonts w:ascii="Helvetica" w:hAnsi="Helvetica" w:cs="Helvetica" w:eastAsia="Helvetica"/>
                <w:b/>
                <w:color w:val="000000"/>
                <w:sz w:val="18"/>
              </w:rPr>
              <w:t>2. Contrôle et rapprochement des données</w:t>
            </w:r>
          </w:p>
        </w:tc>
        <w:tc>
          <w:tcPr>
            <w:tcW w:type="dxa" w:w="1814"/>
            <w:shd w:val="clear" w:color="auto" w:fill="E8E8E8"/>
          </w:tcPr>
          <w:p>
            <w:pPr>
              <w:spacing w:after="40" w:before="40" w:line="240" w:lineRule="auto"/>
              <w:jc w:val="right"/>
            </w:pPr>
            <w:r>
              <w:rPr>
                <w:rFonts w:ascii="Helvetica" w:hAnsi="Helvetica" w:cs="Helvetica" w:eastAsia="Helvetica"/>
                <w:color w:val="000000"/>
                <w:sz w:val="18"/>
              </w:rPr>
              <w:t>73,44 %</w:t>
            </w:r>
          </w:p>
        </w:tc>
        <w:tc>
          <w:tcPr>
            <w:tcW w:type="dxa" w:w="4876"/>
            <w:shd w:val="clear" w:color="auto" w:fill="E8E8E8"/>
          </w:tcPr>
          <w:p>
            <w:pPr>
              <w:spacing w:after="40" w:before="40" w:line="240" w:lineRule="auto"/>
              <w:jc w:val="left"/>
            </w:pPr>
            <w:r>
              <w:rPr>
                <w:rFonts w:ascii="Helvetica" w:hAnsi="Helvetica" w:cs="Helvetica" w:eastAsia="Helvetica"/>
                <w:color w:val="000000"/>
                <w:sz w:val="18"/>
              </w:rPr>
              <w:t>Base des prestations datée, comptes individuels d'épargne</w:t>
            </w:r>
          </w:p>
        </w:tc>
      </w:tr>
      <w:tr>
        <w:tc>
          <w:tcPr>
            <w:tcW w:type="dxa" w:w="3742"/>
            <w:shd w:val="clear" w:color="auto" w:fill="CCCCCC"/>
          </w:tcPr>
          <w:p>
            <w:pPr>
              <w:spacing w:after="40" w:before="40" w:line="240" w:lineRule="auto"/>
              <w:jc w:val="left"/>
            </w:pPr>
            <w:r>
              <w:rPr>
                <w:rFonts w:ascii="Helvetica" w:hAnsi="Helvetica" w:cs="Helvetica" w:eastAsia="Helvetica"/>
                <w:b/>
                <w:color w:val="000000"/>
                <w:sz w:val="18"/>
              </w:rPr>
              <w:t>3. Évaluation des engagements</w:t>
            </w:r>
          </w:p>
        </w:tc>
        <w:tc>
          <w:tcPr>
            <w:tcW w:type="dxa" w:w="1814"/>
          </w:tcPr>
          <w:p>
            <w:pPr>
              <w:spacing w:after="40" w:before="40" w:line="240" w:lineRule="auto"/>
              <w:jc w:val="right"/>
            </w:pPr>
            <w:r>
              <w:rPr>
                <w:rFonts w:ascii="Helvetica" w:hAnsi="Helvetica" w:cs="Helvetica" w:eastAsia="Helvetica"/>
                <w:color w:val="000000"/>
                <w:sz w:val="18"/>
              </w:rPr>
              <w:t>54,37 %</w:t>
            </w:r>
          </w:p>
        </w:tc>
        <w:tc>
          <w:tcPr>
            <w:tcW w:type="dxa" w:w="4876"/>
          </w:tcPr>
          <w:p>
            <w:pPr>
              <w:spacing w:after="40" w:before="40" w:line="240" w:lineRule="auto"/>
              <w:jc w:val="left"/>
            </w:pPr>
            <w:r>
              <w:rPr>
                <w:rFonts w:ascii="Helvetica" w:hAnsi="Helvetica" w:cs="Helvetica" w:eastAsia="Helvetica"/>
                <w:color w:val="000000"/>
                <w:sz w:val="18"/>
              </w:rPr>
              <w:t>Calculs par âge, bloqués sans dates de naissance</w:t>
            </w:r>
          </w:p>
        </w:tc>
      </w:tr>
      <w:tr>
        <w:tc>
          <w:tcPr>
            <w:tcW w:type="dxa" w:w="3742"/>
            <w:shd w:val="clear" w:color="auto" w:fill="CCCCCC"/>
          </w:tcPr>
          <w:p>
            <w:pPr>
              <w:spacing w:after="40" w:before="40" w:line="240" w:lineRule="auto"/>
              <w:jc w:val="left"/>
            </w:pPr>
            <w:r>
              <w:rPr>
                <w:rFonts w:ascii="Helvetica" w:hAnsi="Helvetica" w:cs="Helvetica" w:eastAsia="Helvetica"/>
                <w:b/>
                <w:color w:val="000000"/>
                <w:sz w:val="18"/>
              </w:rPr>
              <w:t>4. Revue des provisions</w:t>
            </w:r>
          </w:p>
        </w:tc>
        <w:tc>
          <w:tcPr>
            <w:tcW w:type="dxa" w:w="1814"/>
            <w:shd w:val="clear" w:color="auto" w:fill="E8E8E8"/>
          </w:tcPr>
          <w:p>
            <w:pPr>
              <w:spacing w:after="40" w:before="40" w:line="240" w:lineRule="auto"/>
              <w:jc w:val="right"/>
            </w:pPr>
            <w:r>
              <w:rPr>
                <w:rFonts w:ascii="Helvetica" w:hAnsi="Helvetica" w:cs="Helvetica" w:eastAsia="Helvetica"/>
                <w:color w:val="000000"/>
                <w:sz w:val="18"/>
              </w:rPr>
              <w:t>71,50 %</w:t>
            </w:r>
          </w:p>
        </w:tc>
        <w:tc>
          <w:tcPr>
            <w:tcW w:type="dxa" w:w="4876"/>
            <w:shd w:val="clear" w:color="auto" w:fill="E8E8E8"/>
          </w:tcPr>
          <w:p>
            <w:pPr>
              <w:spacing w:after="40" w:before="40" w:line="240" w:lineRule="auto"/>
              <w:jc w:val="left"/>
            </w:pPr>
            <w:r>
              <w:rPr>
                <w:rFonts w:ascii="Helvetica" w:hAnsi="Helvetica" w:cs="Helvetica" w:eastAsia="Helvetica"/>
                <w:color w:val="000000"/>
                <w:sz w:val="18"/>
              </w:rPr>
              <w:t>Boni et mali par exercice, faute de dates de survenance</w:t>
            </w:r>
          </w:p>
        </w:tc>
      </w:tr>
      <w:tr>
        <w:tc>
          <w:tcPr>
            <w:tcW w:type="dxa" w:w="3742"/>
            <w:shd w:val="clear" w:color="auto" w:fill="CCCCCC"/>
          </w:tcPr>
          <w:p>
            <w:pPr>
              <w:spacing w:after="40" w:before="40" w:line="240" w:lineRule="auto"/>
              <w:jc w:val="left"/>
            </w:pPr>
            <w:r>
              <w:rPr>
                <w:rFonts w:ascii="Helvetica" w:hAnsi="Helvetica" w:cs="Helvetica" w:eastAsia="Helvetica"/>
                <w:b/>
                <w:color w:val="000000"/>
                <w:sz w:val="18"/>
              </w:rPr>
              <w:t>5. Adossement et placements</w:t>
            </w:r>
          </w:p>
        </w:tc>
        <w:tc>
          <w:tcPr>
            <w:tcW w:type="dxa" w:w="1814"/>
          </w:tcPr>
          <w:p>
            <w:pPr>
              <w:spacing w:after="40" w:before="40" w:line="240" w:lineRule="auto"/>
              <w:jc w:val="right"/>
            </w:pPr>
            <w:r>
              <w:rPr>
                <w:rFonts w:ascii="Helvetica" w:hAnsi="Helvetica" w:cs="Helvetica" w:eastAsia="Helvetica"/>
                <w:color w:val="000000"/>
                <w:sz w:val="18"/>
              </w:rPr>
              <w:t>75,62 %</w:t>
            </w:r>
          </w:p>
        </w:tc>
        <w:tc>
          <w:tcPr>
            <w:tcW w:type="dxa" w:w="4876"/>
          </w:tcPr>
          <w:p>
            <w:pPr>
              <w:spacing w:after="40" w:before="40" w:line="240" w:lineRule="auto"/>
              <w:jc w:val="left"/>
            </w:pPr>
            <w:r>
              <w:rPr>
                <w:rFonts w:ascii="Helvetica" w:hAnsi="Helvetica" w:cs="Helvetica" w:eastAsia="Helvetica"/>
                <w:color w:val="000000"/>
                <w:sz w:val="18"/>
              </w:rPr>
              <w:t>Inventaire et échéancier signés des placements</w:t>
            </w:r>
          </w:p>
        </w:tc>
      </w:tr>
      <w:tr>
        <w:tc>
          <w:tcPr>
            <w:tcW w:type="dxa" w:w="3742"/>
            <w:shd w:val="clear" w:color="auto" w:fill="CCCCCC"/>
          </w:tcPr>
          <w:p>
            <w:pPr>
              <w:spacing w:after="40" w:before="40" w:line="240" w:lineRule="auto"/>
              <w:jc w:val="left"/>
            </w:pPr>
            <w:r>
              <w:rPr>
                <w:rFonts w:ascii="Helvetica" w:hAnsi="Helvetica" w:cs="Helvetica" w:eastAsia="Helvetica"/>
                <w:b/>
                <w:color w:val="000000"/>
                <w:sz w:val="18"/>
              </w:rPr>
              <w:t>6. Ratios de l'AIRMS</w:t>
            </w:r>
          </w:p>
        </w:tc>
        <w:tc>
          <w:tcPr>
            <w:tcW w:type="dxa" w:w="1814"/>
            <w:shd w:val="clear" w:color="auto" w:fill="E8E8E8"/>
          </w:tcPr>
          <w:p>
            <w:pPr>
              <w:spacing w:after="40" w:before="40" w:line="240" w:lineRule="auto"/>
              <w:jc w:val="right"/>
            </w:pPr>
            <w:r>
              <w:rPr>
                <w:rFonts w:ascii="Helvetica" w:hAnsi="Helvetica" w:cs="Helvetica" w:eastAsia="Helvetica"/>
                <w:color w:val="000000"/>
                <w:sz w:val="18"/>
              </w:rPr>
              <w:t>87,50 %</w:t>
            </w:r>
          </w:p>
        </w:tc>
        <w:tc>
          <w:tcPr>
            <w:tcW w:type="dxa" w:w="4876"/>
            <w:shd w:val="clear" w:color="auto" w:fill="E8E8E8"/>
          </w:tcPr>
          <w:p>
            <w:pPr>
              <w:spacing w:after="40" w:before="40" w:line="240" w:lineRule="auto"/>
              <w:jc w:val="left"/>
            </w:pPr>
            <w:r>
              <w:rPr>
                <w:rFonts w:ascii="Helvetica" w:hAnsi="Helvetica" w:cs="Helvetica" w:eastAsia="Helvetica"/>
                <w:color w:val="000000"/>
                <w:sz w:val="18"/>
              </w:rPr>
              <w:t>Onze indicateurs de gouvernance en attente de pièces</w:t>
            </w:r>
          </w:p>
        </w:tc>
      </w:tr>
      <w:tr>
        <w:tc>
          <w:tcPr>
            <w:tcW w:type="dxa" w:w="3742"/>
            <w:shd w:val="clear" w:color="auto" w:fill="CCCCCC"/>
          </w:tcPr>
          <w:p>
            <w:pPr>
              <w:spacing w:after="40" w:before="40" w:line="240" w:lineRule="auto"/>
              <w:jc w:val="left"/>
            </w:pPr>
            <w:r>
              <w:rPr>
                <w:rFonts w:ascii="Helvetica" w:hAnsi="Helvetica" w:cs="Helvetica" w:eastAsia="Helvetica"/>
                <w:b/>
                <w:color w:val="000000"/>
                <w:sz w:val="18"/>
              </w:rPr>
              <w:t>7. Projection de l'équilibre technique</w:t>
            </w:r>
          </w:p>
        </w:tc>
        <w:tc>
          <w:tcPr>
            <w:tcW w:type="dxa" w:w="1814"/>
          </w:tcPr>
          <w:p>
            <w:pPr>
              <w:spacing w:after="40" w:before="40" w:line="240" w:lineRule="auto"/>
              <w:jc w:val="right"/>
            </w:pPr>
            <w:r>
              <w:rPr>
                <w:rFonts w:ascii="Helvetica" w:hAnsi="Helvetica" w:cs="Helvetica" w:eastAsia="Helvetica"/>
                <w:color w:val="000000"/>
                <w:sz w:val="18"/>
              </w:rPr>
              <w:t>40,00 %</w:t>
            </w:r>
          </w:p>
        </w:tc>
        <w:tc>
          <w:tcPr>
            <w:tcW w:type="dxa" w:w="4876"/>
          </w:tcPr>
          <w:p>
            <w:pPr>
              <w:spacing w:after="40" w:before="40" w:line="240" w:lineRule="auto"/>
              <w:jc w:val="left"/>
            </w:pPr>
            <w:r>
              <w:rPr>
                <w:rFonts w:ascii="Helvetica" w:hAnsi="Helvetica" w:cs="Helvetica" w:eastAsia="Helvetica"/>
                <w:color w:val="000000"/>
                <w:sz w:val="18"/>
              </w:rPr>
              <w:t>Projection par garantie, après les phases 3 et 4</w:t>
            </w:r>
          </w:p>
        </w:tc>
      </w:tr>
      <w:tr>
        <w:tc>
          <w:tcPr>
            <w:tcW w:type="dxa" w:w="3742"/>
            <w:shd w:val="clear" w:color="auto" w:fill="CCCCCC"/>
          </w:tcPr>
          <w:p>
            <w:pPr>
              <w:spacing w:after="40" w:before="40" w:line="240" w:lineRule="auto"/>
              <w:jc w:val="left"/>
            </w:pPr>
            <w:r>
              <w:rPr>
                <w:rFonts w:ascii="Helvetica" w:hAnsi="Helvetica" w:cs="Helvetica" w:eastAsia="Helvetica"/>
                <w:b/>
                <w:color w:val="000000"/>
                <w:sz w:val="18"/>
              </w:rPr>
              <w:t>8. Rapport et revues</w:t>
            </w:r>
          </w:p>
        </w:tc>
        <w:tc>
          <w:tcPr>
            <w:tcW w:type="dxa" w:w="1814"/>
            <w:shd w:val="clear" w:color="auto" w:fill="E8E8E8"/>
          </w:tcPr>
          <w:p>
            <w:pPr>
              <w:spacing w:after="40" w:before="40" w:line="240" w:lineRule="auto"/>
              <w:jc w:val="right"/>
            </w:pPr>
            <w:r>
              <w:rPr>
                <w:rFonts w:ascii="Helvetica" w:hAnsi="Helvetica" w:cs="Helvetica" w:eastAsia="Helvetica"/>
                <w:color w:val="000000"/>
                <w:sz w:val="18"/>
              </w:rPr>
              <w:t>42,00 %</w:t>
            </w:r>
          </w:p>
        </w:tc>
        <w:tc>
          <w:tcPr>
            <w:tcW w:type="dxa" w:w="4876"/>
            <w:shd w:val="clear" w:color="auto" w:fill="E8E8E8"/>
          </w:tcPr>
          <w:p>
            <w:pPr>
              <w:spacing w:after="40" w:before="40" w:line="240" w:lineRule="auto"/>
              <w:jc w:val="left"/>
            </w:pPr>
            <w:r>
              <w:rPr>
                <w:rFonts w:ascii="Helvetica" w:hAnsi="Helvetica" w:cs="Helvetica" w:eastAsia="Helvetica"/>
                <w:color w:val="000000"/>
                <w:sz w:val="18"/>
              </w:rPr>
              <w:t>Restitution, intégration des commentaires, version définitive</w:t>
            </w:r>
          </w:p>
        </w:tc>
      </w:tr>
      <w:tr>
        <w:tc>
          <w:tcPr>
            <w:tcW w:type="dxa" w:w="3742"/>
            <w:shd w:val="clear" w:color="auto" w:fill="CCCCCC"/>
          </w:tcPr>
          <w:p>
            <w:pPr>
              <w:spacing w:after="40" w:before="40" w:line="240" w:lineRule="auto"/>
              <w:jc w:val="left"/>
            </w:pPr>
            <w:r>
              <w:rPr>
                <w:rFonts w:ascii="Helvetica" w:hAnsi="Helvetica" w:cs="Helvetica" w:eastAsia="Helvetica"/>
                <w:b/>
                <w:color w:val="000000"/>
                <w:sz w:val="18"/>
              </w:rPr>
              <w:t>Ensemble de la mission</w:t>
            </w:r>
          </w:p>
        </w:tc>
        <w:tc>
          <w:tcPr>
            <w:tcW w:type="dxa" w:w="1814"/>
          </w:tcPr>
          <w:p>
            <w:pPr>
              <w:spacing w:after="40" w:before="40" w:line="240" w:lineRule="auto"/>
              <w:jc w:val="right"/>
            </w:pPr>
            <w:r>
              <w:rPr>
                <w:rFonts w:ascii="Helvetica" w:hAnsi="Helvetica" w:cs="Helvetica" w:eastAsia="Helvetica"/>
                <w:b/>
                <w:color w:val="000000"/>
                <w:sz w:val="18"/>
              </w:rPr>
              <w:t>63,85 %</w:t>
            </w:r>
          </w:p>
        </w:tc>
        <w:tc>
          <w:tcPr>
            <w:tcW w:type="dxa" w:w="4876"/>
          </w:tcPr>
          <w:p>
            <w:pPr>
              <w:spacing w:after="40" w:before="40" w:line="240" w:lineRule="auto"/>
              <w:jc w:val="left"/>
            </w:pPr>
            <w:r>
              <w:rPr>
                <w:rFonts w:ascii="Helvetica" w:hAnsi="Helvetica" w:cs="Helvetica" w:eastAsia="Helvetica"/>
                <w:b/>
                <w:color w:val="000000"/>
                <w:sz w:val="18"/>
              </w:rPr>
              <w:t>39 jours estimés dans le scénario « données dégradées »</w:t>
            </w:r>
          </w:p>
        </w:tc>
      </w:tr>
    </w:tbl>
    <w:p>
      <w:pPr>
        <w:spacing w:after="200"/>
        <w:jc w:val="left"/>
      </w:pPr>
      <w:r>
        <w:rPr>
          <w:rFonts w:ascii="Helvetica" w:hAnsi="Helvetica" w:cs="Helvetica" w:eastAsia="Helvetica"/>
          <w:color w:val="000000"/>
          <w:sz w:val="16"/>
        </w:rPr>
        <w:t>Source : FPPN_Plan_de_travail_Actuariat_20261023.xlsx, onglet « Synthèse-PT_Actuariat ». Taux pondérés par le temps estimé de chaque tâche.</w:t>
      </w:r>
    </w:p>
    <w:p>
      <w:pPr/>
      <w:r>
        <w:rPr>
          <w:rFonts w:ascii="Helvetica" w:hAnsi="Helvetica" w:cs="Helvetica" w:eastAsia="Helvetica"/>
          <w:b/>
          <w:color w:val="000000"/>
        </w:rPr>
        <w:t>Transition.</w:t>
      </w:r>
      <w:r>
        <w:rPr>
          <w:rFonts w:ascii="Helvetica" w:hAnsi="Helvetica" w:cs="Helvetica" w:eastAsia="Helvetica"/>
          <w:color w:val="000000"/>
        </w:rPr>
        <w:t xml:space="preserve"> </w:t>
      </w:r>
      <w:r>
        <w:rPr>
          <w:rFonts w:ascii="Helvetica" w:hAnsi="Helvetica" w:cs="Helvetica" w:eastAsia="Helvetica"/>
          <w:i/>
          <w:color w:val="000000"/>
        </w:rPr>
        <w:t>« Pour tenir le calendrier, voici les prochaines étapes. »</w:t>
      </w:r>
    </w:p>
    <w:p>
      <w:pPr>
        <w:pStyle w:val="Heading2"/>
      </w:pPr>
      <w:r>
        <w:t>1.11. LES PROCHAINES ÉTAPES (1 MINUTE)</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8</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Prochaines étapes</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6009"/>
        <w:gridCol w:w="2154"/>
        <w:gridCol w:w="2268"/>
      </w:tblGrid>
      <w:tr>
        <w:trPr>
          <w:tblHeader/>
        </w:trPr>
        <w:tc>
          <w:tcPr>
            <w:tcW w:type="dxa" w:w="6009"/>
            <w:shd w:val="clear" w:color="auto" w:fill="000000"/>
          </w:tcPr>
          <w:p>
            <w:pPr>
              <w:spacing w:after="40" w:before="40" w:line="240" w:lineRule="auto"/>
              <w:jc w:val="left"/>
            </w:pPr>
            <w:r>
              <w:rPr>
                <w:rFonts w:ascii="Helvetica" w:hAnsi="Helvetica" w:cs="Helvetica" w:eastAsia="Helvetica"/>
                <w:b/>
                <w:color w:val="FFFFFF"/>
                <w:sz w:val="18"/>
              </w:rPr>
              <w:t>Étape</w:t>
            </w:r>
          </w:p>
        </w:tc>
        <w:tc>
          <w:tcPr>
            <w:tcW w:type="dxa" w:w="2154"/>
            <w:shd w:val="clear" w:color="auto" w:fill="000000"/>
          </w:tcPr>
          <w:p>
            <w:pPr>
              <w:spacing w:after="40" w:before="40" w:line="240" w:lineRule="auto"/>
              <w:jc w:val="center"/>
            </w:pPr>
            <w:r>
              <w:rPr>
                <w:rFonts w:ascii="Helvetica" w:hAnsi="Helvetica" w:cs="Helvetica" w:eastAsia="Helvetica"/>
                <w:b/>
                <w:color w:val="FFFFFF"/>
                <w:sz w:val="18"/>
              </w:rPr>
              <w:t>Qui</w:t>
            </w:r>
          </w:p>
        </w:tc>
        <w:tc>
          <w:tcPr>
            <w:tcW w:type="dxa" w:w="2268"/>
            <w:shd w:val="clear" w:color="auto" w:fill="000000"/>
          </w:tcPr>
          <w:p>
            <w:pPr>
              <w:spacing w:after="40" w:before="40" w:line="240" w:lineRule="auto"/>
              <w:jc w:val="center"/>
            </w:pPr>
            <w:r>
              <w:rPr>
                <w:rFonts w:ascii="Helvetica" w:hAnsi="Helvetica" w:cs="Helvetica" w:eastAsia="Helvetica"/>
                <w:b/>
                <w:color w:val="FFFFFF"/>
                <w:sz w:val="18"/>
              </w:rPr>
              <w:t>Quand</w:t>
            </w:r>
          </w:p>
        </w:tc>
      </w:tr>
      <w:tr>
        <w:tc>
          <w:tcPr>
            <w:tcW w:type="dxa" w:w="6009"/>
            <w:shd w:val="clear" w:color="auto" w:fill="CCCCCC"/>
          </w:tcPr>
          <w:p>
            <w:pPr>
              <w:spacing w:after="40" w:before="40" w:line="240" w:lineRule="auto"/>
              <w:jc w:val="left"/>
            </w:pPr>
            <w:r>
              <w:rPr>
                <w:rFonts w:ascii="Helvetica" w:hAnsi="Helvetica" w:cs="Helvetica" w:eastAsia="Helvetica"/>
                <w:b/>
                <w:color w:val="000000"/>
                <w:sz w:val="18"/>
              </w:rPr>
              <w:t>Envoyer au FPPN la liste des 26 questions et 84 documents, avec une date limite de réponse</w:t>
            </w:r>
          </w:p>
        </w:tc>
        <w:tc>
          <w:tcPr>
            <w:tcW w:type="dxa" w:w="2154"/>
          </w:tcPr>
          <w:p>
            <w:pPr>
              <w:spacing w:after="40" w:before="40" w:line="240" w:lineRule="auto"/>
              <w:jc w:val="left"/>
            </w:pPr>
            <w:r>
              <w:rPr>
                <w:rFonts w:ascii="Helvetica" w:hAnsi="Helvetica" w:cs="Helvetica" w:eastAsia="Helvetica"/>
                <w:color w:val="000000"/>
                <w:sz w:val="18"/>
              </w:rPr>
              <w:t>Adenka</w:t>
            </w:r>
          </w:p>
        </w:tc>
        <w:tc>
          <w:tcPr>
            <w:tcW w:type="dxa" w:w="2268"/>
          </w:tcPr>
          <w:p>
            <w:pPr>
              <w:spacing w:after="40" w:before="40" w:line="240" w:lineRule="auto"/>
              <w:jc w:val="left"/>
            </w:pPr>
            <w:r>
              <w:rPr>
                <w:rFonts w:ascii="Helvetica" w:hAnsi="Helvetica" w:cs="Helvetica" w:eastAsia="Helvetica"/>
                <w:color w:val="000000"/>
                <w:sz w:val="18"/>
              </w:rPr>
              <w:t>Dès validation interne</w:t>
            </w:r>
          </w:p>
        </w:tc>
      </w:tr>
      <w:tr>
        <w:tc>
          <w:tcPr>
            <w:tcW w:type="dxa" w:w="6009"/>
            <w:shd w:val="clear" w:color="auto" w:fill="CCCCCC"/>
          </w:tcPr>
          <w:p>
            <w:pPr>
              <w:spacing w:after="40" w:before="40" w:line="240" w:lineRule="auto"/>
              <w:jc w:val="left"/>
            </w:pPr>
            <w:r>
              <w:rPr>
                <w:rFonts w:ascii="Helvetica" w:hAnsi="Helvetica" w:cs="Helvetica" w:eastAsia="Helvetica"/>
                <w:b/>
                <w:color w:val="000000"/>
                <w:sz w:val="18"/>
              </w:rPr>
              <w:t>Relancer le FPPN en priorité sur la base des prestations datée, les dates de naissance, les comptes individuels d'épargne et la décision fixant le taux servi</w:t>
            </w:r>
          </w:p>
        </w:tc>
        <w:tc>
          <w:tcPr>
            <w:tcW w:type="dxa" w:w="2154"/>
            <w:shd w:val="clear" w:color="auto" w:fill="E8E8E8"/>
          </w:tcPr>
          <w:p>
            <w:pPr>
              <w:spacing w:after="40" w:before="40" w:line="240" w:lineRule="auto"/>
              <w:jc w:val="left"/>
            </w:pPr>
            <w:r>
              <w:rPr>
                <w:rFonts w:ascii="Helvetica" w:hAnsi="Helvetica" w:cs="Helvetica" w:eastAsia="Helvetica"/>
                <w:color w:val="000000"/>
                <w:sz w:val="18"/>
              </w:rPr>
              <w:t>Adenka et équipe d'audit</w:t>
            </w:r>
          </w:p>
        </w:tc>
        <w:tc>
          <w:tcPr>
            <w:tcW w:type="dxa" w:w="2268"/>
            <w:shd w:val="clear" w:color="auto" w:fill="E8E8E8"/>
          </w:tcPr>
          <w:p>
            <w:pPr>
              <w:spacing w:after="40" w:before="40" w:line="240" w:lineRule="auto"/>
              <w:jc w:val="left"/>
            </w:pPr>
            <w:r>
              <w:rPr>
                <w:rFonts w:ascii="Helvetica" w:hAnsi="Helvetica" w:cs="Helvetica" w:eastAsia="Helvetica"/>
                <w:color w:val="000000"/>
                <w:sz w:val="18"/>
              </w:rPr>
              <w:t>Chaque semaine jusqu'à réception</w:t>
            </w:r>
          </w:p>
        </w:tc>
      </w:tr>
      <w:tr>
        <w:tc>
          <w:tcPr>
            <w:tcW w:type="dxa" w:w="6009"/>
            <w:shd w:val="clear" w:color="auto" w:fill="CCCCCC"/>
          </w:tcPr>
          <w:p>
            <w:pPr>
              <w:spacing w:after="40" w:before="40" w:line="240" w:lineRule="auto"/>
              <w:jc w:val="left"/>
            </w:pPr>
            <w:r>
              <w:rPr>
                <w:rFonts w:ascii="Helvetica" w:hAnsi="Helvetica" w:cs="Helvetica" w:eastAsia="Helvetica"/>
                <w:b/>
                <w:color w:val="000000"/>
                <w:sz w:val="18"/>
              </w:rPr>
              <w:t>Calculer les engagements et les provisions dossier par dossier, puis projeter l'équilibre technique</w:t>
            </w:r>
          </w:p>
        </w:tc>
        <w:tc>
          <w:tcPr>
            <w:tcW w:type="dxa" w:w="2154"/>
          </w:tcPr>
          <w:p>
            <w:pPr>
              <w:spacing w:after="40" w:before="40" w:line="240" w:lineRule="auto"/>
              <w:jc w:val="left"/>
            </w:pPr>
            <w:r>
              <w:rPr>
                <w:rFonts w:ascii="Helvetica" w:hAnsi="Helvetica" w:cs="Helvetica" w:eastAsia="Helvetica"/>
                <w:color w:val="000000"/>
                <w:sz w:val="18"/>
              </w:rPr>
              <w:t>Adenka</w:t>
            </w:r>
          </w:p>
        </w:tc>
        <w:tc>
          <w:tcPr>
            <w:tcW w:type="dxa" w:w="2268"/>
          </w:tcPr>
          <w:p>
            <w:pPr>
              <w:spacing w:after="40" w:before="40" w:line="240" w:lineRule="auto"/>
              <w:jc w:val="left"/>
            </w:pPr>
            <w:r>
              <w:rPr>
                <w:rFonts w:ascii="Helvetica" w:hAnsi="Helvetica" w:cs="Helvetica" w:eastAsia="Helvetica"/>
                <w:color w:val="000000"/>
                <w:sz w:val="18"/>
              </w:rPr>
              <w:t>À réception des données</w:t>
            </w:r>
          </w:p>
        </w:tc>
      </w:tr>
      <w:tr>
        <w:tc>
          <w:tcPr>
            <w:tcW w:type="dxa" w:w="6009"/>
            <w:shd w:val="clear" w:color="auto" w:fill="CCCCCC"/>
          </w:tcPr>
          <w:p>
            <w:pPr>
              <w:spacing w:after="40" w:before="40" w:line="240" w:lineRule="auto"/>
              <w:jc w:val="left"/>
            </w:pPr>
            <w:r>
              <w:rPr>
                <w:rFonts w:ascii="Helvetica" w:hAnsi="Helvetica" w:cs="Helvetica" w:eastAsia="Helvetica"/>
                <w:b/>
                <w:color w:val="000000"/>
                <w:sz w:val="18"/>
              </w:rPr>
              <w:t>Rapprocher les ratios et les placements avec les travaux de l'expert financier</w:t>
            </w:r>
          </w:p>
        </w:tc>
        <w:tc>
          <w:tcPr>
            <w:tcW w:type="dxa" w:w="2154"/>
            <w:shd w:val="clear" w:color="auto" w:fill="E8E8E8"/>
          </w:tcPr>
          <w:p>
            <w:pPr>
              <w:spacing w:after="40" w:before="40" w:line="240" w:lineRule="auto"/>
              <w:jc w:val="left"/>
            </w:pPr>
            <w:r>
              <w:rPr>
                <w:rFonts w:ascii="Helvetica" w:hAnsi="Helvetica" w:cs="Helvetica" w:eastAsia="Helvetica"/>
                <w:color w:val="000000"/>
                <w:sz w:val="18"/>
              </w:rPr>
              <w:t>Adenka et expert financier</w:t>
            </w:r>
          </w:p>
        </w:tc>
        <w:tc>
          <w:tcPr>
            <w:tcW w:type="dxa" w:w="2268"/>
            <w:shd w:val="clear" w:color="auto" w:fill="E8E8E8"/>
          </w:tcPr>
          <w:p>
            <w:pPr>
              <w:spacing w:after="40" w:before="40" w:line="240" w:lineRule="auto"/>
              <w:jc w:val="left"/>
            </w:pPr>
            <w:r>
              <w:rPr>
                <w:rFonts w:ascii="Helvetica" w:hAnsi="Helvetica" w:cs="Helvetica" w:eastAsia="Helvetica"/>
                <w:color w:val="000000"/>
                <w:sz w:val="18"/>
              </w:rPr>
              <w:t>Avant la restitution</w:t>
            </w:r>
          </w:p>
        </w:tc>
      </w:tr>
      <w:tr>
        <w:tc>
          <w:tcPr>
            <w:tcW w:type="dxa" w:w="6009"/>
            <w:shd w:val="clear" w:color="auto" w:fill="CCCCCC"/>
          </w:tcPr>
          <w:p>
            <w:pPr>
              <w:spacing w:after="40" w:before="40" w:line="240" w:lineRule="auto"/>
              <w:jc w:val="left"/>
            </w:pPr>
            <w:r>
              <w:rPr>
                <w:rFonts w:ascii="Helvetica" w:hAnsi="Helvetica" w:cs="Helvetica" w:eastAsia="Helvetica"/>
                <w:b/>
                <w:color w:val="000000"/>
                <w:sz w:val="18"/>
              </w:rPr>
              <w:t>Faire relire le rapport par une seconde personne</w:t>
            </w:r>
          </w:p>
        </w:tc>
        <w:tc>
          <w:tcPr>
            <w:tcW w:type="dxa" w:w="2154"/>
          </w:tcPr>
          <w:p>
            <w:pPr>
              <w:spacing w:after="40" w:before="40" w:line="240" w:lineRule="auto"/>
              <w:jc w:val="left"/>
            </w:pPr>
            <w:r>
              <w:rPr>
                <w:rFonts w:ascii="Helvetica" w:hAnsi="Helvetica" w:cs="Helvetica" w:eastAsia="Helvetica"/>
                <w:color w:val="000000"/>
                <w:sz w:val="18"/>
              </w:rPr>
              <w:t>Adenka</w:t>
            </w:r>
          </w:p>
        </w:tc>
        <w:tc>
          <w:tcPr>
            <w:tcW w:type="dxa" w:w="2268"/>
          </w:tcPr>
          <w:p>
            <w:pPr>
              <w:spacing w:after="40" w:before="40" w:line="240" w:lineRule="auto"/>
              <w:jc w:val="left"/>
            </w:pPr>
            <w:r>
              <w:rPr>
                <w:rFonts w:ascii="Helvetica" w:hAnsi="Helvetica" w:cs="Helvetica" w:eastAsia="Helvetica"/>
                <w:color w:val="000000"/>
                <w:sz w:val="18"/>
              </w:rPr>
              <w:t>Avant la restitution</w:t>
            </w:r>
          </w:p>
        </w:tc>
      </w:tr>
      <w:tr>
        <w:tc>
          <w:tcPr>
            <w:tcW w:type="dxa" w:w="6009"/>
            <w:shd w:val="clear" w:color="auto" w:fill="CCCCCC"/>
          </w:tcPr>
          <w:p>
            <w:pPr>
              <w:spacing w:after="40" w:before="40" w:line="240" w:lineRule="auto"/>
              <w:jc w:val="left"/>
            </w:pPr>
            <w:r>
              <w:rPr>
                <w:rFonts w:ascii="Helvetica" w:hAnsi="Helvetica" w:cs="Helvetica" w:eastAsia="Helvetica"/>
                <w:b/>
                <w:color w:val="000000"/>
                <w:sz w:val="18"/>
              </w:rPr>
              <w:t>Restitution provisoire au FPPN</w:t>
            </w:r>
          </w:p>
        </w:tc>
        <w:tc>
          <w:tcPr>
            <w:tcW w:type="dxa" w:w="2154"/>
            <w:shd w:val="clear" w:color="auto" w:fill="E8E8E8"/>
          </w:tcPr>
          <w:p>
            <w:pPr>
              <w:spacing w:after="40" w:before="40" w:line="240" w:lineRule="auto"/>
              <w:jc w:val="left"/>
            </w:pPr>
            <w:r>
              <w:rPr>
                <w:rFonts w:ascii="Helvetica" w:hAnsi="Helvetica" w:cs="Helvetica" w:eastAsia="Helvetica"/>
                <w:color w:val="000000"/>
                <w:sz w:val="18"/>
              </w:rPr>
              <w:t>Adenka</w:t>
            </w:r>
          </w:p>
        </w:tc>
        <w:tc>
          <w:tcPr>
            <w:tcW w:type="dxa" w:w="2268"/>
            <w:shd w:val="clear" w:color="auto" w:fill="E8E8E8"/>
          </w:tcPr>
          <w:p>
            <w:pPr>
              <w:spacing w:after="40" w:before="40" w:line="240" w:lineRule="auto"/>
              <w:jc w:val="left"/>
            </w:pPr>
            <w:r>
              <w:rPr>
                <w:rFonts w:ascii="Helvetica" w:hAnsi="Helvetica" w:cs="Helvetica" w:eastAsia="Helvetica"/>
                <w:color w:val="000000"/>
                <w:sz w:val="18"/>
              </w:rPr>
              <w:t>23 et 24/11/2026</w:t>
            </w:r>
          </w:p>
        </w:tc>
      </w:tr>
      <w:tr>
        <w:tc>
          <w:tcPr>
            <w:tcW w:type="dxa" w:w="6009"/>
            <w:shd w:val="clear" w:color="auto" w:fill="CCCCCC"/>
          </w:tcPr>
          <w:p>
            <w:pPr>
              <w:spacing w:after="40" w:before="40" w:line="240" w:lineRule="auto"/>
              <w:jc w:val="left"/>
            </w:pPr>
            <w:r>
              <w:rPr>
                <w:rFonts w:ascii="Helvetica" w:hAnsi="Helvetica" w:cs="Helvetica" w:eastAsia="Helvetica"/>
                <w:b/>
                <w:color w:val="000000"/>
                <w:sz w:val="18"/>
              </w:rPr>
              <w:t>Intégration des commentaires du FPPN</w:t>
            </w:r>
          </w:p>
        </w:tc>
        <w:tc>
          <w:tcPr>
            <w:tcW w:type="dxa" w:w="2154"/>
          </w:tcPr>
          <w:p>
            <w:pPr>
              <w:spacing w:after="40" w:before="40" w:line="240" w:lineRule="auto"/>
              <w:jc w:val="left"/>
            </w:pPr>
            <w:r>
              <w:rPr>
                <w:rFonts w:ascii="Helvetica" w:hAnsi="Helvetica" w:cs="Helvetica" w:eastAsia="Helvetica"/>
                <w:color w:val="000000"/>
                <w:sz w:val="18"/>
              </w:rPr>
              <w:t>Adenka</w:t>
            </w:r>
          </w:p>
        </w:tc>
        <w:tc>
          <w:tcPr>
            <w:tcW w:type="dxa" w:w="2268"/>
          </w:tcPr>
          <w:p>
            <w:pPr>
              <w:spacing w:after="40" w:before="40" w:line="240" w:lineRule="auto"/>
              <w:jc w:val="left"/>
            </w:pPr>
            <w:r>
              <w:rPr>
                <w:rFonts w:ascii="Helvetica" w:hAnsi="Helvetica" w:cs="Helvetica" w:eastAsia="Helvetica"/>
                <w:color w:val="000000"/>
                <w:sz w:val="18"/>
              </w:rPr>
              <w:t>Du 25 au 27/11/2026</w:t>
            </w:r>
          </w:p>
        </w:tc>
      </w:tr>
      <w:tr>
        <w:tc>
          <w:tcPr>
            <w:tcW w:type="dxa" w:w="6009"/>
            <w:shd w:val="clear" w:color="auto" w:fill="CCCCCC"/>
          </w:tcPr>
          <w:p>
            <w:pPr>
              <w:spacing w:after="40" w:before="40" w:line="240" w:lineRule="auto"/>
              <w:jc w:val="left"/>
            </w:pPr>
            <w:r>
              <w:rPr>
                <w:rFonts w:ascii="Helvetica" w:hAnsi="Helvetica" w:cs="Helvetica" w:eastAsia="Helvetica"/>
                <w:b/>
                <w:color w:val="000000"/>
                <w:sz w:val="18"/>
              </w:rPr>
              <w:t>Transmission du rapport définitif</w:t>
            </w:r>
          </w:p>
        </w:tc>
        <w:tc>
          <w:tcPr>
            <w:tcW w:type="dxa" w:w="2154"/>
            <w:shd w:val="clear" w:color="auto" w:fill="E8E8E8"/>
          </w:tcPr>
          <w:p>
            <w:pPr>
              <w:spacing w:after="40" w:before="40" w:line="240" w:lineRule="auto"/>
              <w:jc w:val="left"/>
            </w:pPr>
            <w:r>
              <w:rPr>
                <w:rFonts w:ascii="Helvetica" w:hAnsi="Helvetica" w:cs="Helvetica" w:eastAsia="Helvetica"/>
                <w:color w:val="000000"/>
                <w:sz w:val="18"/>
              </w:rPr>
              <w:t>Adenka</w:t>
            </w:r>
          </w:p>
        </w:tc>
        <w:tc>
          <w:tcPr>
            <w:tcW w:type="dxa" w:w="2268"/>
            <w:shd w:val="clear" w:color="auto" w:fill="E8E8E8"/>
          </w:tcPr>
          <w:p>
            <w:pPr>
              <w:spacing w:after="40" w:before="40" w:line="240" w:lineRule="auto"/>
              <w:jc w:val="left"/>
            </w:pPr>
            <w:r>
              <w:rPr>
                <w:rFonts w:ascii="Helvetica" w:hAnsi="Helvetica" w:cs="Helvetica" w:eastAsia="Helvetica"/>
                <w:color w:val="000000"/>
                <w:sz w:val="18"/>
              </w:rPr>
              <w:t>30/11/2026</w:t>
            </w:r>
          </w:p>
        </w:tc>
      </w:tr>
    </w:tbl>
    <w:p>
      <w:pPr>
        <w:spacing w:after="200"/>
        <w:jc w:val="left"/>
      </w:pPr>
      <w:r>
        <w:rPr>
          <w:rFonts w:ascii="Helvetica" w:hAnsi="Helvetica" w:cs="Helvetica" w:eastAsia="Helvetica"/>
          <w:color w:val="000000"/>
          <w:sz w:val="16"/>
        </w:rPr>
        <w:t>Source : Plan de travail du 23/10/2026 ; rapport du 23/10/2026, diapositive 27.</w:t>
      </w:r>
    </w:p>
    <w:p>
      <w:pPr/>
      <w:r>
        <w:rPr>
          <w:rFonts w:ascii="Helvetica" w:hAnsi="Helvetica" w:cs="Helvetica" w:eastAsia="Helvetica"/>
          <w:b/>
          <w:color w:val="000000"/>
        </w:rPr>
        <w:t>Clôture de la présentation.</w:t>
      </w:r>
      <w:r>
        <w:rPr>
          <w:rFonts w:ascii="Helvetica" w:hAnsi="Helvetica" w:cs="Helvetica" w:eastAsia="Helvetica"/>
          <w:color w:val="000000"/>
        </w:rPr>
        <w:t xml:space="preserve"> </w:t>
      </w:r>
      <w:r>
        <w:rPr>
          <w:rFonts w:ascii="Helvetica" w:hAnsi="Helvetica" w:cs="Helvetica" w:eastAsia="Helvetica"/>
          <w:i/>
          <w:color w:val="000000"/>
        </w:rPr>
        <w:t>« En résumé, le travail est avancé et chaque chiffre est vérifiable. Les conclusions sont déjà solides sur l'adossement et les placements. Les montants des engagements et des provisions seront précisés dès que le FPPN transmettra ses données. »</w:t>
      </w:r>
    </w:p>
    <w:p>
      <w:pPr>
        <w:pStyle w:val="Heading2"/>
      </w:pPr>
      <w:r>
        <w:t>1.12. QUESTIONS ET RETOUR AU RAPPORT (7 MINUTES)</w:t>
      </w:r>
    </w:p>
    <w:p>
      <w:pPr/>
      <w:r>
        <w:rPr>
          <w:rFonts w:ascii="Helvetica" w:hAnsi="Helvetica" w:cs="Helvetica" w:eastAsia="Helvetica"/>
          <w:b/>
          <w:color w:val="000000"/>
        </w:rPr>
        <w:t>Laisser le Chief choisir les sujets à approfondir.</w:t>
      </w:r>
      <w:r>
        <w:rPr>
          <w:rFonts w:ascii="Helvetica" w:hAnsi="Helvetica" w:cs="Helvetica" w:eastAsia="Helvetica"/>
          <w:color w:val="000000"/>
        </w:rPr>
        <w:t xml:space="preserve"> La carte du rapport (partie 2) donne la diapositive à ouvrir pour chaque sujet. Les questions les plus probables et leurs réponses figurent en partie 3.</w:t>
      </w:r>
    </w:p>
    <w:p w14:paraId="1CB0F08F" w14:textId="77777777" w:rsidR="006F0CB0" w:rsidRDefault="006F0CB0" w:rsidP="006F0CB0">
      <w:pPr>
        <w:pStyle w:val="Heading1"/>
        <w:spacing w:before="100" w:after="100"/>
        <w:sectPr w:rsidR="006F0CB0" w:rsidSect="00A24B2D">
          <w:pgSz w:w="11906" w:h="16838"/>
          <w:pgMar w:top="720" w:right="720" w:bottom="720" w:left="720" w:header="708" w:footer="708" w:gutter="0"/>
          <w:cols w:space="708"/>
          <w:docGrid w:linePitch="360"/>
        </w:sectPr>
      </w:pPr>
    </w:p>
    <w:p w14:paraId="3E26D7F2" w14:textId="337516F2" w:rsidR="00DD04E3" w:rsidRDefault="003A63CB" w:rsidP="00726C7B">
      <w:r>
        <w:rPr>
          <w:noProof/>
        </w:rPr>
        <mc:AlternateContent>
          <mc:Choice Requires="wps">
            <w:drawing>
              <wp:anchor distT="0" distB="0" distL="114300" distR="114300" simplePos="0" relativeHeight="251658274" behindDoc="0" locked="0" layoutInCell="1" allowOverlap="1" wp14:anchorId="0240CFDF" wp14:editId="1EA7B570">
                <wp:simplePos x="0" y="0"/>
                <wp:positionH relativeFrom="margin">
                  <wp:align>center</wp:align>
                </wp:positionH>
                <wp:positionV relativeFrom="paragraph">
                  <wp:posOffset>-1962785</wp:posOffset>
                </wp:positionV>
                <wp:extent cx="4320000" cy="7010400"/>
                <wp:effectExtent l="0" t="0" r="0" b="0"/>
                <wp:wrapNone/>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320000" cy="7010400"/>
                        </a:xfrm>
                        <a:prstGeom prst="roundRect">
                          <a:avLst>
                            <a:gd name="adj" fmla="val 21502"/>
                          </a:avLst>
                        </a:prstGeom>
                        <a:noFill/>
                      </wps:spPr>
                      <wps:txbx>
                        <w:txbxContent>
                          <w:p w14:paraId="4180C237" w14:textId="77777777" w:rsidR="00926010" w:rsidRPr="003A63CB" w:rsidRDefault="00926010" w:rsidP="00926010">
                            <w:pPr>
                              <w:pStyle w:val="Heading1"/>
                              <w:spacing w:before="100" w:after="100"/>
                              <w:jc w:val="center"/>
                              <w:rPr>
                                <w:color w:val="FFFFFF" w:themeColor="background1"/>
                                <w:sz w:val="48"/>
                                <w:szCs w:val="48"/>
                              </w:rPr>
                            </w:pPr>
                            <w:r w:rsidRPr="003A63CB">
                              <w:rPr>
                                <w:color w:val="FFFFFF" w:themeColor="background1"/>
                                <w:sz w:val="48"/>
                                <w:szCs w:val="48"/>
                              </w:rPr>
                              <w:t>PARTIE 2 :</w:t>
                            </w:r>
                            <w:r w:rsidRPr="003A63CB">
                              <w:rPr>
                                <w:color w:val="FFFFFF" w:themeColor="background1"/>
                                <w:sz w:val="48"/>
                                <w:szCs w:val="48"/>
                              </w:rPr>
                              <w:t xml:space="preserve"> </w:t>
                            </w:r>
                          </w:p>
                          <w:p w14:paraId="03A79D83" w14:textId="77777777" w:rsidR="00926010" w:rsidRPr="003A63CB" w:rsidRDefault="00926010" w:rsidP="00926010">
                            <w:pPr>
                              <w:pStyle w:val="Heading1"/>
                              <w:spacing w:before="100" w:after="100"/>
                              <w:jc w:val="center"/>
                              <w:rPr>
                                <w:rFonts w:asciiTheme="majorHAnsi" w:eastAsiaTheme="majorEastAsia" w:hAnsiTheme="majorHAnsi" w:cstheme="majorBidi"/>
                                <w:i/>
                                <w:iCs/>
                                <w:color w:val="FFFFFF" w:themeColor="background1"/>
                                <w:sz w:val="48"/>
                                <w:szCs w:val="48"/>
                              </w:rPr>
                            </w:pPr>
                            <w:r w:rsidRPr="003A63CB">
                              <w:rPr>
                                <w:color w:val="FFFFFF" w:themeColor="background1"/>
                                <w:sz w:val="48"/>
                                <w:szCs w:val="48"/>
                              </w:rPr>
                              <w:t>PRÉPARATION ET CARTE DU RAPPORT</w:t>
                            </w:r>
                          </w:p>
                        </w:txbxContent>
                      </wps:txbx>
                      <wps:bodyPr rot="0" vert="horz" wrap="square" lIns="91440" tIns="45720" rIns="91440" bIns="45720" anchor="ctr" anchorCtr="0" upright="1">
                        <a:noAutofit/>
                      </wps:bodyPr>
                    </wps:wsp>
                  </a:graphicData>
                </a:graphic>
              </wp:anchor>
            </w:drawing>
          </mc:Choice>
          <mc:Fallback>
            <w:pict>
              <v:roundrect w14:anchorId="0240CFDF" id="Forme automatique 2" o:spid="_x0000_s1033" style="position:absolute;left:0;text-align:left;margin-left:0;margin-top:-154.55pt;width:133.2pt;height:552pt;rotation:90;z-index:251658274;visibility:visible;mso-wrap-style:square;mso-wrap-distance-left:9pt;mso-wrap-distance-top:0;mso-wrap-distance-right:9pt;mso-wrap-distance-bottom:0;mso-position-horizontal:center;mso-position-horizontal-relative:margin;mso-position-vertical:absolute;mso-position-vertical-relative:text;v-text-anchor:middle" arcsize="140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" filled="f" stroked="f">
                <v:textbox>
                  <w:txbxContent>
                    <w:p w14:paraId="4180C237" w14:textId="77777777" w:rsidR="00926010" w:rsidRPr="003A63CB" w:rsidRDefault="00926010" w:rsidP="00926010">
                      <w:pPr>
                        <w:pStyle w:val="Heading1"/>
                        <w:spacing w:before="100" w:after="100"/>
                        <w:jc w:val="center"/>
                        <w:rPr>
                          <w:color w:val="FFFFFF" w:themeColor="background1"/>
                          <w:sz w:val="48"/>
                          <w:szCs w:val="48"/>
                        </w:rPr>
                      </w:pPr>
                      <w:r w:rsidRPr="003A63CB">
                        <w:rPr>
                          <w:color w:val="FFFFFF" w:themeColor="background1"/>
                          <w:sz w:val="48"/>
                          <w:szCs w:val="48"/>
                        </w:rPr>
                        <w:t>PARTIE 2 :</w:t>
                      </w:r>
                      <w:r w:rsidRPr="003A63CB">
                        <w:rPr>
                          <w:color w:val="FFFFFF" w:themeColor="background1"/>
                          <w:sz w:val="48"/>
                          <w:szCs w:val="48"/>
                        </w:rPr>
                        <w:t xml:space="preserve"> </w:t>
                      </w:r>
                    </w:p>
                    <w:p w14:paraId="03A79D83" w14:textId="77777777" w:rsidR="00926010" w:rsidRPr="003A63CB" w:rsidRDefault="00926010" w:rsidP="00926010">
                      <w:pPr>
                        <w:pStyle w:val="Heading1"/>
                        <w:spacing w:before="100" w:after="100"/>
                        <w:jc w:val="center"/>
                        <w:rPr>
                          <w:rFonts w:asciiTheme="majorHAnsi" w:eastAsiaTheme="majorEastAsia" w:hAnsiTheme="majorHAnsi" w:cstheme="majorBidi"/>
                          <w:i/>
                          <w:iCs/>
                          <w:color w:val="FFFFFF" w:themeColor="background1"/>
                          <w:sz w:val="48"/>
                          <w:szCs w:val="48"/>
                        </w:rPr>
                      </w:pPr>
                      <w:r w:rsidRPr="003A63CB">
                        <w:rPr>
                          <w:color w:val="FFFFFF" w:themeColor="background1"/>
                          <w:sz w:val="48"/>
                          <w:szCs w:val="48"/>
                        </w:rPr>
                        <w:t>PRÉPARATION ET CARTE DU RAPPORT</w:t>
                      </w:r>
                    </w:p>
                  </w:txbxContent>
                </v:textbox>
                <w10:wrap type="square" anchorx="margin"/>
              </v:roundrect>
            </w:pict>
          </mc:Fallback>
        </mc:AlternateContent>
      </w:r>
      <w:r w:rsidR="00926010">
        <w:rPr>
          <w:noProof/>
          <w14:ligatures w14:val="standardContextual"/>
        </w:rPr>
        <mc:AlternateContent>
          <mc:Choice Requires="wps">
            <w:drawing>
              <wp:anchor distT="0" distB="0" distL="114300" distR="114300" simplePos="0" relativeHeight="251658242" behindDoc="0" locked="0" layoutInCell="1" allowOverlap="1" wp14:anchorId="140E49DA" wp14:editId="17A22642">
                <wp:simplePos x="0" y="0"/>
                <wp:positionH relativeFrom="column">
                  <wp:posOffset>-480060</wp:posOffset>
                </wp:positionH>
                <wp:positionV relativeFrom="paragraph">
                  <wp:posOffset>-510540</wp:posOffset>
                </wp:positionV>
                <wp:extent cx="7574280" cy="10751820"/>
                <wp:effectExtent l="0" t="0" r="26670" b="11430"/>
                <wp:wrapNone/>
                <wp:docPr id="613672107" name="Rectangle 10"/>
                <wp:cNvGraphicFramePr/>
                <a:graphic xmlns:a="http://schemas.openxmlformats.org/drawingml/2006/main">
                  <a:graphicData uri="http://schemas.microsoft.com/office/word/2010/wordprocessingShape">
                    <wps:wsp>
                      <wps:cNvSpPr/>
                      <wps:spPr>
                        <a:xfrm>
                          <a:off x="0" y="0"/>
                          <a:ext cx="7574280" cy="107518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E9B7977" id="Rectangle 10" o:spid="_x0000_s1026" style="position:absolute;margin-left:-37.8pt;margin-top:-40.2pt;width:596.4pt;height:846.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" fillcolor="black [3200]" strokecolor="black [480]" strokeweight="1.5pt"/>
            </w:pict>
          </mc:Fallback>
        </mc:AlternateContent>
      </w:r>
    </w:p>
    <w:p w14:paraId="29A5A8FC" w14:textId="0772451F" w:rsidR="00DD04E3" w:rsidRPr="00DD04E3" w:rsidRDefault="00DD04E3" w:rsidP="00DD04E3"/>
    <w:p w14:paraId="54310350" w14:textId="03E1B19F" w:rsidR="00DD04E3" w:rsidRPr="00DD04E3" w:rsidRDefault="00DD04E3" w:rsidP="00DD04E3"/>
    <w:p w14:paraId="2C2F6B9F" w14:textId="505262C9" w:rsidR="00DD04E3" w:rsidRPr="00DD04E3" w:rsidRDefault="003837AF" w:rsidP="00DD04E3">
      <w:r w:rsidRPr="00AA366B">
        <w:rPr>
          <w:noProof/>
        </w:rPr>
        <w:drawing>
          <wp:anchor distT="0" distB="0" distL="114300" distR="114300" simplePos="0" relativeHeight="251658267" behindDoc="0" locked="0" layoutInCell="1" allowOverlap="1" wp14:anchorId="2ADCBFCC" wp14:editId="1EA4A307">
            <wp:simplePos x="0" y="0"/>
            <wp:positionH relativeFrom="page">
              <wp:align>left</wp:align>
            </wp:positionH>
            <wp:positionV relativeFrom="paragraph">
              <wp:posOffset>167282</wp:posOffset>
            </wp:positionV>
            <wp:extent cx="7548880" cy="7259894"/>
            <wp:effectExtent l="0" t="0" r="0" b="0"/>
            <wp:wrapNone/>
            <wp:docPr id="1746398683" name="Image 15">
              <a:extLst xmlns:a="http://schemas.openxmlformats.org/drawingml/2006/main">
                <a:ext uri="{FF2B5EF4-FFF2-40B4-BE49-F238E27FC236}">
                  <a16:creationId xmlns:a16="http://schemas.microsoft.com/office/drawing/2014/main" id="{C8AC2246-CCF0-4C0C-B1BE-88C1E8DADC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pic:cNvPicPr>
                      <a:picLocks noChangeAspect="1"/>
                    </pic:cNvPicPr>
                  </pic:nvPicPr>
                  <pic:blipFill rotWithShape="1">
                    <a:blip r:embed="rId13" cstate="print">
                      <a:extLst>
                        <a:ext uri="{28A0092B-C50C-407E-A947-70E740481C1C}">
                          <a14:useLocalDpi xmlns:a14="http://schemas.microsoft.com/office/drawing/2010/main" val="0"/>
                        </a:ext>
                      </a:extLst>
                    </a:blip>
                    <a:srcRect l="-175" t="524" r="-2445" b="9082"/>
                    <a:stretch/>
                  </pic:blipFill>
                  <pic:spPr>
                    <a:xfrm>
                      <a:off x="0" y="0"/>
                      <a:ext cx="7548880" cy="7259894"/>
                    </a:xfrm>
                    <a:prstGeom prst="rect">
                      <a:avLst/>
                    </a:prstGeom>
                  </pic:spPr>
                </pic:pic>
              </a:graphicData>
            </a:graphic>
            <wp14:sizeRelH relativeFrom="margin">
              <wp14:pctWidth>0</wp14:pctWidth>
            </wp14:sizeRelH>
            <wp14:sizeRelV relativeFrom="margin">
              <wp14:pctHeight>0</wp14:pctHeight>
            </wp14:sizeRelV>
          </wp:anchor>
        </w:drawing>
      </w:r>
    </w:p>
    <w:p w14:paraId="70F74645" w14:textId="6F9E7C4C" w:rsidR="00DD04E3" w:rsidRPr="00DD04E3" w:rsidRDefault="00DD04E3" w:rsidP="00DD04E3"/>
    <w:p w14:paraId="637B0362" w14:textId="253E5702" w:rsidR="00DD04E3" w:rsidRPr="00DD04E3" w:rsidRDefault="00DD04E3" w:rsidP="00DD04E3"/>
    <w:p w14:paraId="34F038D6" w14:textId="1AAD29FE" w:rsidR="00DD04E3" w:rsidRPr="00DD04E3" w:rsidRDefault="00DD04E3" w:rsidP="00DD04E3"/>
    <w:p w14:paraId="540BCDAD" w14:textId="7FFC1DA8" w:rsidR="00DD04E3" w:rsidRPr="00DD04E3" w:rsidRDefault="00DD04E3" w:rsidP="00DD04E3"/>
    <w:p w14:paraId="62A538EF" w14:textId="19AAF6CF" w:rsidR="00DD04E3" w:rsidRPr="00DD04E3" w:rsidRDefault="00DD04E3" w:rsidP="00DD04E3"/>
    <w:p w14:paraId="6B21056D" w14:textId="70B266D0" w:rsidR="00DD04E3" w:rsidRPr="00DD04E3" w:rsidRDefault="00DD04E3" w:rsidP="00DD04E3"/>
    <w:p w14:paraId="0803D8BE" w14:textId="7ACBC061" w:rsidR="00DD04E3" w:rsidRPr="00DD04E3" w:rsidRDefault="00DD04E3" w:rsidP="00DD04E3"/>
    <w:p w14:paraId="5CCF2E8E" w14:textId="426E6CC9" w:rsidR="00DD04E3" w:rsidRPr="00DD04E3" w:rsidRDefault="00DD04E3" w:rsidP="00DD04E3"/>
    <w:p w14:paraId="2C7A88BD" w14:textId="77777777" w:rsidR="00DD04E3" w:rsidRPr="00DD04E3" w:rsidRDefault="00DD04E3" w:rsidP="00DD04E3"/>
    <w:p w14:paraId="6C8AEE97" w14:textId="77777777" w:rsidR="00DD04E3" w:rsidRPr="00DD04E3" w:rsidRDefault="00DD04E3" w:rsidP="00DD04E3"/>
    <w:p w14:paraId="193F1F69" w14:textId="77777777" w:rsidR="00DD04E3" w:rsidRPr="00DD04E3" w:rsidRDefault="00DD04E3" w:rsidP="00DD04E3"/>
    <w:p w14:paraId="3E78C07D" w14:textId="77777777" w:rsidR="00DD04E3" w:rsidRPr="00DD04E3" w:rsidRDefault="00DD04E3" w:rsidP="00DD04E3"/>
    <w:p w14:paraId="1833AA50" w14:textId="463C0184" w:rsidR="00DD04E3" w:rsidRPr="00DD04E3" w:rsidRDefault="00DD04E3" w:rsidP="00DD04E3">
      <w:pPr>
        <w:tabs>
          <w:tab w:val="left" w:pos="3384"/>
        </w:tabs>
      </w:pPr>
      <w:r>
        <w:tab/>
      </w:r>
    </w:p>
    <w:p w14:paraId="1A14F53F" w14:textId="77777777" w:rsidR="00DD04E3" w:rsidRPr="00DD04E3" w:rsidRDefault="00DD04E3" w:rsidP="00DD04E3"/>
    <w:p w14:paraId="794C1888" w14:textId="77777777" w:rsidR="00DD04E3" w:rsidRPr="00DD04E3" w:rsidRDefault="00DD04E3" w:rsidP="00DD04E3"/>
    <w:p w14:paraId="3D57E509" w14:textId="77777777" w:rsidR="00DD04E3" w:rsidRPr="00DD04E3" w:rsidRDefault="00DD04E3" w:rsidP="00DD04E3"/>
    <w:p w14:paraId="75AB4326" w14:textId="77777777" w:rsidR="00DD04E3" w:rsidRPr="00DD04E3" w:rsidRDefault="00DD04E3" w:rsidP="00DD04E3"/>
    <w:p w14:paraId="242B9CEF" w14:textId="77777777" w:rsidR="00DD04E3" w:rsidRPr="00DD04E3" w:rsidRDefault="00DD04E3" w:rsidP="00DD04E3">
      <w:pPr>
        <w:sectPr w:rsidR="00DD04E3" w:rsidRPr="00DD04E3" w:rsidSect="00A24B2D">
          <w:pgSz w:w="11906" w:h="16838"/>
          <w:pgMar w:top="720" w:right="720" w:bottom="720" w:left="720" w:header="708" w:footer="708" w:gutter="0"/>
          <w:cols w:space="708"/>
          <w:docGrid w:linePitch="360"/>
        </w:sectPr>
      </w:pPr>
    </w:p>
    <w:p>
      <w:pPr>
        <w:pStyle w:val="Heading1"/>
      </w:pPr>
      <w:r>
        <w:t>PARTIE 2 : PRÉPARATION ET CARTE DU RAPPORT</w:t>
      </w:r>
    </w:p>
    <w:p>
      <w:pPr/>
      <w:r>
        <w:rPr>
          <w:rFonts w:ascii="Helvetica" w:hAnsi="Helvetica" w:cs="Helvetica" w:eastAsia="Helvetica"/>
          <w:color w:val="000000"/>
        </w:rPr>
        <w:t>Cette partie liste ce qu'il faut ouvrir avant la réunion, la carte du rapport et les points à faire arbitrer par le Chief.</w:t>
      </w:r>
    </w:p>
    <w:p>
      <w:pPr>
        <w:pStyle w:val="Heading2"/>
      </w:pPr>
      <w:r>
        <w:t>2.1. DOCUMENTS À OUVRIR</w:t>
      </w:r>
    </w:p>
    <w:p>
      <w:pPr>
        <w:pStyle w:val="ListParagraph"/>
        <w:numPr>
          <w:ilvl w:val="0"/>
          <w:numId w:val="3"/>
        </w:numPr>
        <w:spacing w:after="60"/>
        <w:jc w:val="both"/>
      </w:pPr>
      <w:r>
        <w:rPr>
          <w:rFonts w:ascii="Helvetica" w:hAnsi="Helvetica" w:cs="Helvetica" w:eastAsia="Helvetica"/>
          <w:b/>
          <w:color w:val="000000"/>
        </w:rPr>
        <w:t>Le rapport en PDF</w:t>
      </w:r>
      <w:r>
        <w:rPr>
          <w:rFonts w:ascii="Helvetica" w:hAnsi="Helvetica" w:cs="Helvetica" w:eastAsia="Helvetica"/>
          <w:color w:val="000000"/>
        </w:rPr>
        <w:t xml:space="preserve"> (FPPN_Rapport_actuariel_statistique_20261023.pdf) : plus fluide que le PowerPoint pour sauter d'une page à l'autre.</w:t>
      </w:r>
    </w:p>
    <w:p>
      <w:pPr>
        <w:pStyle w:val="ListParagraph"/>
        <w:numPr>
          <w:ilvl w:val="0"/>
          <w:numId w:val="3"/>
        </w:numPr>
        <w:spacing w:after="60"/>
        <w:jc w:val="both"/>
      </w:pPr>
      <w:r>
        <w:rPr>
          <w:rFonts w:ascii="Helvetica" w:hAnsi="Helvetica" w:cs="Helvetica" w:eastAsia="Helvetica"/>
          <w:b/>
          <w:color w:val="000000"/>
        </w:rPr>
        <w:t>Le classeur de calcul</w:t>
      </w:r>
      <w:r>
        <w:rPr>
          <w:rFonts w:ascii="Helvetica" w:hAnsi="Helvetica" w:cs="Helvetica" w:eastAsia="Helvetica"/>
          <w:color w:val="000000"/>
        </w:rPr>
        <w:t xml:space="preserve"> (FPPN_Calculs_rapport_20261023.xlsx), ouvert sur l'onglet « 0_controle » : il montre que chaque chiffre est recalculé par une formule.</w:t>
      </w:r>
    </w:p>
    <w:p>
      <w:pPr>
        <w:pStyle w:val="ListParagraph"/>
        <w:numPr>
          <w:ilvl w:val="0"/>
          <w:numId w:val="3"/>
        </w:numPr>
        <w:spacing w:after="60"/>
        <w:jc w:val="both"/>
      </w:pPr>
      <w:r>
        <w:rPr>
          <w:rFonts w:ascii="Helvetica" w:hAnsi="Helvetica" w:cs="Helvetica" w:eastAsia="Helvetica"/>
          <w:b/>
          <w:color w:val="000000"/>
        </w:rPr>
        <w:t>Le plan de travail</w:t>
      </w:r>
      <w:r>
        <w:rPr>
          <w:rFonts w:ascii="Helvetica" w:hAnsi="Helvetica" w:cs="Helvetica" w:eastAsia="Helvetica"/>
          <w:color w:val="000000"/>
        </w:rPr>
        <w:t xml:space="preserve"> (FPPN_Plan_de_travail_Actuariat_20261023.xlsx), onglet « Synthèse-PT_Actuariat » : avancement par phase.</w:t>
      </w:r>
    </w:p>
    <w:p>
      <w:pPr>
        <w:pStyle w:val="ListParagraph"/>
        <w:numPr>
          <w:ilvl w:val="0"/>
          <w:numId w:val="3"/>
        </w:numPr>
        <w:spacing w:after="60"/>
        <w:jc w:val="both"/>
      </w:pPr>
      <w:r>
        <w:rPr>
          <w:rFonts w:ascii="Helvetica" w:hAnsi="Helvetica" w:cs="Helvetica" w:eastAsia="Helvetica"/>
          <w:b/>
          <w:color w:val="000000"/>
        </w:rPr>
        <w:t>La liste des demandes au FPPN</w:t>
      </w:r>
      <w:r>
        <w:rPr>
          <w:rFonts w:ascii="Helvetica" w:hAnsi="Helvetica" w:cs="Helvetica" w:eastAsia="Helvetica"/>
          <w:color w:val="000000"/>
        </w:rPr>
        <w:t xml:space="preserve"> (FPPN_Demandes_au_FPPN_20261023.xlsx) : 26 questions et 84 documents attendus.</w:t>
      </w:r>
    </w:p>
    <w:p>
      <w:pPr>
        <w:pStyle w:val="Heading2"/>
      </w:pPr>
      <w:r>
        <w:t>2.2. CONSEILS DE PRÉSENTATION</w:t>
      </w:r>
    </w:p>
    <w:p>
      <w:pPr>
        <w:pStyle w:val="ListParagraph"/>
        <w:numPr>
          <w:ilvl w:val="0"/>
          <w:numId w:val="3"/>
        </w:numPr>
        <w:spacing w:after="60"/>
        <w:jc w:val="both"/>
      </w:pPr>
      <w:r>
        <w:rPr>
          <w:rFonts w:ascii="Helvetica" w:hAnsi="Helvetica" w:cs="Helvetica" w:eastAsia="Helvetica"/>
          <w:b/>
          <w:color w:val="000000"/>
        </w:rPr>
        <w:t>Dérouler les onze étapes sans entrer dans les diapositives de détail.</w:t>
      </w:r>
      <w:r>
        <w:rPr>
          <w:rFonts w:ascii="Helvetica" w:hAnsi="Helvetica" w:cs="Helvetica" w:eastAsia="Helvetica"/>
          <w:color w:val="000000"/>
        </w:rPr>
        <w:t xml:space="preserve"> Le Chief ne connaît pas la mission : il doit d'abord voir l'étendue des travaux.</w:t>
      </w:r>
    </w:p>
    <w:p>
      <w:pPr>
        <w:pStyle w:val="ListParagraph"/>
        <w:numPr>
          <w:ilvl w:val="0"/>
          <w:numId w:val="3"/>
        </w:numPr>
        <w:spacing w:after="60"/>
        <w:jc w:val="both"/>
      </w:pPr>
      <w:r>
        <w:rPr>
          <w:rFonts w:ascii="Helvetica" w:hAnsi="Helvetica" w:cs="Helvetica" w:eastAsia="Helvetica"/>
          <w:b/>
          <w:color w:val="000000"/>
        </w:rPr>
        <w:t>Ne pas lire les tableaux.</w:t>
      </w:r>
      <w:r>
        <w:rPr>
          <w:rFonts w:ascii="Helvetica" w:hAnsi="Helvetica" w:cs="Helvetica" w:eastAsia="Helvetica"/>
          <w:color w:val="000000"/>
        </w:rPr>
        <w:t xml:space="preserve"> Montrer la diapositive, donner le chiffre clé en une phrase, passer à la suite.</w:t>
      </w:r>
    </w:p>
    <w:p>
      <w:pPr>
        <w:pStyle w:val="ListParagraph"/>
        <w:numPr>
          <w:ilvl w:val="0"/>
          <w:numId w:val="3"/>
        </w:numPr>
        <w:spacing w:after="60"/>
        <w:jc w:val="both"/>
      </w:pPr>
      <w:r>
        <w:rPr>
          <w:rFonts w:ascii="Helvetica" w:hAnsi="Helvetica" w:cs="Helvetica" w:eastAsia="Helvetica"/>
          <w:b/>
          <w:color w:val="000000"/>
        </w:rPr>
        <w:t>Garder la carte du rapport à portée de main</w:t>
      </w:r>
      <w:r>
        <w:rPr>
          <w:rFonts w:ascii="Helvetica" w:hAnsi="Helvetica" w:cs="Helvetica" w:eastAsia="Helvetica"/>
          <w:color w:val="000000"/>
        </w:rPr>
        <w:t xml:space="preserve"> : elle permet de retrouver en quelques secondes la diapositive qui répond à une question.</w:t>
      </w:r>
    </w:p>
    <w:p>
      <w:pPr>
        <w:pStyle w:val="ListParagraph"/>
        <w:numPr>
          <w:ilvl w:val="0"/>
          <w:numId w:val="3"/>
        </w:numPr>
        <w:spacing w:after="60"/>
        <w:jc w:val="both"/>
      </w:pPr>
      <w:r>
        <w:rPr>
          <w:rFonts w:ascii="Helvetica" w:hAnsi="Helvetica" w:cs="Helvetica" w:eastAsia="Helvetica"/>
          <w:b/>
          <w:color w:val="000000"/>
        </w:rPr>
        <w:t>Dire clairement ce qui est établi et ce qui reste à confirmer.</w:t>
      </w:r>
    </w:p>
    <w:p>
      <w:pPr>
        <w:pStyle w:val="Heading2"/>
      </w:pPr>
      <w:r>
        <w:t>2.3. CARTE DU RAPPORT</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9</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Carte du rapport du 23/10/2026</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2494"/>
        <w:gridCol w:w="1361"/>
        <w:gridCol w:w="4762"/>
        <w:gridCol w:w="1814"/>
      </w:tblGrid>
      <w:tr>
        <w:trPr>
          <w:tblHeader/>
        </w:trPr>
        <w:tc>
          <w:tcPr>
            <w:tcW w:type="dxa" w:w="2494"/>
            <w:shd w:val="clear" w:color="auto" w:fill="000000"/>
          </w:tcPr>
          <w:p>
            <w:pPr>
              <w:spacing w:after="40" w:before="40" w:line="240" w:lineRule="auto"/>
              <w:jc w:val="left"/>
            </w:pPr>
            <w:r>
              <w:rPr>
                <w:rFonts w:ascii="Helvetica" w:hAnsi="Helvetica" w:cs="Helvetica" w:eastAsia="Helvetica"/>
                <w:b/>
                <w:color w:val="FFFFFF"/>
                <w:sz w:val="18"/>
              </w:rPr>
              <w:t>Partie</w:t>
            </w:r>
          </w:p>
        </w:tc>
        <w:tc>
          <w:tcPr>
            <w:tcW w:type="dxa" w:w="1361"/>
            <w:shd w:val="clear" w:color="auto" w:fill="000000"/>
          </w:tcPr>
          <w:p>
            <w:pPr>
              <w:spacing w:after="40" w:before="40" w:line="240" w:lineRule="auto"/>
              <w:jc w:val="center"/>
            </w:pPr>
            <w:r>
              <w:rPr>
                <w:rFonts w:ascii="Helvetica" w:hAnsi="Helvetica" w:cs="Helvetica" w:eastAsia="Helvetica"/>
                <w:b/>
                <w:color w:val="FFFFFF"/>
                <w:sz w:val="18"/>
              </w:rPr>
              <w:t>Diapositives</w:t>
            </w:r>
          </w:p>
        </w:tc>
        <w:tc>
          <w:tcPr>
            <w:tcW w:type="dxa" w:w="4762"/>
            <w:shd w:val="clear" w:color="auto" w:fill="000000"/>
          </w:tcPr>
          <w:p>
            <w:pPr>
              <w:spacing w:after="40" w:before="40" w:line="240" w:lineRule="auto"/>
              <w:jc w:val="center"/>
            </w:pPr>
            <w:r>
              <w:rPr>
                <w:rFonts w:ascii="Helvetica" w:hAnsi="Helvetica" w:cs="Helvetica" w:eastAsia="Helvetica"/>
                <w:b/>
                <w:color w:val="FFFFFF"/>
                <w:sz w:val="18"/>
              </w:rPr>
              <w:t>Ce qu'elle démontre</w:t>
            </w:r>
          </w:p>
        </w:tc>
        <w:tc>
          <w:tcPr>
            <w:tcW w:type="dxa" w:w="1814"/>
            <w:shd w:val="clear" w:color="auto" w:fill="000000"/>
          </w:tcPr>
          <w:p>
            <w:pPr>
              <w:spacing w:after="40" w:before="40" w:line="240" w:lineRule="auto"/>
              <w:jc w:val="center"/>
            </w:pPr>
            <w:r>
              <w:rPr>
                <w:rFonts w:ascii="Helvetica" w:hAnsi="Helvetica" w:cs="Helvetica" w:eastAsia="Helvetica"/>
                <w:b/>
                <w:color w:val="FFFFFF"/>
                <w:sz w:val="18"/>
              </w:rPr>
              <w:t>À ouvrir si besoin</w:t>
            </w:r>
          </w:p>
        </w:tc>
      </w:tr>
      <w:tr>
        <w:tc>
          <w:tcPr>
            <w:tcW w:type="dxa" w:w="2494"/>
            <w:shd w:val="clear" w:color="auto" w:fill="CCCCCC"/>
          </w:tcPr>
          <w:p>
            <w:pPr>
              <w:spacing w:after="40" w:before="40" w:line="240" w:lineRule="auto"/>
              <w:jc w:val="left"/>
            </w:pPr>
            <w:r>
              <w:rPr>
                <w:rFonts w:ascii="Helvetica" w:hAnsi="Helvetica" w:cs="Helvetica" w:eastAsia="Helvetica"/>
                <w:b/>
                <w:color w:val="000000"/>
                <w:sz w:val="18"/>
              </w:rPr>
              <w:t>Résumé exécutif</w:t>
            </w:r>
          </w:p>
        </w:tc>
        <w:tc>
          <w:tcPr>
            <w:tcW w:type="dxa" w:w="1361"/>
          </w:tcPr>
          <w:p>
            <w:pPr>
              <w:spacing w:after="40" w:before="40" w:line="240" w:lineRule="auto"/>
              <w:jc w:val="left"/>
            </w:pPr>
            <w:r>
              <w:rPr>
                <w:rFonts w:ascii="Helvetica" w:hAnsi="Helvetica" w:cs="Helvetica" w:eastAsia="Helvetica"/>
                <w:color w:val="000000"/>
                <w:sz w:val="18"/>
              </w:rPr>
              <w:t>3 à 27</w:t>
            </w:r>
          </w:p>
        </w:tc>
        <w:tc>
          <w:tcPr>
            <w:tcW w:type="dxa" w:w="4762"/>
          </w:tcPr>
          <w:p>
            <w:pPr>
              <w:spacing w:after="40" w:before="40" w:line="240" w:lineRule="auto"/>
              <w:jc w:val="left"/>
            </w:pPr>
            <w:r>
              <w:rPr>
                <w:rFonts w:ascii="Helvetica" w:hAnsi="Helvetica" w:cs="Helvetica" w:eastAsia="Helvetica"/>
                <w:color w:val="000000"/>
                <w:sz w:val="18"/>
              </w:rPr>
              <w:t>Les réponses, les constats, les matrices et les recommandations</w:t>
            </w:r>
          </w:p>
        </w:tc>
        <w:tc>
          <w:tcPr>
            <w:tcW w:type="dxa" w:w="1814"/>
          </w:tcPr>
          <w:p>
            <w:pPr>
              <w:spacing w:after="40" w:before="40" w:line="240" w:lineRule="auto"/>
              <w:jc w:val="right"/>
            </w:pPr>
            <w:r>
              <w:rPr>
                <w:rFonts w:ascii="Helvetica" w:hAnsi="Helvetica" w:cs="Helvetica" w:eastAsia="Helvetica"/>
                <w:color w:val="000000"/>
                <w:sz w:val="18"/>
              </w:rPr>
              <w:t>4, 10, 23, 25</w:t>
            </w:r>
          </w:p>
        </w:tc>
      </w:tr>
      <w:tr>
        <w:tc>
          <w:tcPr>
            <w:tcW w:type="dxa" w:w="2494"/>
            <w:shd w:val="clear" w:color="auto" w:fill="CCCCCC"/>
          </w:tcPr>
          <w:p>
            <w:pPr>
              <w:spacing w:after="40" w:before="40" w:line="240" w:lineRule="auto"/>
              <w:jc w:val="left"/>
            </w:pPr>
            <w:r>
              <w:rPr>
                <w:rFonts w:ascii="Helvetica" w:hAnsi="Helvetica" w:cs="Helvetica" w:eastAsia="Helvetica"/>
                <w:b/>
                <w:color w:val="000000"/>
                <w:sz w:val="18"/>
              </w:rPr>
              <w:t>1. Comprendre le FPPN</w:t>
            </w:r>
          </w:p>
        </w:tc>
        <w:tc>
          <w:tcPr>
            <w:tcW w:type="dxa" w:w="1361"/>
            <w:shd w:val="clear" w:color="auto" w:fill="E8E8E8"/>
          </w:tcPr>
          <w:p>
            <w:pPr>
              <w:spacing w:after="40" w:before="40" w:line="240" w:lineRule="auto"/>
              <w:jc w:val="left"/>
            </w:pPr>
            <w:r>
              <w:rPr>
                <w:rFonts w:ascii="Helvetica" w:hAnsi="Helvetica" w:cs="Helvetica" w:eastAsia="Helvetica"/>
                <w:color w:val="000000"/>
                <w:sz w:val="18"/>
              </w:rPr>
              <w:t>28 à 40</w:t>
            </w:r>
          </w:p>
        </w:tc>
        <w:tc>
          <w:tcPr>
            <w:tcW w:type="dxa" w:w="4762"/>
            <w:shd w:val="clear" w:color="auto" w:fill="E8E8E8"/>
          </w:tcPr>
          <w:p>
            <w:pPr>
              <w:spacing w:after="40" w:before="40" w:line="240" w:lineRule="auto"/>
              <w:jc w:val="left"/>
            </w:pPr>
            <w:r>
              <w:rPr>
                <w:rFonts w:ascii="Helvetica" w:hAnsi="Helvetica" w:cs="Helvetica" w:eastAsia="Helvetica"/>
                <w:color w:val="000000"/>
                <w:sz w:val="18"/>
              </w:rPr>
              <w:t>Garanties, textes, circuits des cotisations par produit d'après les logigrammes du FPPN</w:t>
            </w:r>
          </w:p>
        </w:tc>
        <w:tc>
          <w:tcPr>
            <w:tcW w:type="dxa" w:w="1814"/>
            <w:shd w:val="clear" w:color="auto" w:fill="E8E8E8"/>
          </w:tcPr>
          <w:p>
            <w:pPr>
              <w:spacing w:after="40" w:before="40" w:line="240" w:lineRule="auto"/>
              <w:jc w:val="left"/>
            </w:pPr>
            <w:r>
              <w:rPr>
                <w:rFonts w:ascii="Helvetica" w:hAnsi="Helvetica" w:cs="Helvetica" w:eastAsia="Helvetica"/>
                <w:color w:val="000000"/>
                <w:sz w:val="18"/>
              </w:rPr>
              <w:t>32, 35 à 38</w:t>
            </w:r>
          </w:p>
        </w:tc>
      </w:tr>
      <w:tr>
        <w:tc>
          <w:tcPr>
            <w:tcW w:type="dxa" w:w="2494"/>
            <w:shd w:val="clear" w:color="auto" w:fill="CCCCCC"/>
          </w:tcPr>
          <w:p>
            <w:pPr>
              <w:spacing w:after="40" w:before="40" w:line="240" w:lineRule="auto"/>
              <w:jc w:val="left"/>
            </w:pPr>
            <w:r>
              <w:rPr>
                <w:rFonts w:ascii="Helvetica" w:hAnsi="Helvetica" w:cs="Helvetica" w:eastAsia="Helvetica"/>
                <w:b/>
                <w:color w:val="000000"/>
                <w:sz w:val="18"/>
              </w:rPr>
              <w:t>2. Contexte et démarche</w:t>
            </w:r>
          </w:p>
        </w:tc>
        <w:tc>
          <w:tcPr>
            <w:tcW w:type="dxa" w:w="1361"/>
          </w:tcPr>
          <w:p>
            <w:pPr>
              <w:spacing w:after="40" w:before="40" w:line="240" w:lineRule="auto"/>
              <w:jc w:val="left"/>
            </w:pPr>
            <w:r>
              <w:rPr>
                <w:rFonts w:ascii="Helvetica" w:hAnsi="Helvetica" w:cs="Helvetica" w:eastAsia="Helvetica"/>
                <w:color w:val="000000"/>
                <w:sz w:val="18"/>
              </w:rPr>
              <w:t>41 à 45</w:t>
            </w:r>
          </w:p>
        </w:tc>
        <w:tc>
          <w:tcPr>
            <w:tcW w:type="dxa" w:w="4762"/>
          </w:tcPr>
          <w:p>
            <w:pPr>
              <w:spacing w:after="40" w:before="40" w:line="240" w:lineRule="auto"/>
              <w:jc w:val="left"/>
            </w:pPr>
            <w:r>
              <w:rPr>
                <w:rFonts w:ascii="Helvetica" w:hAnsi="Helvetica" w:cs="Helvetica" w:eastAsia="Helvetica"/>
                <w:color w:val="000000"/>
                <w:sz w:val="18"/>
              </w:rPr>
              <w:t>Mission, périmètre, documents reçus</w:t>
            </w:r>
          </w:p>
        </w:tc>
        <w:tc>
          <w:tcPr>
            <w:tcW w:type="dxa" w:w="1814"/>
          </w:tcPr>
          <w:p>
            <w:pPr>
              <w:spacing w:after="40" w:before="40" w:line="240" w:lineRule="auto"/>
              <w:jc w:val="right"/>
            </w:pPr>
            <w:r>
              <w:rPr>
                <w:rFonts w:ascii="Helvetica" w:hAnsi="Helvetica" w:cs="Helvetica" w:eastAsia="Helvetica"/>
                <w:color w:val="000000"/>
                <w:sz w:val="18"/>
              </w:rPr>
              <w:t>42, 44</w:t>
            </w:r>
          </w:p>
        </w:tc>
      </w:tr>
      <w:tr>
        <w:tc>
          <w:tcPr>
            <w:tcW w:type="dxa" w:w="2494"/>
            <w:shd w:val="clear" w:color="auto" w:fill="CCCCCC"/>
          </w:tcPr>
          <w:p>
            <w:pPr>
              <w:spacing w:after="40" w:before="40" w:line="240" w:lineRule="auto"/>
              <w:jc w:val="left"/>
            </w:pPr>
            <w:r>
              <w:rPr>
                <w:rFonts w:ascii="Helvetica" w:hAnsi="Helvetica" w:cs="Helvetica" w:eastAsia="Helvetica"/>
                <w:b/>
                <w:color w:val="000000"/>
                <w:sz w:val="18"/>
              </w:rPr>
              <w:t>3. Données et qualité</w:t>
            </w:r>
          </w:p>
        </w:tc>
        <w:tc>
          <w:tcPr>
            <w:tcW w:type="dxa" w:w="1361"/>
            <w:shd w:val="clear" w:color="auto" w:fill="E8E8E8"/>
          </w:tcPr>
          <w:p>
            <w:pPr>
              <w:spacing w:after="40" w:before="40" w:line="240" w:lineRule="auto"/>
              <w:jc w:val="left"/>
            </w:pPr>
            <w:r>
              <w:rPr>
                <w:rFonts w:ascii="Helvetica" w:hAnsi="Helvetica" w:cs="Helvetica" w:eastAsia="Helvetica"/>
                <w:color w:val="000000"/>
                <w:sz w:val="18"/>
              </w:rPr>
              <w:t>46 à 58</w:t>
            </w:r>
          </w:p>
        </w:tc>
        <w:tc>
          <w:tcPr>
            <w:tcW w:type="dxa" w:w="4762"/>
            <w:shd w:val="clear" w:color="auto" w:fill="E8E8E8"/>
          </w:tcPr>
          <w:p>
            <w:pPr>
              <w:spacing w:after="40" w:before="40" w:line="240" w:lineRule="auto"/>
              <w:jc w:val="left"/>
            </w:pPr>
            <w:r>
              <w:rPr>
                <w:rFonts w:ascii="Helvetica" w:hAnsi="Helvetica" w:cs="Helvetica" w:eastAsia="Helvetica"/>
                <w:color w:val="000000"/>
                <w:sz w:val="18"/>
              </w:rPr>
              <w:t>Couverture des fichiers, contrôles, fichiers vides, qualité variable par variable</w:t>
            </w:r>
          </w:p>
        </w:tc>
        <w:tc>
          <w:tcPr>
            <w:tcW w:type="dxa" w:w="1814"/>
            <w:shd w:val="clear" w:color="auto" w:fill="E8E8E8"/>
          </w:tcPr>
          <w:p>
            <w:pPr>
              <w:spacing w:after="40" w:before="40" w:line="240" w:lineRule="auto"/>
              <w:jc w:val="right"/>
            </w:pPr>
            <w:r>
              <w:rPr>
                <w:rFonts w:ascii="Helvetica" w:hAnsi="Helvetica" w:cs="Helvetica" w:eastAsia="Helvetica"/>
                <w:color w:val="000000"/>
                <w:sz w:val="18"/>
              </w:rPr>
              <w:t>48, 53, 54</w:t>
            </w:r>
          </w:p>
        </w:tc>
      </w:tr>
      <w:tr>
        <w:tc>
          <w:tcPr>
            <w:tcW w:type="dxa" w:w="2494"/>
            <w:shd w:val="clear" w:color="auto" w:fill="CCCCCC"/>
          </w:tcPr>
          <w:p>
            <w:pPr>
              <w:spacing w:after="40" w:before="40" w:line="240" w:lineRule="auto"/>
              <w:jc w:val="left"/>
            </w:pPr>
            <w:r>
              <w:rPr>
                <w:rFonts w:ascii="Helvetica" w:hAnsi="Helvetica" w:cs="Helvetica" w:eastAsia="Helvetica"/>
                <w:b/>
                <w:color w:val="000000"/>
                <w:sz w:val="18"/>
              </w:rPr>
              <w:t>4. Effectifs et cotisations</w:t>
            </w:r>
          </w:p>
        </w:tc>
        <w:tc>
          <w:tcPr>
            <w:tcW w:type="dxa" w:w="1361"/>
          </w:tcPr>
          <w:p>
            <w:pPr>
              <w:spacing w:after="40" w:before="40" w:line="240" w:lineRule="auto"/>
              <w:jc w:val="left"/>
            </w:pPr>
            <w:r>
              <w:rPr>
                <w:rFonts w:ascii="Helvetica" w:hAnsi="Helvetica" w:cs="Helvetica" w:eastAsia="Helvetica"/>
                <w:color w:val="000000"/>
                <w:sz w:val="18"/>
              </w:rPr>
              <w:t>59 à 71</w:t>
            </w:r>
          </w:p>
        </w:tc>
        <w:tc>
          <w:tcPr>
            <w:tcW w:type="dxa" w:w="4762"/>
          </w:tcPr>
          <w:p>
            <w:pPr>
              <w:spacing w:after="40" w:before="40" w:line="240" w:lineRule="auto"/>
              <w:jc w:val="left"/>
            </w:pPr>
            <w:r>
              <w:rPr>
                <w:rFonts w:ascii="Helvetica" w:hAnsi="Helvetica" w:cs="Helvetica" w:eastAsia="Helvetica"/>
                <w:color w:val="000000"/>
                <w:sz w:val="18"/>
              </w:rPr>
              <w:t>Effectifs, taux réellement prélevés (3,77 % et 1,23 % au lieu de 3,50 % et 1,50 %)</w:t>
            </w:r>
          </w:p>
        </w:tc>
        <w:tc>
          <w:tcPr>
            <w:tcW w:type="dxa" w:w="1814"/>
          </w:tcPr>
          <w:p>
            <w:pPr>
              <w:spacing w:after="40" w:before="40" w:line="240" w:lineRule="auto"/>
              <w:jc w:val="right"/>
            </w:pPr>
            <w:r>
              <w:rPr>
                <w:rFonts w:ascii="Helvetica" w:hAnsi="Helvetica" w:cs="Helvetica" w:eastAsia="Helvetica"/>
                <w:color w:val="000000"/>
                <w:sz w:val="18"/>
              </w:rPr>
              <w:t>61, 65</w:t>
            </w:r>
          </w:p>
        </w:tc>
      </w:tr>
      <w:tr>
        <w:tc>
          <w:tcPr>
            <w:tcW w:type="dxa" w:w="2494"/>
            <w:shd w:val="clear" w:color="auto" w:fill="CCCCCC"/>
          </w:tcPr>
          <w:p>
            <w:pPr>
              <w:spacing w:after="40" w:before="40" w:line="240" w:lineRule="auto"/>
              <w:jc w:val="left"/>
            </w:pPr>
            <w:r>
              <w:rPr>
                <w:rFonts w:ascii="Helvetica" w:hAnsi="Helvetica" w:cs="Helvetica" w:eastAsia="Helvetica"/>
                <w:b/>
                <w:color w:val="000000"/>
                <w:sz w:val="18"/>
              </w:rPr>
              <w:t>5. Sinistralité et résultat</w:t>
            </w:r>
          </w:p>
        </w:tc>
        <w:tc>
          <w:tcPr>
            <w:tcW w:type="dxa" w:w="1361"/>
            <w:shd w:val="clear" w:color="auto" w:fill="E8E8E8"/>
          </w:tcPr>
          <w:p>
            <w:pPr>
              <w:spacing w:after="40" w:before="40" w:line="240" w:lineRule="auto"/>
              <w:jc w:val="left"/>
            </w:pPr>
            <w:r>
              <w:rPr>
                <w:rFonts w:ascii="Helvetica" w:hAnsi="Helvetica" w:cs="Helvetica" w:eastAsia="Helvetica"/>
                <w:color w:val="000000"/>
                <w:sz w:val="18"/>
              </w:rPr>
              <w:t>72 à 86</w:t>
            </w:r>
          </w:p>
        </w:tc>
        <w:tc>
          <w:tcPr>
            <w:tcW w:type="dxa" w:w="4762"/>
            <w:shd w:val="clear" w:color="auto" w:fill="E8E8E8"/>
          </w:tcPr>
          <w:p>
            <w:pPr>
              <w:spacing w:after="40" w:before="40" w:line="240" w:lineRule="auto"/>
              <w:jc w:val="left"/>
            </w:pPr>
            <w:r>
              <w:rPr>
                <w:rFonts w:ascii="Helvetica" w:hAnsi="Helvetica" w:cs="Helvetica" w:eastAsia="Helvetica"/>
                <w:color w:val="000000"/>
                <w:sz w:val="18"/>
              </w:rPr>
              <w:t>La sinistralité maladie passe de 6,00 % en 2021 à 73,53 % en 2025</w:t>
            </w:r>
          </w:p>
        </w:tc>
        <w:tc>
          <w:tcPr>
            <w:tcW w:type="dxa" w:w="1814"/>
            <w:shd w:val="clear" w:color="auto" w:fill="E8E8E8"/>
          </w:tcPr>
          <w:p>
            <w:pPr>
              <w:spacing w:after="40" w:before="40" w:line="240" w:lineRule="auto"/>
              <w:jc w:val="right"/>
            </w:pPr>
            <w:r>
              <w:rPr>
                <w:rFonts w:ascii="Helvetica" w:hAnsi="Helvetica" w:cs="Helvetica" w:eastAsia="Helvetica"/>
                <w:color w:val="000000"/>
                <w:sz w:val="18"/>
              </w:rPr>
              <w:t>75</w:t>
            </w:r>
          </w:p>
        </w:tc>
      </w:tr>
      <w:tr>
        <w:tc>
          <w:tcPr>
            <w:tcW w:type="dxa" w:w="2494"/>
            <w:shd w:val="clear" w:color="auto" w:fill="CCCCCC"/>
          </w:tcPr>
          <w:p>
            <w:pPr>
              <w:spacing w:after="40" w:before="40" w:line="240" w:lineRule="auto"/>
              <w:jc w:val="left"/>
            </w:pPr>
            <w:r>
              <w:rPr>
                <w:rFonts w:ascii="Helvetica" w:hAnsi="Helvetica" w:cs="Helvetica" w:eastAsia="Helvetica"/>
                <w:b/>
                <w:color w:val="000000"/>
                <w:sz w:val="18"/>
              </w:rPr>
              <w:t>6. Épargne des mutualistes</w:t>
            </w:r>
          </w:p>
        </w:tc>
        <w:tc>
          <w:tcPr>
            <w:tcW w:type="dxa" w:w="1361"/>
          </w:tcPr>
          <w:p>
            <w:pPr>
              <w:spacing w:after="40" w:before="40" w:line="240" w:lineRule="auto"/>
              <w:jc w:val="left"/>
            </w:pPr>
            <w:r>
              <w:rPr>
                <w:rFonts w:ascii="Helvetica" w:hAnsi="Helvetica" w:cs="Helvetica" w:eastAsia="Helvetica"/>
                <w:color w:val="000000"/>
                <w:sz w:val="18"/>
              </w:rPr>
              <w:t>87 à 99</w:t>
            </w:r>
          </w:p>
        </w:tc>
        <w:tc>
          <w:tcPr>
            <w:tcW w:type="dxa" w:w="4762"/>
          </w:tcPr>
          <w:p>
            <w:pPr>
              <w:spacing w:after="40" w:before="40" w:line="240" w:lineRule="auto"/>
              <w:jc w:val="left"/>
            </w:pPr>
            <w:r>
              <w:rPr>
                <w:rFonts w:ascii="Helvetica" w:hAnsi="Helvetica" w:cs="Helvetica" w:eastAsia="Helvetica"/>
                <w:color w:val="000000"/>
                <w:sz w:val="18"/>
              </w:rPr>
              <w:t>Intérêts dus non comptabilisés : 3 278 913 238 FCFA</w:t>
            </w:r>
          </w:p>
        </w:tc>
        <w:tc>
          <w:tcPr>
            <w:tcW w:type="dxa" w:w="1814"/>
          </w:tcPr>
          <w:p>
            <w:pPr>
              <w:spacing w:after="40" w:before="40" w:line="240" w:lineRule="auto"/>
              <w:jc w:val="right"/>
            </w:pPr>
            <w:r>
              <w:rPr>
                <w:rFonts w:ascii="Helvetica" w:hAnsi="Helvetica" w:cs="Helvetica" w:eastAsia="Helvetica"/>
                <w:color w:val="000000"/>
                <w:sz w:val="18"/>
              </w:rPr>
              <w:t>96, 98</w:t>
            </w:r>
          </w:p>
        </w:tc>
      </w:tr>
      <w:tr>
        <w:tc>
          <w:tcPr>
            <w:tcW w:type="dxa" w:w="2494"/>
            <w:shd w:val="clear" w:color="auto" w:fill="CCCCCC"/>
          </w:tcPr>
          <w:p>
            <w:pPr>
              <w:spacing w:after="40" w:before="40" w:line="240" w:lineRule="auto"/>
              <w:jc w:val="left"/>
            </w:pPr>
            <w:r>
              <w:rPr>
                <w:rFonts w:ascii="Helvetica" w:hAnsi="Helvetica" w:cs="Helvetica" w:eastAsia="Helvetica"/>
                <w:b/>
                <w:color w:val="000000"/>
                <w:sz w:val="18"/>
              </w:rPr>
              <w:t>7. Prêts du Grenier</w:t>
            </w:r>
          </w:p>
        </w:tc>
        <w:tc>
          <w:tcPr>
            <w:tcW w:type="dxa" w:w="1361"/>
            <w:shd w:val="clear" w:color="auto" w:fill="E8E8E8"/>
          </w:tcPr>
          <w:p>
            <w:pPr>
              <w:spacing w:after="40" w:before="40" w:line="240" w:lineRule="auto"/>
              <w:jc w:val="left"/>
            </w:pPr>
            <w:r>
              <w:rPr>
                <w:rFonts w:ascii="Helvetica" w:hAnsi="Helvetica" w:cs="Helvetica" w:eastAsia="Helvetica"/>
                <w:color w:val="000000"/>
                <w:sz w:val="18"/>
              </w:rPr>
              <w:t>100 à 108</w:t>
            </w:r>
          </w:p>
        </w:tc>
        <w:tc>
          <w:tcPr>
            <w:tcW w:type="dxa" w:w="4762"/>
            <w:shd w:val="clear" w:color="auto" w:fill="E8E8E8"/>
          </w:tcPr>
          <w:p>
            <w:pPr>
              <w:spacing w:after="40" w:before="40" w:line="240" w:lineRule="auto"/>
              <w:jc w:val="left"/>
            </w:pPr>
            <w:r>
              <w:rPr>
                <w:rFonts w:ascii="Helvetica" w:hAnsi="Helvetica" w:cs="Helvetica" w:eastAsia="Helvetica"/>
                <w:color w:val="000000"/>
                <w:sz w:val="18"/>
              </w:rPr>
              <w:t>Encours de 1 044 302 107 FCFA, sans dépréciation</w:t>
            </w:r>
          </w:p>
        </w:tc>
        <w:tc>
          <w:tcPr>
            <w:tcW w:type="dxa" w:w="1814"/>
            <w:shd w:val="clear" w:color="auto" w:fill="E8E8E8"/>
          </w:tcPr>
          <w:p>
            <w:pPr>
              <w:spacing w:after="40" w:before="40" w:line="240" w:lineRule="auto"/>
              <w:jc w:val="right"/>
            </w:pPr>
            <w:r>
              <w:rPr>
                <w:rFonts w:ascii="Helvetica" w:hAnsi="Helvetica" w:cs="Helvetica" w:eastAsia="Helvetica"/>
                <w:color w:val="000000"/>
                <w:sz w:val="18"/>
              </w:rPr>
              <w:t>102</w:t>
            </w:r>
          </w:p>
        </w:tc>
      </w:tr>
      <w:tr>
        <w:tc>
          <w:tcPr>
            <w:tcW w:type="dxa" w:w="2494"/>
            <w:shd w:val="clear" w:color="auto" w:fill="CCCCCC"/>
          </w:tcPr>
          <w:p>
            <w:pPr>
              <w:spacing w:after="40" w:before="40" w:line="240" w:lineRule="auto"/>
              <w:jc w:val="left"/>
            </w:pPr>
            <w:r>
              <w:rPr>
                <w:rFonts w:ascii="Helvetica" w:hAnsi="Helvetica" w:cs="Helvetica" w:eastAsia="Helvetica"/>
                <w:b/>
                <w:color w:val="000000"/>
                <w:sz w:val="18"/>
              </w:rPr>
              <w:t>8. Retraités et annexes</w:t>
            </w:r>
          </w:p>
        </w:tc>
        <w:tc>
          <w:tcPr>
            <w:tcW w:type="dxa" w:w="1361"/>
          </w:tcPr>
          <w:p>
            <w:pPr>
              <w:spacing w:after="40" w:before="40" w:line="240" w:lineRule="auto"/>
              <w:jc w:val="left"/>
            </w:pPr>
            <w:r>
              <w:rPr>
                <w:rFonts w:ascii="Helvetica" w:hAnsi="Helvetica" w:cs="Helvetica" w:eastAsia="Helvetica"/>
                <w:color w:val="000000"/>
                <w:sz w:val="18"/>
              </w:rPr>
              <w:t>109 à 113</w:t>
            </w:r>
          </w:p>
        </w:tc>
        <w:tc>
          <w:tcPr>
            <w:tcW w:type="dxa" w:w="4762"/>
          </w:tcPr>
          <w:p>
            <w:pPr>
              <w:spacing w:after="40" w:before="40" w:line="240" w:lineRule="auto"/>
              <w:jc w:val="left"/>
            </w:pPr>
            <w:r>
              <w:rPr>
                <w:rFonts w:ascii="Helvetica" w:hAnsi="Helvetica" w:cs="Helvetica" w:eastAsia="Helvetica"/>
                <w:color w:val="000000"/>
                <w:sz w:val="18"/>
              </w:rPr>
              <w:t>Retraités précomptés par la CGRAE, flotte automobile, projets</w:t>
            </w:r>
          </w:p>
        </w:tc>
        <w:tc>
          <w:tcPr>
            <w:tcW w:type="dxa" w:w="1814"/>
          </w:tcPr>
          <w:p>
            <w:pPr>
              <w:spacing w:after="40" w:before="40" w:line="240" w:lineRule="auto"/>
              <w:jc w:val="right"/>
            </w:pPr>
            <w:r>
              <w:rPr>
                <w:rFonts w:ascii="Helvetica" w:hAnsi="Helvetica" w:cs="Helvetica" w:eastAsia="Helvetica"/>
                <w:color w:val="000000"/>
                <w:sz w:val="18"/>
              </w:rPr>
              <w:t>110</w:t>
            </w:r>
          </w:p>
        </w:tc>
      </w:tr>
      <w:tr>
        <w:tc>
          <w:tcPr>
            <w:tcW w:type="dxa" w:w="2494"/>
            <w:shd w:val="clear" w:color="auto" w:fill="CCCCCC"/>
          </w:tcPr>
          <w:p>
            <w:pPr>
              <w:spacing w:after="40" w:before="40" w:line="240" w:lineRule="auto"/>
              <w:jc w:val="left"/>
            </w:pPr>
            <w:r>
              <w:rPr>
                <w:rFonts w:ascii="Helvetica" w:hAnsi="Helvetica" w:cs="Helvetica" w:eastAsia="Helvetica"/>
                <w:b/>
                <w:color w:val="000000"/>
                <w:sz w:val="18"/>
              </w:rPr>
              <w:t>9. Bilan, provisions et placements</w:t>
            </w:r>
          </w:p>
        </w:tc>
        <w:tc>
          <w:tcPr>
            <w:tcW w:type="dxa" w:w="1361"/>
            <w:shd w:val="clear" w:color="auto" w:fill="E8E8E8"/>
          </w:tcPr>
          <w:p>
            <w:pPr>
              <w:spacing w:after="40" w:before="40" w:line="240" w:lineRule="auto"/>
              <w:jc w:val="left"/>
            </w:pPr>
            <w:r>
              <w:rPr>
                <w:rFonts w:ascii="Helvetica" w:hAnsi="Helvetica" w:cs="Helvetica" w:eastAsia="Helvetica"/>
                <w:color w:val="000000"/>
                <w:sz w:val="18"/>
              </w:rPr>
              <w:t>114 à 167</w:t>
            </w:r>
          </w:p>
        </w:tc>
        <w:tc>
          <w:tcPr>
            <w:tcW w:type="dxa" w:w="4762"/>
            <w:shd w:val="clear" w:color="auto" w:fill="E8E8E8"/>
          </w:tcPr>
          <w:p>
            <w:pPr>
              <w:spacing w:after="40" w:before="40" w:line="240" w:lineRule="auto"/>
              <w:jc w:val="left"/>
            </w:pPr>
            <w:r>
              <w:rPr>
                <w:rFonts w:ascii="Helvetica" w:hAnsi="Helvetica" w:cs="Helvetica" w:eastAsia="Helvetica"/>
                <w:color w:val="000000"/>
                <w:sz w:val="18"/>
              </w:rPr>
              <w:t>Provisions recalculées, adossement, tests de résistance, placements</w:t>
            </w:r>
          </w:p>
        </w:tc>
        <w:tc>
          <w:tcPr>
            <w:tcW w:type="dxa" w:w="1814"/>
            <w:shd w:val="clear" w:color="auto" w:fill="E8E8E8"/>
          </w:tcPr>
          <w:p>
            <w:pPr>
              <w:spacing w:after="40" w:before="40" w:line="240" w:lineRule="auto"/>
              <w:jc w:val="right"/>
            </w:pPr>
            <w:r>
              <w:rPr>
                <w:rFonts w:ascii="Helvetica" w:hAnsi="Helvetica" w:cs="Helvetica" w:eastAsia="Helvetica"/>
                <w:color w:val="000000"/>
                <w:sz w:val="18"/>
              </w:rPr>
              <w:t>123, 145, 155, 162</w:t>
            </w:r>
          </w:p>
        </w:tc>
      </w:tr>
      <w:tr>
        <w:tc>
          <w:tcPr>
            <w:tcW w:type="dxa" w:w="2494"/>
            <w:shd w:val="clear" w:color="auto" w:fill="CCCCCC"/>
          </w:tcPr>
          <w:p>
            <w:pPr>
              <w:spacing w:after="40" w:before="40" w:line="240" w:lineRule="auto"/>
              <w:jc w:val="left"/>
            </w:pPr>
            <w:r>
              <w:rPr>
                <w:rFonts w:ascii="Helvetica" w:hAnsi="Helvetica" w:cs="Helvetica" w:eastAsia="Helvetica"/>
                <w:b/>
                <w:color w:val="000000"/>
                <w:sz w:val="18"/>
              </w:rPr>
              <w:t>10. Conformité prudentielle</w:t>
            </w:r>
          </w:p>
        </w:tc>
        <w:tc>
          <w:tcPr>
            <w:tcW w:type="dxa" w:w="1361"/>
          </w:tcPr>
          <w:p>
            <w:pPr>
              <w:spacing w:after="40" w:before="40" w:line="240" w:lineRule="auto"/>
              <w:jc w:val="left"/>
            </w:pPr>
            <w:r>
              <w:rPr>
                <w:rFonts w:ascii="Helvetica" w:hAnsi="Helvetica" w:cs="Helvetica" w:eastAsia="Helvetica"/>
                <w:color w:val="000000"/>
                <w:sz w:val="18"/>
              </w:rPr>
              <w:t>168 à 217</w:t>
            </w:r>
          </w:p>
        </w:tc>
        <w:tc>
          <w:tcPr>
            <w:tcW w:type="dxa" w:w="4762"/>
          </w:tcPr>
          <w:p>
            <w:pPr>
              <w:spacing w:after="40" w:before="40" w:line="240" w:lineRule="auto"/>
              <w:jc w:val="left"/>
            </w:pPr>
            <w:r>
              <w:rPr>
                <w:rFonts w:ascii="Helvetica" w:hAnsi="Helvetica" w:cs="Helvetica" w:eastAsia="Helvetica"/>
                <w:color w:val="000000"/>
                <w:sz w:val="18"/>
              </w:rPr>
              <w:t>Ratios par garantie, 36 ratios de l'UEMOA avec leur définition, sensibilités</w:t>
            </w:r>
          </w:p>
        </w:tc>
        <w:tc>
          <w:tcPr>
            <w:tcW w:type="dxa" w:w="1814"/>
          </w:tcPr>
          <w:p>
            <w:pPr>
              <w:spacing w:after="40" w:before="40" w:line="240" w:lineRule="auto"/>
              <w:jc w:val="right"/>
            </w:pPr>
            <w:r>
              <w:rPr>
                <w:rFonts w:ascii="Helvetica" w:hAnsi="Helvetica" w:cs="Helvetica" w:eastAsia="Helvetica"/>
                <w:color w:val="000000"/>
                <w:sz w:val="18"/>
              </w:rPr>
              <w:t>175, 178, 205</w:t>
            </w:r>
          </w:p>
        </w:tc>
      </w:tr>
      <w:tr>
        <w:tc>
          <w:tcPr>
            <w:tcW w:type="dxa" w:w="2494"/>
            <w:shd w:val="clear" w:color="auto" w:fill="CCCCCC"/>
          </w:tcPr>
          <w:p>
            <w:pPr>
              <w:spacing w:after="40" w:before="40" w:line="240" w:lineRule="auto"/>
              <w:jc w:val="left"/>
            </w:pPr>
            <w:r>
              <w:rPr>
                <w:rFonts w:ascii="Helvetica" w:hAnsi="Helvetica" w:cs="Helvetica" w:eastAsia="Helvetica"/>
                <w:b/>
                <w:color w:val="000000"/>
                <w:sz w:val="18"/>
              </w:rPr>
              <w:t>11. Tables de mortalité</w:t>
            </w:r>
          </w:p>
        </w:tc>
        <w:tc>
          <w:tcPr>
            <w:tcW w:type="dxa" w:w="1361"/>
            <w:shd w:val="clear" w:color="auto" w:fill="E8E8E8"/>
          </w:tcPr>
          <w:p>
            <w:pPr>
              <w:spacing w:after="40" w:before="40" w:line="240" w:lineRule="auto"/>
              <w:jc w:val="left"/>
            </w:pPr>
            <w:r>
              <w:rPr>
                <w:rFonts w:ascii="Helvetica" w:hAnsi="Helvetica" w:cs="Helvetica" w:eastAsia="Helvetica"/>
                <w:color w:val="000000"/>
                <w:sz w:val="18"/>
              </w:rPr>
              <w:t>218 à 224</w:t>
            </w:r>
          </w:p>
        </w:tc>
        <w:tc>
          <w:tcPr>
            <w:tcW w:type="dxa" w:w="4762"/>
            <w:shd w:val="clear" w:color="auto" w:fill="E8E8E8"/>
          </w:tcPr>
          <w:p>
            <w:pPr>
              <w:spacing w:after="40" w:before="40" w:line="240" w:lineRule="auto"/>
              <w:jc w:val="left"/>
            </w:pPr>
            <w:r>
              <w:rPr>
                <w:rFonts w:ascii="Helvetica" w:hAnsi="Helvetica" w:cs="Helvetica" w:eastAsia="Helvetica"/>
                <w:color w:val="000000"/>
                <w:sz w:val="18"/>
              </w:rPr>
              <w:t>Choix des tables pour les calculs par âge</w:t>
            </w:r>
          </w:p>
        </w:tc>
        <w:tc>
          <w:tcPr>
            <w:tcW w:type="dxa" w:w="1814"/>
            <w:shd w:val="clear" w:color="auto" w:fill="E8E8E8"/>
          </w:tcPr>
          <w:p>
            <w:pPr>
              <w:spacing w:after="40" w:before="40" w:line="240" w:lineRule="auto"/>
              <w:jc w:val="right"/>
            </w:pPr>
            <w:r>
              <w:rPr>
                <w:rFonts w:ascii="Helvetica" w:hAnsi="Helvetica" w:cs="Helvetica" w:eastAsia="Helvetica"/>
                <w:color w:val="000000"/>
                <w:sz w:val="18"/>
              </w:rPr>
              <w:t>220</w:t>
            </w:r>
          </w:p>
        </w:tc>
      </w:tr>
      <w:tr>
        <w:tc>
          <w:tcPr>
            <w:tcW w:type="dxa" w:w="2494"/>
            <w:shd w:val="clear" w:color="auto" w:fill="CCCCCC"/>
          </w:tcPr>
          <w:p>
            <w:pPr>
              <w:spacing w:after="40" w:before="40" w:line="240" w:lineRule="auto"/>
              <w:jc w:val="left"/>
            </w:pPr>
            <w:r>
              <w:rPr>
                <w:rFonts w:ascii="Helvetica" w:hAnsi="Helvetica" w:cs="Helvetica" w:eastAsia="Helvetica"/>
                <w:b/>
                <w:color w:val="000000"/>
                <w:sz w:val="18"/>
              </w:rPr>
              <w:t>12. Projection de l'équilibre</w:t>
            </w:r>
          </w:p>
        </w:tc>
        <w:tc>
          <w:tcPr>
            <w:tcW w:type="dxa" w:w="1361"/>
          </w:tcPr>
          <w:p>
            <w:pPr>
              <w:spacing w:after="40" w:before="40" w:line="240" w:lineRule="auto"/>
              <w:jc w:val="left"/>
            </w:pPr>
            <w:r>
              <w:rPr>
                <w:rFonts w:ascii="Helvetica" w:hAnsi="Helvetica" w:cs="Helvetica" w:eastAsia="Helvetica"/>
                <w:color w:val="000000"/>
                <w:sz w:val="18"/>
              </w:rPr>
              <w:t>225 à 228</w:t>
            </w:r>
          </w:p>
        </w:tc>
        <w:tc>
          <w:tcPr>
            <w:tcW w:type="dxa" w:w="4762"/>
          </w:tcPr>
          <w:p>
            <w:pPr>
              <w:spacing w:after="40" w:before="40" w:line="240" w:lineRule="auto"/>
              <w:jc w:val="left"/>
            </w:pPr>
            <w:r>
              <w:rPr>
                <w:rFonts w:ascii="Helvetica" w:hAnsi="Helvetica" w:cs="Helvetica" w:eastAsia="Helvetica"/>
                <w:color w:val="000000"/>
                <w:sz w:val="18"/>
              </w:rPr>
              <w:t>Deux scénarios de 2026 à 2030</w:t>
            </w:r>
          </w:p>
        </w:tc>
        <w:tc>
          <w:tcPr>
            <w:tcW w:type="dxa" w:w="1814"/>
          </w:tcPr>
          <w:p>
            <w:pPr>
              <w:spacing w:after="40" w:before="40" w:line="240" w:lineRule="auto"/>
              <w:jc w:val="right"/>
            </w:pPr>
            <w:r>
              <w:rPr>
                <w:rFonts w:ascii="Helvetica" w:hAnsi="Helvetica" w:cs="Helvetica" w:eastAsia="Helvetica"/>
                <w:color w:val="000000"/>
                <w:sz w:val="18"/>
              </w:rPr>
              <w:t>227</w:t>
            </w:r>
          </w:p>
        </w:tc>
      </w:tr>
      <w:tr>
        <w:tc>
          <w:tcPr>
            <w:tcW w:type="dxa" w:w="2494"/>
            <w:shd w:val="clear" w:color="auto" w:fill="CCCCCC"/>
          </w:tcPr>
          <w:p>
            <w:pPr>
              <w:spacing w:after="40" w:before="40" w:line="240" w:lineRule="auto"/>
              <w:jc w:val="left"/>
            </w:pPr>
            <w:r>
              <w:rPr>
                <w:rFonts w:ascii="Helvetica" w:hAnsi="Helvetica" w:cs="Helvetica" w:eastAsia="Helvetica"/>
                <w:b/>
                <w:color w:val="000000"/>
                <w:sz w:val="18"/>
              </w:rPr>
              <w:t>13. Outils et traçabilité</w:t>
            </w:r>
          </w:p>
        </w:tc>
        <w:tc>
          <w:tcPr>
            <w:tcW w:type="dxa" w:w="1361"/>
            <w:shd w:val="clear" w:color="auto" w:fill="E8E8E8"/>
          </w:tcPr>
          <w:p>
            <w:pPr>
              <w:spacing w:after="40" w:before="40" w:line="240" w:lineRule="auto"/>
              <w:jc w:val="left"/>
            </w:pPr>
            <w:r>
              <w:rPr>
                <w:rFonts w:ascii="Helvetica" w:hAnsi="Helvetica" w:cs="Helvetica" w:eastAsia="Helvetica"/>
                <w:color w:val="000000"/>
                <w:sz w:val="18"/>
              </w:rPr>
              <w:t>229 à 239</w:t>
            </w:r>
          </w:p>
        </w:tc>
        <w:tc>
          <w:tcPr>
            <w:tcW w:type="dxa" w:w="4762"/>
            <w:shd w:val="clear" w:color="auto" w:fill="E8E8E8"/>
          </w:tcPr>
          <w:p>
            <w:pPr>
              <w:spacing w:after="40" w:before="40" w:line="240" w:lineRule="auto"/>
              <w:jc w:val="left"/>
            </w:pPr>
            <w:r>
              <w:rPr>
                <w:rFonts w:ascii="Helvetica" w:hAnsi="Helvetica" w:cs="Helvetica" w:eastAsia="Helvetica"/>
                <w:color w:val="000000"/>
                <w:sz w:val="18"/>
              </w:rPr>
              <w:t>Traitement des données, extraits de code, contrôle des chiffres</w:t>
            </w:r>
          </w:p>
        </w:tc>
        <w:tc>
          <w:tcPr>
            <w:tcW w:type="dxa" w:w="1814"/>
            <w:shd w:val="clear" w:color="auto" w:fill="E8E8E8"/>
          </w:tcPr>
          <w:p>
            <w:pPr>
              <w:spacing w:after="40" w:before="40" w:line="240" w:lineRule="auto"/>
              <w:jc w:val="right"/>
            </w:pPr>
            <w:r>
              <w:rPr>
                <w:rFonts w:ascii="Helvetica" w:hAnsi="Helvetica" w:cs="Helvetica" w:eastAsia="Helvetica"/>
                <w:color w:val="000000"/>
                <w:sz w:val="18"/>
              </w:rPr>
              <w:t>231, 239</w:t>
            </w:r>
          </w:p>
        </w:tc>
      </w:tr>
      <w:tr>
        <w:tc>
          <w:tcPr>
            <w:tcW w:type="dxa" w:w="2494"/>
            <w:shd w:val="clear" w:color="auto" w:fill="CCCCCC"/>
          </w:tcPr>
          <w:p>
            <w:pPr>
              <w:spacing w:after="40" w:before="40" w:line="240" w:lineRule="auto"/>
              <w:jc w:val="left"/>
            </w:pPr>
            <w:r>
              <w:rPr>
                <w:rFonts w:ascii="Helvetica" w:hAnsi="Helvetica" w:cs="Helvetica" w:eastAsia="Helvetica"/>
                <w:b/>
                <w:color w:val="000000"/>
                <w:sz w:val="18"/>
              </w:rPr>
              <w:t>14. Analyses en attente</w:t>
            </w:r>
          </w:p>
        </w:tc>
        <w:tc>
          <w:tcPr>
            <w:tcW w:type="dxa" w:w="1361"/>
          </w:tcPr>
          <w:p>
            <w:pPr>
              <w:spacing w:after="40" w:before="40" w:line="240" w:lineRule="auto"/>
              <w:jc w:val="left"/>
            </w:pPr>
            <w:r>
              <w:rPr>
                <w:rFonts w:ascii="Helvetica" w:hAnsi="Helvetica" w:cs="Helvetica" w:eastAsia="Helvetica"/>
                <w:color w:val="000000"/>
                <w:sz w:val="18"/>
              </w:rPr>
              <w:t>240 à 244</w:t>
            </w:r>
          </w:p>
        </w:tc>
        <w:tc>
          <w:tcPr>
            <w:tcW w:type="dxa" w:w="4762"/>
          </w:tcPr>
          <w:p>
            <w:pPr>
              <w:spacing w:after="40" w:before="40" w:line="240" w:lineRule="auto"/>
              <w:jc w:val="left"/>
            </w:pPr>
            <w:r>
              <w:rPr>
                <w:rFonts w:ascii="Helvetica" w:hAnsi="Helvetica" w:cs="Helvetica" w:eastAsia="Helvetica"/>
                <w:color w:val="000000"/>
                <w:sz w:val="18"/>
              </w:rPr>
              <w:t>Données manquantes, questions au FPPN</w:t>
            </w:r>
          </w:p>
        </w:tc>
        <w:tc>
          <w:tcPr>
            <w:tcW w:type="dxa" w:w="1814"/>
          </w:tcPr>
          <w:p>
            <w:pPr>
              <w:spacing w:after="40" w:before="40" w:line="240" w:lineRule="auto"/>
              <w:jc w:val="right"/>
            </w:pPr>
            <w:r>
              <w:rPr>
                <w:rFonts w:ascii="Helvetica" w:hAnsi="Helvetica" w:cs="Helvetica" w:eastAsia="Helvetica"/>
                <w:color w:val="000000"/>
                <w:sz w:val="18"/>
              </w:rPr>
              <w:t>241, 243</w:t>
            </w:r>
          </w:p>
        </w:tc>
      </w:tr>
      <w:tr>
        <w:tc>
          <w:tcPr>
            <w:tcW w:type="dxa" w:w="2494"/>
            <w:shd w:val="clear" w:color="auto" w:fill="CCCCCC"/>
          </w:tcPr>
          <w:p>
            <w:pPr>
              <w:spacing w:after="40" w:before="40" w:line="240" w:lineRule="auto"/>
              <w:jc w:val="left"/>
            </w:pPr>
            <w:r>
              <w:rPr>
                <w:rFonts w:ascii="Helvetica" w:hAnsi="Helvetica" w:cs="Helvetica" w:eastAsia="Helvetica"/>
                <w:b/>
                <w:color w:val="000000"/>
                <w:sz w:val="18"/>
              </w:rPr>
              <w:t>Annexes</w:t>
            </w:r>
          </w:p>
        </w:tc>
        <w:tc>
          <w:tcPr>
            <w:tcW w:type="dxa" w:w="1361"/>
            <w:shd w:val="clear" w:color="auto" w:fill="E8E8E8"/>
          </w:tcPr>
          <w:p>
            <w:pPr>
              <w:spacing w:after="40" w:before="40" w:line="240" w:lineRule="auto"/>
              <w:jc w:val="left"/>
            </w:pPr>
            <w:r>
              <w:rPr>
                <w:rFonts w:ascii="Helvetica" w:hAnsi="Helvetica" w:cs="Helvetica" w:eastAsia="Helvetica"/>
                <w:color w:val="000000"/>
                <w:sz w:val="18"/>
              </w:rPr>
              <w:t>245 à 291</w:t>
            </w:r>
          </w:p>
        </w:tc>
        <w:tc>
          <w:tcPr>
            <w:tcW w:type="dxa" w:w="4762"/>
            <w:shd w:val="clear" w:color="auto" w:fill="E8E8E8"/>
          </w:tcPr>
          <w:p>
            <w:pPr>
              <w:spacing w:after="40" w:before="40" w:line="240" w:lineRule="auto"/>
              <w:jc w:val="left"/>
            </w:pPr>
            <w:r>
              <w:rPr>
                <w:rFonts w:ascii="Helvetica" w:hAnsi="Helvetica" w:cs="Helvetica" w:eastAsia="Helvetica"/>
                <w:color w:val="000000"/>
                <w:sz w:val="18"/>
              </w:rPr>
              <w:t>Méthodes écartées, fichiers sources, formules, validité, abréviations</w:t>
            </w:r>
          </w:p>
        </w:tc>
        <w:tc>
          <w:tcPr>
            <w:tcW w:type="dxa" w:w="1814"/>
            <w:shd w:val="clear" w:color="auto" w:fill="E8E8E8"/>
          </w:tcPr>
          <w:p>
            <w:pPr>
              <w:spacing w:after="40" w:before="40" w:line="240" w:lineRule="auto"/>
              <w:jc w:val="right"/>
            </w:pPr>
            <w:r>
              <w:rPr>
                <w:rFonts w:ascii="Helvetica" w:hAnsi="Helvetica" w:cs="Helvetica" w:eastAsia="Helvetica"/>
                <w:color w:val="000000"/>
                <w:sz w:val="18"/>
              </w:rPr>
              <w:t>246, 257</w:t>
            </w:r>
          </w:p>
        </w:tc>
      </w:tr>
    </w:tbl>
    <w:p>
      <w:pPr>
        <w:spacing w:after="200"/>
        <w:jc w:val="left"/>
      </w:pPr>
      <w:r>
        <w:rPr>
          <w:rFonts w:ascii="Helvetica" w:hAnsi="Helvetica" w:cs="Helvetica" w:eastAsia="Helvetica"/>
          <w:color w:val="000000"/>
          <w:sz w:val="16"/>
        </w:rPr>
        <w:t>Source : Rapport du 23/10/2026 (291 diapositives).</w:t>
      </w:r>
    </w:p>
    <w:p>
      <w:pPr>
        <w:pStyle w:val="Heading2"/>
      </w:pPr>
      <w:r>
        <w:t>2.4. POINTS À FAIRE ARBITRER PAR LE CHIEF</w:t>
      </w:r>
    </w:p>
    <w:p>
      <w:pPr>
        <w:pStyle w:val="ListParagraph"/>
        <w:numPr>
          <w:ilvl w:val="0"/>
          <w:numId w:val="3"/>
        </w:numPr>
        <w:spacing w:after="60"/>
        <w:jc w:val="both"/>
      </w:pPr>
      <w:r>
        <w:rPr>
          <w:rFonts w:ascii="Helvetica" w:hAnsi="Helvetica" w:cs="Helvetica" w:eastAsia="Helvetica"/>
          <w:b/>
          <w:color w:val="000000"/>
        </w:rPr>
        <w:t>La formulation des verdicts « insuffisant »</w:t>
      </w:r>
      <w:r>
        <w:rPr>
          <w:rFonts w:ascii="Helvetica" w:hAnsi="Helvetica" w:cs="Helvetica" w:eastAsia="Helvetica"/>
          <w:color w:val="000000"/>
        </w:rPr>
        <w:t xml:space="preserve"> et de l'enjeu de retrait d'agrément avant la restitution au FPPN.</w:t>
      </w:r>
    </w:p>
    <w:p>
      <w:pPr>
        <w:pStyle w:val="ListParagraph"/>
        <w:numPr>
          <w:ilvl w:val="0"/>
          <w:numId w:val="3"/>
        </w:numPr>
        <w:spacing w:after="60"/>
        <w:jc w:val="both"/>
      </w:pPr>
      <w:r>
        <w:rPr>
          <w:rFonts w:ascii="Helvetica" w:hAnsi="Helvetica" w:cs="Helvetica" w:eastAsia="Helvetica"/>
          <w:b/>
          <w:color w:val="000000"/>
        </w:rPr>
        <w:t>L'envoi au FPPN de la liste des 26 questions et 84 documents</w:t>
      </w:r>
      <w:r>
        <w:rPr>
          <w:rFonts w:ascii="Helvetica" w:hAnsi="Helvetica" w:cs="Helvetica" w:eastAsia="Helvetica"/>
          <w:color w:val="000000"/>
        </w:rPr>
        <w:t>, avec une date limite de réponse compatible avec la restitution du 23/11/2026.</w:t>
      </w:r>
    </w:p>
    <w:p>
      <w:pPr>
        <w:pStyle w:val="ListParagraph"/>
        <w:numPr>
          <w:ilvl w:val="0"/>
          <w:numId w:val="3"/>
        </w:numPr>
        <w:spacing w:after="60"/>
        <w:jc w:val="both"/>
      </w:pPr>
      <w:r>
        <w:rPr>
          <w:rFonts w:ascii="Helvetica" w:hAnsi="Helvetica" w:cs="Helvetica" w:eastAsia="Helvetica"/>
          <w:b/>
          <w:color w:val="000000"/>
        </w:rPr>
        <w:t>La date de restitution provisoire</w:t>
      </w:r>
      <w:r>
        <w:rPr>
          <w:rFonts w:ascii="Helvetica" w:hAnsi="Helvetica" w:cs="Helvetica" w:eastAsia="Helvetica"/>
          <w:color w:val="000000"/>
        </w:rPr>
        <w:t xml:space="preserve"> si les données manquantes n'arrivent pas : maintenir la date avec des verdicts partiels, ou la décaler.</w:t>
      </w:r>
    </w:p>
    <w:p>
      <w:pPr>
        <w:pStyle w:val="ListParagraph"/>
        <w:numPr>
          <w:ilvl w:val="0"/>
          <w:numId w:val="3"/>
        </w:numPr>
        <w:spacing w:after="60"/>
        <w:jc w:val="both"/>
      </w:pPr>
      <w:r>
        <w:rPr>
          <w:rFonts w:ascii="Helvetica" w:hAnsi="Helvetica" w:cs="Helvetica" w:eastAsia="Helvetica"/>
          <w:b/>
          <w:color w:val="000000"/>
        </w:rPr>
        <w:t>Le partage avec l'expert financier</w:t>
      </w:r>
      <w:r>
        <w:rPr>
          <w:rFonts w:ascii="Helvetica" w:hAnsi="Helvetica" w:cs="Helvetica" w:eastAsia="Helvetica"/>
          <w:color w:val="000000"/>
        </w:rPr>
        <w:t xml:space="preserve"> : le rapport calcule les 36 ratios et le rendement des placements parce qu'ils servent l'appréciation des réserves. Les chiffres communs sont à rapprocher avant la restitution.</w:t>
      </w:r>
    </w:p>
    <w:p>
      <w:pPr>
        <w:pStyle w:val="ListParagraph"/>
        <w:numPr>
          <w:ilvl w:val="0"/>
          <w:numId w:val="3"/>
        </w:numPr>
        <w:spacing w:after="60"/>
        <w:jc w:val="both"/>
      </w:pPr>
      <w:r>
        <w:rPr>
          <w:rFonts w:ascii="Helvetica" w:hAnsi="Helvetica" w:cs="Helvetica" w:eastAsia="Helvetica"/>
          <w:b/>
          <w:color w:val="000000"/>
          <w:highlight w:val="yellow"/>
        </w:rPr>
        <w:t>Le temps passé</w:t>
      </w:r>
      <w:r>
        <w:rPr>
          <w:rFonts w:ascii="Helvetica" w:hAnsi="Helvetica" w:cs="Helvetica" w:eastAsia="Helvetica"/>
          <w:color w:val="000000"/>
          <w:highlight w:val="yellow"/>
        </w:rPr>
        <w:t xml:space="preserve"> : l'offre technique prévoit 14 hommes-jours pour le pôle 4 (p. 70), alors que le plan de travail estime 26 jours avec des données correctes et 39 jours avec des données dégradées. Le périmètre exact des 14 hommes-jours est à confirmer dans l'offre.</w:t>
      </w:r>
    </w:p>
    <w:p>
      <w:pPr>
        <w:pStyle w:val="ListParagraph"/>
        <w:numPr>
          <w:ilvl w:val="0"/>
          <w:numId w:val="3"/>
        </w:numPr>
        <w:spacing w:after="60"/>
        <w:jc w:val="both"/>
      </w:pPr>
      <w:r>
        <w:rPr>
          <w:rFonts w:ascii="Helvetica" w:hAnsi="Helvetica" w:cs="Helvetica" w:eastAsia="Helvetica"/>
          <w:b/>
          <w:color w:val="000000"/>
        </w:rPr>
        <w:t>La relecture qualité</w:t>
      </w:r>
      <w:r>
        <w:rPr>
          <w:rFonts w:ascii="Helvetica" w:hAnsi="Helvetica" w:cs="Helvetica" w:eastAsia="Helvetica"/>
          <w:color w:val="000000"/>
        </w:rPr>
        <w:t xml:space="preserve"> du rapport par une seconde personne avant la restitution.</w:t>
      </w:r>
    </w:p>
    <w:p w14:paraId="1CB0F08F" w14:textId="77777777" w:rsidR="006F0CB0" w:rsidRDefault="006F0CB0" w:rsidP="006F0CB0">
      <w:pPr>
        <w:pStyle w:val="Heading1"/>
        <w:spacing w:before="100" w:after="100"/>
        <w:sectPr w:rsidR="006F0CB0" w:rsidSect="00A24B2D">
          <w:pgSz w:w="11906" w:h="16838"/>
          <w:pgMar w:top="720" w:right="720" w:bottom="720" w:left="720" w:header="708" w:footer="708" w:gutter="0"/>
          <w:cols w:space="708"/>
          <w:docGrid w:linePitch="360"/>
        </w:sectPr>
      </w:pPr>
    </w:p>
    <w:p w14:paraId="3E26D7F2" w14:textId="337516F2" w:rsidR="00DD04E3" w:rsidRDefault="003A63CB" w:rsidP="00726C7B">
      <w:r>
        <w:rPr>
          <w:noProof/>
        </w:rPr>
        <mc:AlternateContent>
          <mc:Choice Requires="wps">
            <w:drawing>
              <wp:anchor distT="0" distB="0" distL="114300" distR="114300" simplePos="0" relativeHeight="251658274" behindDoc="0" locked="0" layoutInCell="1" allowOverlap="1" wp14:anchorId="0240CFDF" wp14:editId="1EA7B570">
                <wp:simplePos x="0" y="0"/>
                <wp:positionH relativeFrom="margin">
                  <wp:align>center</wp:align>
                </wp:positionH>
                <wp:positionV relativeFrom="paragraph">
                  <wp:posOffset>-1962785</wp:posOffset>
                </wp:positionV>
                <wp:extent cx="4320000" cy="7010400"/>
                <wp:effectExtent l="0" t="0" r="0" b="0"/>
                <wp:wrapNone/>
                <wp:docPr id="306"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320000" cy="7010400"/>
                        </a:xfrm>
                        <a:prstGeom prst="roundRect">
                          <a:avLst>
                            <a:gd name="adj" fmla="val 21502"/>
                          </a:avLst>
                        </a:prstGeom>
                        <a:noFill/>
                      </wps:spPr>
                      <wps:txbx>
                        <w:txbxContent>
                          <w:p w14:paraId="4180C237" w14:textId="77777777" w:rsidR="00926010" w:rsidRPr="003A63CB" w:rsidRDefault="00926010" w:rsidP="00926010">
                            <w:pPr>
                              <w:pStyle w:val="Heading1"/>
                              <w:spacing w:before="100" w:after="100"/>
                              <w:jc w:val="center"/>
                              <w:rPr>
                                <w:color w:val="FFFFFF" w:themeColor="background1"/>
                                <w:sz w:val="48"/>
                                <w:szCs w:val="48"/>
                              </w:rPr>
                            </w:pPr>
                            <w:r w:rsidRPr="003A63CB">
                              <w:rPr>
                                <w:color w:val="FFFFFF" w:themeColor="background1"/>
                                <w:sz w:val="48"/>
                                <w:szCs w:val="48"/>
                              </w:rPr>
                              <w:t>PARTIE 3 :</w:t>
                            </w:r>
                            <w:r w:rsidRPr="003A63CB">
                              <w:rPr>
                                <w:color w:val="FFFFFF" w:themeColor="background1"/>
                                <w:sz w:val="48"/>
                                <w:szCs w:val="48"/>
                              </w:rPr>
                              <w:t xml:space="preserve"> </w:t>
                            </w:r>
                          </w:p>
                          <w:p w14:paraId="03A79D83" w14:textId="77777777" w:rsidR="00926010" w:rsidRPr="003A63CB" w:rsidRDefault="00926010" w:rsidP="00926010">
                            <w:pPr>
                              <w:pStyle w:val="Heading1"/>
                              <w:spacing w:before="100" w:after="100"/>
                              <w:jc w:val="center"/>
                              <w:rPr>
                                <w:rFonts w:asciiTheme="majorHAnsi" w:eastAsiaTheme="majorEastAsia" w:hAnsiTheme="majorHAnsi" w:cstheme="majorBidi"/>
                                <w:i/>
                                <w:iCs/>
                                <w:color w:val="FFFFFF" w:themeColor="background1"/>
                                <w:sz w:val="48"/>
                                <w:szCs w:val="48"/>
                              </w:rPr>
                            </w:pPr>
                            <w:r w:rsidRPr="003A63CB">
                              <w:rPr>
                                <w:color w:val="FFFFFF" w:themeColor="background1"/>
                                <w:sz w:val="48"/>
                                <w:szCs w:val="48"/>
                              </w:rPr>
                              <w:t>QUESTIONS PROBABLES</w:t>
                            </w:r>
                          </w:p>
                        </w:txbxContent>
                      </wps:txbx>
                      <wps:bodyPr rot="0" vert="horz" wrap="square" lIns="91440" tIns="45720" rIns="91440" bIns="45720" anchor="ctr" anchorCtr="0" upright="1">
                        <a:noAutofit/>
                      </wps:bodyPr>
                    </wps:wsp>
                  </a:graphicData>
                </a:graphic>
              </wp:anchor>
            </w:drawing>
          </mc:Choice>
          <mc:Fallback>
            <w:pict>
              <v:roundrect w14:anchorId="0240CFDF" id="Forme automatique 2" o:spid="_x0000_s1033" style="position:absolute;left:0;text-align:left;margin-left:0;margin-top:-154.55pt;width:133.2pt;height:552pt;rotation:90;z-index:251658274;visibility:visible;mso-wrap-style:square;mso-wrap-distance-left:9pt;mso-wrap-distance-top:0;mso-wrap-distance-right:9pt;mso-wrap-distance-bottom:0;mso-position-horizontal:center;mso-position-horizontal-relative:margin;mso-position-vertical:absolute;mso-position-vertical-relative:text;v-text-anchor:middle" arcsize="140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" filled="f" stroked="f">
                <v:textbox>
                  <w:txbxContent>
                    <w:p w14:paraId="4180C237" w14:textId="77777777" w:rsidR="00926010" w:rsidRPr="003A63CB" w:rsidRDefault="00926010" w:rsidP="00926010">
                      <w:pPr>
                        <w:pStyle w:val="Heading1"/>
                        <w:spacing w:before="100" w:after="100"/>
                        <w:jc w:val="center"/>
                        <w:rPr>
                          <w:color w:val="FFFFFF" w:themeColor="background1"/>
                          <w:sz w:val="48"/>
                          <w:szCs w:val="48"/>
                        </w:rPr>
                      </w:pPr>
                      <w:r w:rsidRPr="003A63CB">
                        <w:rPr>
                          <w:color w:val="FFFFFF" w:themeColor="background1"/>
                          <w:sz w:val="48"/>
                          <w:szCs w:val="48"/>
                        </w:rPr>
                        <w:t>PARTIE 3 :</w:t>
                      </w:r>
                      <w:r w:rsidRPr="003A63CB">
                        <w:rPr>
                          <w:color w:val="FFFFFF" w:themeColor="background1"/>
                          <w:sz w:val="48"/>
                          <w:szCs w:val="48"/>
                        </w:rPr>
                        <w:t xml:space="preserve"> </w:t>
                      </w:r>
                    </w:p>
                    <w:p w14:paraId="03A79D83" w14:textId="77777777" w:rsidR="00926010" w:rsidRPr="003A63CB" w:rsidRDefault="00926010" w:rsidP="00926010">
                      <w:pPr>
                        <w:pStyle w:val="Heading1"/>
                        <w:spacing w:before="100" w:after="100"/>
                        <w:jc w:val="center"/>
                        <w:rPr>
                          <w:rFonts w:asciiTheme="majorHAnsi" w:eastAsiaTheme="majorEastAsia" w:hAnsiTheme="majorHAnsi" w:cstheme="majorBidi"/>
                          <w:i/>
                          <w:iCs/>
                          <w:color w:val="FFFFFF" w:themeColor="background1"/>
                          <w:sz w:val="48"/>
                          <w:szCs w:val="48"/>
                        </w:rPr>
                      </w:pPr>
                      <w:r w:rsidRPr="003A63CB">
                        <w:rPr>
                          <w:color w:val="FFFFFF" w:themeColor="background1"/>
                          <w:sz w:val="48"/>
                          <w:szCs w:val="48"/>
                        </w:rPr>
                        <w:t>QUESTIONS PROBABLES</w:t>
                      </w:r>
                    </w:p>
                  </w:txbxContent>
                </v:textbox>
                <w10:wrap type="square" anchorx="margin"/>
              </v:roundrect>
            </w:pict>
          </mc:Fallback>
        </mc:AlternateContent>
      </w:r>
      <w:r w:rsidR="00926010">
        <w:rPr>
          <w:noProof/>
          <w14:ligatures w14:val="standardContextual"/>
        </w:rPr>
        <mc:AlternateContent>
          <mc:Choice Requires="wps">
            <w:drawing>
              <wp:anchor distT="0" distB="0" distL="114300" distR="114300" simplePos="0" relativeHeight="251658242" behindDoc="0" locked="0" layoutInCell="1" allowOverlap="1" wp14:anchorId="140E49DA" wp14:editId="17A22642">
                <wp:simplePos x="0" y="0"/>
                <wp:positionH relativeFrom="column">
                  <wp:posOffset>-480060</wp:posOffset>
                </wp:positionH>
                <wp:positionV relativeFrom="paragraph">
                  <wp:posOffset>-510540</wp:posOffset>
                </wp:positionV>
                <wp:extent cx="7574280" cy="10751820"/>
                <wp:effectExtent l="0" t="0" r="26670" b="11430"/>
                <wp:wrapNone/>
                <wp:docPr id="613672107" name="Rectangle 10"/>
                <wp:cNvGraphicFramePr/>
                <a:graphic xmlns:a="http://schemas.openxmlformats.org/drawingml/2006/main">
                  <a:graphicData uri="http://schemas.microsoft.com/office/word/2010/wordprocessingShape">
                    <wps:wsp>
                      <wps:cNvSpPr/>
                      <wps:spPr>
                        <a:xfrm>
                          <a:off x="0" y="0"/>
                          <a:ext cx="7574280" cy="107518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E9B7977" id="Rectangle 10" o:spid="_x0000_s1026" style="position:absolute;margin-left:-37.8pt;margin-top:-40.2pt;width:596.4pt;height:846.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" fillcolor="black [3200]" strokecolor="black [480]" strokeweight="1.5pt"/>
            </w:pict>
          </mc:Fallback>
        </mc:AlternateContent>
      </w:r>
    </w:p>
    <w:p w14:paraId="29A5A8FC" w14:textId="0772451F" w:rsidR="00DD04E3" w:rsidRPr="00DD04E3" w:rsidRDefault="00DD04E3" w:rsidP="00DD04E3"/>
    <w:p w14:paraId="54310350" w14:textId="03E1B19F" w:rsidR="00DD04E3" w:rsidRPr="00DD04E3" w:rsidRDefault="00DD04E3" w:rsidP="00DD04E3"/>
    <w:p w14:paraId="2C2F6B9F" w14:textId="505262C9" w:rsidR="00DD04E3" w:rsidRPr="00DD04E3" w:rsidRDefault="003837AF" w:rsidP="00DD04E3">
      <w:r w:rsidRPr="00AA366B">
        <w:rPr>
          <w:noProof/>
        </w:rPr>
        <w:drawing>
          <wp:anchor distT="0" distB="0" distL="114300" distR="114300" simplePos="0" relativeHeight="251658267" behindDoc="0" locked="0" layoutInCell="1" allowOverlap="1" wp14:anchorId="2ADCBFCC" wp14:editId="1EA4A307">
            <wp:simplePos x="0" y="0"/>
            <wp:positionH relativeFrom="page">
              <wp:align>left</wp:align>
            </wp:positionH>
            <wp:positionV relativeFrom="paragraph">
              <wp:posOffset>167282</wp:posOffset>
            </wp:positionV>
            <wp:extent cx="7548880" cy="7259894"/>
            <wp:effectExtent l="0" t="0" r="0" b="0"/>
            <wp:wrapNone/>
            <wp:docPr id="1746398683" name="Image 15">
              <a:extLst xmlns:a="http://schemas.openxmlformats.org/drawingml/2006/main">
                <a:ext uri="{FF2B5EF4-FFF2-40B4-BE49-F238E27FC236}">
                  <a16:creationId xmlns:a16="http://schemas.microsoft.com/office/drawing/2014/main" id="{C8AC2246-CCF0-4C0C-B1BE-88C1E8DADC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pic:cNvPicPr>
                      <a:picLocks noChangeAspect="1"/>
                    </pic:cNvPicPr>
                  </pic:nvPicPr>
                  <pic:blipFill rotWithShape="1">
                    <a:blip r:embed="rId13" cstate="print">
                      <a:extLst>
                        <a:ext uri="{28A0092B-C50C-407E-A947-70E740481C1C}">
                          <a14:useLocalDpi xmlns:a14="http://schemas.microsoft.com/office/drawing/2010/main" val="0"/>
                        </a:ext>
                      </a:extLst>
                    </a:blip>
                    <a:srcRect l="-175" t="524" r="-2445" b="9082"/>
                    <a:stretch/>
                  </pic:blipFill>
                  <pic:spPr>
                    <a:xfrm>
                      <a:off x="0" y="0"/>
                      <a:ext cx="7548880" cy="7259894"/>
                    </a:xfrm>
                    <a:prstGeom prst="rect">
                      <a:avLst/>
                    </a:prstGeom>
                  </pic:spPr>
                </pic:pic>
              </a:graphicData>
            </a:graphic>
            <wp14:sizeRelH relativeFrom="margin">
              <wp14:pctWidth>0</wp14:pctWidth>
            </wp14:sizeRelH>
            <wp14:sizeRelV relativeFrom="margin">
              <wp14:pctHeight>0</wp14:pctHeight>
            </wp14:sizeRelV>
          </wp:anchor>
        </w:drawing>
      </w:r>
    </w:p>
    <w:p w14:paraId="70F74645" w14:textId="6F9E7C4C" w:rsidR="00DD04E3" w:rsidRPr="00DD04E3" w:rsidRDefault="00DD04E3" w:rsidP="00DD04E3"/>
    <w:p w14:paraId="637B0362" w14:textId="253E5702" w:rsidR="00DD04E3" w:rsidRPr="00DD04E3" w:rsidRDefault="00DD04E3" w:rsidP="00DD04E3"/>
    <w:p w14:paraId="34F038D6" w14:textId="1AAD29FE" w:rsidR="00DD04E3" w:rsidRPr="00DD04E3" w:rsidRDefault="00DD04E3" w:rsidP="00DD04E3"/>
    <w:p w14:paraId="540BCDAD" w14:textId="7FFC1DA8" w:rsidR="00DD04E3" w:rsidRPr="00DD04E3" w:rsidRDefault="00DD04E3" w:rsidP="00DD04E3"/>
    <w:p w14:paraId="62A538EF" w14:textId="19AAF6CF" w:rsidR="00DD04E3" w:rsidRPr="00DD04E3" w:rsidRDefault="00DD04E3" w:rsidP="00DD04E3"/>
    <w:p w14:paraId="6B21056D" w14:textId="70B266D0" w:rsidR="00DD04E3" w:rsidRPr="00DD04E3" w:rsidRDefault="00DD04E3" w:rsidP="00DD04E3"/>
    <w:p w14:paraId="0803D8BE" w14:textId="7ACBC061" w:rsidR="00DD04E3" w:rsidRPr="00DD04E3" w:rsidRDefault="00DD04E3" w:rsidP="00DD04E3"/>
    <w:p w14:paraId="5CCF2E8E" w14:textId="426E6CC9" w:rsidR="00DD04E3" w:rsidRPr="00DD04E3" w:rsidRDefault="00DD04E3" w:rsidP="00DD04E3"/>
    <w:p w14:paraId="2C7A88BD" w14:textId="77777777" w:rsidR="00DD04E3" w:rsidRPr="00DD04E3" w:rsidRDefault="00DD04E3" w:rsidP="00DD04E3"/>
    <w:p w14:paraId="6C8AEE97" w14:textId="77777777" w:rsidR="00DD04E3" w:rsidRPr="00DD04E3" w:rsidRDefault="00DD04E3" w:rsidP="00DD04E3"/>
    <w:p w14:paraId="193F1F69" w14:textId="77777777" w:rsidR="00DD04E3" w:rsidRPr="00DD04E3" w:rsidRDefault="00DD04E3" w:rsidP="00DD04E3"/>
    <w:p w14:paraId="3E78C07D" w14:textId="77777777" w:rsidR="00DD04E3" w:rsidRPr="00DD04E3" w:rsidRDefault="00DD04E3" w:rsidP="00DD04E3"/>
    <w:p w14:paraId="1833AA50" w14:textId="463C0184" w:rsidR="00DD04E3" w:rsidRPr="00DD04E3" w:rsidRDefault="00DD04E3" w:rsidP="00DD04E3">
      <w:pPr>
        <w:tabs>
          <w:tab w:val="left" w:pos="3384"/>
        </w:tabs>
      </w:pPr>
      <w:r>
        <w:tab/>
      </w:r>
    </w:p>
    <w:p w14:paraId="1A14F53F" w14:textId="77777777" w:rsidR="00DD04E3" w:rsidRPr="00DD04E3" w:rsidRDefault="00DD04E3" w:rsidP="00DD04E3"/>
    <w:p w14:paraId="794C1888" w14:textId="77777777" w:rsidR="00DD04E3" w:rsidRPr="00DD04E3" w:rsidRDefault="00DD04E3" w:rsidP="00DD04E3"/>
    <w:p w14:paraId="3D57E509" w14:textId="77777777" w:rsidR="00DD04E3" w:rsidRPr="00DD04E3" w:rsidRDefault="00DD04E3" w:rsidP="00DD04E3"/>
    <w:p w14:paraId="75AB4326" w14:textId="77777777" w:rsidR="00DD04E3" w:rsidRPr="00DD04E3" w:rsidRDefault="00DD04E3" w:rsidP="00DD04E3"/>
    <w:p w14:paraId="242B9CEF" w14:textId="77777777" w:rsidR="00DD04E3" w:rsidRPr="00DD04E3" w:rsidRDefault="00DD04E3" w:rsidP="00DD04E3">
      <w:pPr>
        <w:sectPr w:rsidR="00DD04E3" w:rsidRPr="00DD04E3" w:rsidSect="00A24B2D">
          <w:pgSz w:w="11906" w:h="16838"/>
          <w:pgMar w:top="720" w:right="720" w:bottom="720" w:left="720" w:header="708" w:footer="708" w:gutter="0"/>
          <w:cols w:space="708"/>
          <w:docGrid w:linePitch="360"/>
        </w:sectPr>
      </w:pPr>
    </w:p>
    <w:p>
      <w:pPr>
        <w:pStyle w:val="Heading1"/>
      </w:pPr>
      <w:r>
        <w:t>PARTIE 3 : QUESTIONS PROBABLES</w:t>
      </w:r>
    </w:p>
    <w:p>
      <w:pPr/>
      <w:r>
        <w:rPr>
          <w:rFonts w:ascii="Helvetica" w:hAnsi="Helvetica" w:cs="Helvetica" w:eastAsia="Helvetica"/>
          <w:color w:val="000000"/>
        </w:rPr>
        <w:t>Réponses courtes, à adapter. Les chiffres renvoient au rapport du 23/10/2026.</w:t>
      </w:r>
    </w:p>
    <w:p>
      <w:pPr>
        <w:pStyle w:val="Heading3"/>
      </w:pPr>
      <w:r>
        <w:t>Pouvez-vous conclure sans les données manquantes ?</w:t>
      </w:r>
    </w:p>
    <w:p>
      <w:pPr/>
      <w:r>
        <w:rPr>
          <w:rFonts w:ascii="Helvetica" w:hAnsi="Helvetica" w:cs="Helvetica" w:eastAsia="Helvetica"/>
          <w:color w:val="000000"/>
        </w:rPr>
        <w:t>Oui pour l'essentiel. Les conclusions reposent sur les balances, les grands livres, les fichiers de précomptes et les états financiers, qui sont complets. Les données manquantes permettront de préciser les montants, pas de changer le sens des verdicts. C'est pourquoi deux réponses sont « partiellement démontrées » et non « démontrées ».</w:t>
      </w:r>
    </w:p>
    <w:p>
      <w:pPr>
        <w:pStyle w:val="Heading3"/>
      </w:pPr>
      <w:r>
        <w:t>Comment être sûr que les chiffres sont justes ?</w:t>
      </w:r>
    </w:p>
    <w:p>
      <w:pPr/>
      <w:r>
        <w:rPr>
          <w:rFonts w:ascii="Helvetica" w:hAnsi="Helvetica" w:cs="Helvetica" w:eastAsia="Helvetica"/>
          <w:color w:val="000000"/>
        </w:rPr>
        <w:t>Par trois contrôles. Chaque chiffre du rapport est retrouvé automatiquement dans les calculs (2 885 sur 2 885). Chaque calcul est refait par une formule Excel, avec 0 écart. Une vérification indépendante a recalculé les chiffres depuis les fichiers bruts et relevé 18 anomalies, toutes corrigées.</w:t>
      </w:r>
    </w:p>
    <w:p>
      <w:pPr>
        <w:pStyle w:val="Heading3"/>
      </w:pPr>
      <w:r>
        <w:t>Pourquoi avoir fait plus que les quatre questions ?</w:t>
      </w:r>
    </w:p>
    <w:p>
      <w:pPr/>
      <w:r>
        <w:rPr>
          <w:rFonts w:ascii="Helvetica" w:hAnsi="Helvetica" w:cs="Helvetica" w:eastAsia="Helvetica"/>
          <w:color w:val="000000"/>
        </w:rPr>
        <w:t>Parce que l'offre technique le prévoit : le pôle 4 demande de contrôler les données de base, d'apprécier les réserves au regard des exigences prudentielles et de projeter l'équilibre technique. Sans ces travaux, les quatre réponses ne seraient pas démontrées.</w:t>
      </w:r>
    </w:p>
    <w:p>
      <w:pPr>
        <w:pStyle w:val="Heading3"/>
      </w:pPr>
      <w:r>
        <w:t>Le FPPN est-il en faillite ?</w:t>
      </w:r>
    </w:p>
    <w:p>
      <w:pPr/>
      <w:r>
        <w:rPr>
          <w:rFonts w:ascii="Helvetica" w:hAnsi="Helvetica" w:cs="Helvetica" w:eastAsia="Helvetica"/>
          <w:color w:val="000000"/>
        </w:rPr>
        <w:t>Non. Il dégage des excédents chaque année depuis 2020, sauf sur les huit premiers mois de 2026. Son problème est la liquidité et la mesure de ses engagements d'épargne. Ses fonds propres sont négatifs (-879 498 700 FCFA au 31/08/2026) et il ne pourrait pas rembourser une vague de retraits sans vendre des actifs peu liquides.</w:t>
      </w:r>
    </w:p>
    <w:p>
      <w:pPr>
        <w:pStyle w:val="Heading3"/>
      </w:pPr>
      <w:r>
        <w:t>Les provisions sont supérieures au besoin : est-ce un problème ?</w:t>
      </w:r>
    </w:p>
    <w:p>
      <w:pPr/>
      <w:r>
        <w:rPr>
          <w:rFonts w:ascii="Helvetica" w:hAnsi="Helvetica" w:cs="Helvetica" w:eastAsia="Helvetica"/>
          <w:color w:val="000000"/>
        </w:rPr>
        <w:t>Oui, parce qu'elles ne couvrent aucun risque identifié. Les provisions maladie et obsèques dépassent le besoin mesuré de 4 809 716 898 FCFA, alors que les intérêts dus sur l'épargne (3 278 913 238 FCFA) ne sont pas provisionnés. Le résultat et les fonds propres sont donc mal mesurés.</w:t>
      </w:r>
    </w:p>
    <w:p>
      <w:pPr>
        <w:pStyle w:val="Heading3"/>
      </w:pPr>
      <w:r>
        <w:t>Qu'est-ce que l'adossement, et pourquoi est-il insuffisant ?</w:t>
      </w:r>
    </w:p>
    <w:p>
      <w:pPr/>
      <w:r>
        <w:rPr>
          <w:rFonts w:ascii="Helvetica" w:hAnsi="Helvetica" w:cs="Helvetica" w:eastAsia="Helvetica"/>
          <w:color w:val="000000"/>
        </w:rPr>
        <w:t>C'est la capacité à payer chaque dette à son échéance avec des actifs disponibles à la même date. Au FPPN, l'épargne, exigible à tout moment, finance des actifs longs : clinique, terrains, prêts. Les actifs disponibles à moins d'un an couvrent 34,42 % des paiements de l'année.</w:t>
      </w:r>
    </w:p>
    <w:p>
      <w:pPr>
        <w:pStyle w:val="Heading3"/>
      </w:pPr>
      <w:r>
        <w:t>En quoi votre travail diffère-t-il de l'audit comptable ?</w:t>
      </w:r>
    </w:p>
    <w:p>
      <w:pPr/>
      <w:r>
        <w:rPr>
          <w:rFonts w:ascii="Helvetica" w:hAnsi="Helvetica" w:cs="Helvetica" w:eastAsia="Helvetica"/>
          <w:color w:val="000000"/>
        </w:rPr>
        <w:t>L'audit comptable vérifie que les comptes sont exacts. Le volet actuariel vérifie que les engagements futurs sont bien mesurés et couverts : provisions, épargne, adossement, placements, ratios de l'UEMOA. Les deux se complètent, et les chiffres partagés ont été rapprochés.</w:t>
      </w:r>
    </w:p>
    <w:p>
      <w:pPr>
        <w:pStyle w:val="Heading3"/>
      </w:pPr>
      <w:r>
        <w:t>Pourquoi un rapport aussi long ?</w:t>
      </w:r>
    </w:p>
    <w:p>
      <w:pPr/>
      <w:r>
        <w:rPr>
          <w:rFonts w:ascii="Helvetica" w:hAnsi="Helvetica" w:cs="Helvetica" w:eastAsia="Helvetica"/>
          <w:color w:val="000000"/>
        </w:rPr>
        <w:t>Pour que chaque conclusion soit démontrée et chaque chiffre retraçable jusqu'au fichier du FPPN. Le résumé exécutif (diapositives 3 à 27) se lit seul. Le reste sert de preuve en cas de contestation.</w:t>
      </w:r>
    </w:p>
    <w:p>
      <w:pPr>
        <w:pStyle w:val="Heading3"/>
      </w:pPr>
      <w:r>
        <w:t>Tiendrez-vous le délai ?</w:t>
      </w:r>
    </w:p>
    <w:p>
      <w:pPr/>
      <w:r>
        <w:rPr>
          <w:rFonts w:ascii="Helvetica" w:hAnsi="Helvetica" w:cs="Helvetica" w:eastAsia="Helvetica"/>
          <w:color w:val="000000"/>
        </w:rPr>
        <w:t>Oui pour la partie qui dépend d'Adenka : 63,85 % des travaux sont réalisés après 25,71 % du calendrier. Le délai dépend de la date à laquelle le FPPN transmettra ses données. Sans elles, la restitution se fera avec des verdicts partiels, ce qui est clairement indiqué dans le rapport.</w:t>
      </w:r>
    </w:p>
    <w:p>
      <w:pPr>
        <w:pStyle w:val="Heading3"/>
      </w:pPr>
      <w:r>
        <w:t>Quels risques pour Adenka ?</w:t>
      </w:r>
    </w:p>
    <w:p>
      <w:pPr/>
      <w:r>
        <w:rPr>
          <w:rFonts w:ascii="Helvetica" w:hAnsi="Helvetica" w:cs="Helvetica" w:eastAsia="Helvetica"/>
          <w:color w:val="000000"/>
        </w:rPr>
        <w:t>Le principal est de conclure sur des déclarations non documentées : elles sont surlignées en jaune et seront confirmées ou retirées. Le second est le délai, pour la raison ci-dessus.</w:t>
      </w:r>
    </w:p>
    <w:p>
      <w:pPr>
        <w:pStyle w:val="Heading3"/>
      </w:pPr>
      <w:r>
        <w:t>Qu'attendez-vous du FPPN maintenant ?</w:t>
      </w:r>
    </w:p>
    <w:p>
      <w:pPr/>
      <w:r>
        <w:rPr>
          <w:rFonts w:ascii="Helvetica" w:hAnsi="Helvetica" w:cs="Helvetica" w:eastAsia="Helvetica"/>
          <w:color w:val="000000"/>
        </w:rPr>
        <w:t>Les réponses aux 26 questions et les 84 documents de la liste, en priorité la base des prestations datée, les dates de naissance, les comptes individuels d'épargne et la décision fixant le taux servi.</w:t>
      </w:r>
    </w:p>
    <w:p>
      <w:r>
        <w:br w:type="page"/>
      </w:r>
    </w:p>
    <w:p>
      <w:pPr>
        <w:pStyle w:val="Heading1"/>
      </w:pPr>
      <w:r>
        <w:t>ANNEXES</w:t>
      </w:r>
    </w:p>
    <w:p>
      <w:pPr>
        <w:pStyle w:val="Heading2"/>
      </w:pPr>
      <w:r>
        <w:t>Annexe 1 : Glossaire simple</w:t>
      </w:r>
    </w:p>
    <w:p>
      <w:pPr>
        <w:pStyle w:val="Caption"/>
        <w:keepNext/>
        <w:jc w:val="left"/>
      </w:pPr>
      <w:r>
        <w:rPr>
          <w:rFonts w:ascii="Helvetica" w:hAnsi="Helvetica" w:cs="Helvetica" w:eastAsia="Helvetica"/>
          <w:b/>
          <w:color w:val="000000"/>
          <w:sz w:val="20"/>
        </w:rPr>
        <w:t xml:space="preserve">Tableau </w:t>
      </w:r>
      <w:r>
        <w:rPr>
          <w:rFonts w:ascii="Helvetica" w:hAnsi="Helvetica" w:cs="Helvetica" w:eastAsia="Helvetica"/>
          <w:b/>
          <w:color w:val="000000"/>
          <w:sz w:val="20"/>
        </w:rPr>
        <w:fldChar w:fldCharType="begin"/>
      </w:r>
      <w:r>
        <w:rPr>
          <w:rFonts w:ascii="Helvetica" w:hAnsi="Helvetica" w:cs="Helvetica" w:eastAsia="Helvetica"/>
          <w:b/>
          <w:color w:val="000000"/>
          <w:sz w:val="20"/>
        </w:rPr>
        <w:instrText xml:space="preserve"> SEQ Tableau \* ARABIC </w:instrText>
      </w:r>
      <w:r>
        <w:rPr>
          <w:rFonts w:ascii="Helvetica" w:hAnsi="Helvetica" w:cs="Helvetica" w:eastAsia="Helvetica"/>
          <w:b/>
          <w:color w:val="000000"/>
          <w:sz w:val="20"/>
        </w:rPr>
        <w:fldChar w:fldCharType="separate"/>
      </w:r>
      <w:r>
        <w:rPr>
          <w:rFonts w:ascii="Helvetica" w:hAnsi="Helvetica" w:cs="Helvetica" w:eastAsia="Helvetica"/>
          <w:b/>
          <w:color w:val="000000"/>
          <w:sz w:val="20"/>
        </w:rPr>
        <w:t>10</w:t>
      </w:r>
      <w:r>
        <w:rPr>
          <w:rFonts w:ascii="Helvetica" w:hAnsi="Helvetica" w:cs="Helvetica" w:eastAsia="Helvetica"/>
          <w:b/>
          <w:color w:val="000000"/>
          <w:sz w:val="20"/>
        </w:rPr>
        <w:fldChar w:fldCharType="end"/>
      </w:r>
      <w:r>
        <w:rPr>
          <w:rFonts w:ascii="Helvetica" w:hAnsi="Helvetica" w:cs="Helvetica" w:eastAsia="Helvetica"/>
          <w:b w:val="0"/>
          <w:color w:val="000000"/>
          <w:sz w:val="20"/>
        </w:rPr>
        <w:t xml:space="preserve"> : Glossaire des termes du rapport</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ook w:firstColumn="1" w:firstRow="1" w:lastColumn="0" w:lastRow="0" w:noHBand="0" w:noVBand="1" w:val="04A0"/>
        <w:tblLayout w:type="fixed"/>
      </w:tblPr>
      <w:tblGrid>
        <w:gridCol w:w="2608"/>
        <w:gridCol w:w="7824"/>
      </w:tblGrid>
      <w:tr>
        <w:trPr>
          <w:tblHeader/>
        </w:trPr>
        <w:tc>
          <w:tcPr>
            <w:tcW w:type="dxa" w:w="2608"/>
            <w:shd w:val="clear" w:color="auto" w:fill="000000"/>
          </w:tcPr>
          <w:p>
            <w:pPr>
              <w:spacing w:after="40" w:before="40" w:line="240" w:lineRule="auto"/>
              <w:jc w:val="left"/>
            </w:pPr>
            <w:r>
              <w:rPr>
                <w:rFonts w:ascii="Helvetica" w:hAnsi="Helvetica" w:cs="Helvetica" w:eastAsia="Helvetica"/>
                <w:b/>
                <w:color w:val="FFFFFF"/>
                <w:sz w:val="18"/>
              </w:rPr>
              <w:t>Terme</w:t>
            </w:r>
          </w:p>
        </w:tc>
        <w:tc>
          <w:tcPr>
            <w:tcW w:type="dxa" w:w="7824"/>
            <w:shd w:val="clear" w:color="auto" w:fill="000000"/>
          </w:tcPr>
          <w:p>
            <w:pPr>
              <w:spacing w:after="40" w:before="40" w:line="240" w:lineRule="auto"/>
              <w:jc w:val="center"/>
            </w:pPr>
            <w:r>
              <w:rPr>
                <w:rFonts w:ascii="Helvetica" w:hAnsi="Helvetica" w:cs="Helvetica" w:eastAsia="Helvetica"/>
                <w:b/>
                <w:color w:val="FFFFFF"/>
                <w:sz w:val="18"/>
              </w:rPr>
              <w:t>Explication en une phrase</w:t>
            </w:r>
          </w:p>
        </w:tc>
      </w:tr>
      <w:tr>
        <w:tc>
          <w:tcPr>
            <w:tcW w:type="dxa" w:w="2608"/>
            <w:shd w:val="clear" w:color="auto" w:fill="CCCCCC"/>
          </w:tcPr>
          <w:p>
            <w:pPr>
              <w:spacing w:after="40" w:before="40" w:line="240" w:lineRule="auto"/>
              <w:jc w:val="left"/>
            </w:pPr>
            <w:r>
              <w:rPr>
                <w:rFonts w:ascii="Helvetica" w:hAnsi="Helvetica" w:cs="Helvetica" w:eastAsia="Helvetica"/>
                <w:b/>
                <w:color w:val="000000"/>
                <w:sz w:val="18"/>
              </w:rPr>
              <w:t>Actuariat</w:t>
            </w:r>
          </w:p>
        </w:tc>
        <w:tc>
          <w:tcPr>
            <w:tcW w:type="dxa" w:w="7824"/>
          </w:tcPr>
          <w:p>
            <w:pPr>
              <w:spacing w:after="40" w:before="40" w:line="240" w:lineRule="auto"/>
              <w:jc w:val="left"/>
            </w:pPr>
            <w:r>
              <w:rPr>
                <w:rFonts w:ascii="Helvetica" w:hAnsi="Helvetica" w:cs="Helvetica" w:eastAsia="Helvetica"/>
                <w:color w:val="000000"/>
                <w:sz w:val="18"/>
              </w:rPr>
              <w:t>Discipline qui mesure les engagements futurs (prestations, épargne, retraites) à partir des probabilités et du temps.</w:t>
            </w:r>
          </w:p>
        </w:tc>
      </w:tr>
      <w:tr>
        <w:tc>
          <w:tcPr>
            <w:tcW w:type="dxa" w:w="2608"/>
            <w:shd w:val="clear" w:color="auto" w:fill="CCCCCC"/>
          </w:tcPr>
          <w:p>
            <w:pPr>
              <w:spacing w:after="40" w:before="40" w:line="240" w:lineRule="auto"/>
              <w:jc w:val="left"/>
            </w:pPr>
            <w:r>
              <w:rPr>
                <w:rFonts w:ascii="Helvetica" w:hAnsi="Helvetica" w:cs="Helvetica" w:eastAsia="Helvetica"/>
                <w:b/>
                <w:color w:val="000000"/>
                <w:sz w:val="18"/>
              </w:rPr>
              <w:t>Adossement actif-passif</w:t>
            </w:r>
          </w:p>
        </w:tc>
        <w:tc>
          <w:tcPr>
            <w:tcW w:type="dxa" w:w="7824"/>
            <w:shd w:val="clear" w:color="auto" w:fill="E8E8E8"/>
          </w:tcPr>
          <w:p>
            <w:pPr>
              <w:spacing w:after="40" w:before="40" w:line="240" w:lineRule="auto"/>
              <w:jc w:val="left"/>
            </w:pPr>
            <w:r>
              <w:rPr>
                <w:rFonts w:ascii="Helvetica" w:hAnsi="Helvetica" w:cs="Helvetica" w:eastAsia="Helvetica"/>
                <w:color w:val="000000"/>
                <w:sz w:val="18"/>
              </w:rPr>
              <w:t>Capacité à payer chaque dette à son échéance avec des actifs disponibles à la même date.</w:t>
            </w:r>
          </w:p>
        </w:tc>
      </w:tr>
      <w:tr>
        <w:tc>
          <w:tcPr>
            <w:tcW w:type="dxa" w:w="2608"/>
            <w:shd w:val="clear" w:color="auto" w:fill="CCCCCC"/>
          </w:tcPr>
          <w:p>
            <w:pPr>
              <w:spacing w:after="40" w:before="40" w:line="240" w:lineRule="auto"/>
              <w:jc w:val="left"/>
            </w:pPr>
            <w:r>
              <w:rPr>
                <w:rFonts w:ascii="Helvetica" w:hAnsi="Helvetica" w:cs="Helvetica" w:eastAsia="Helvetica"/>
                <w:b/>
                <w:color w:val="000000"/>
                <w:sz w:val="18"/>
              </w:rPr>
              <w:t>Ayant droit</w:t>
            </w:r>
          </w:p>
        </w:tc>
        <w:tc>
          <w:tcPr>
            <w:tcW w:type="dxa" w:w="7824"/>
          </w:tcPr>
          <w:p>
            <w:pPr>
              <w:spacing w:after="40" w:before="40" w:line="240" w:lineRule="auto"/>
              <w:jc w:val="left"/>
            </w:pPr>
            <w:r>
              <w:rPr>
                <w:rFonts w:ascii="Helvetica" w:hAnsi="Helvetica" w:cs="Helvetica" w:eastAsia="Helvetica"/>
                <w:color w:val="000000"/>
                <w:sz w:val="18"/>
              </w:rPr>
              <w:t>Conjoint ou enfant d'un adhérent, couvert par les garanties du FPPN.</w:t>
            </w:r>
          </w:p>
        </w:tc>
      </w:tr>
      <w:tr>
        <w:tc>
          <w:tcPr>
            <w:tcW w:type="dxa" w:w="2608"/>
            <w:shd w:val="clear" w:color="auto" w:fill="CCCCCC"/>
          </w:tcPr>
          <w:p>
            <w:pPr>
              <w:spacing w:after="40" w:before="40" w:line="240" w:lineRule="auto"/>
              <w:jc w:val="left"/>
            </w:pPr>
            <w:r>
              <w:rPr>
                <w:rFonts w:ascii="Helvetica" w:hAnsi="Helvetica" w:cs="Helvetica" w:eastAsia="Helvetica"/>
                <w:b/>
                <w:color w:val="000000"/>
                <w:sz w:val="18"/>
              </w:rPr>
              <w:t>Engagement</w:t>
            </w:r>
          </w:p>
        </w:tc>
        <w:tc>
          <w:tcPr>
            <w:tcW w:type="dxa" w:w="7824"/>
            <w:shd w:val="clear" w:color="auto" w:fill="E8E8E8"/>
          </w:tcPr>
          <w:p>
            <w:pPr>
              <w:spacing w:after="40" w:before="40" w:line="240" w:lineRule="auto"/>
              <w:jc w:val="left"/>
            </w:pPr>
            <w:r>
              <w:rPr>
                <w:rFonts w:ascii="Helvetica" w:hAnsi="Helvetica" w:cs="Helvetica" w:eastAsia="Helvetica"/>
                <w:color w:val="000000"/>
                <w:sz w:val="18"/>
              </w:rPr>
              <w:t>Somme que le FPPN devra payer plus tard à ses adhérents (épargne, intérêts, prestations).</w:t>
            </w:r>
          </w:p>
        </w:tc>
      </w:tr>
      <w:tr>
        <w:tc>
          <w:tcPr>
            <w:tcW w:type="dxa" w:w="2608"/>
            <w:shd w:val="clear" w:color="auto" w:fill="CCCCCC"/>
          </w:tcPr>
          <w:p>
            <w:pPr>
              <w:spacing w:after="40" w:before="40" w:line="240" w:lineRule="auto"/>
              <w:jc w:val="left"/>
            </w:pPr>
            <w:r>
              <w:rPr>
                <w:rFonts w:ascii="Helvetica" w:hAnsi="Helvetica" w:cs="Helvetica" w:eastAsia="Helvetica"/>
                <w:b/>
                <w:color w:val="000000"/>
                <w:sz w:val="18"/>
              </w:rPr>
              <w:t>Épargne EFC</w:t>
            </w:r>
          </w:p>
        </w:tc>
        <w:tc>
          <w:tcPr>
            <w:tcW w:type="dxa" w:w="7824"/>
          </w:tcPr>
          <w:p>
            <w:pPr>
              <w:spacing w:after="40" w:before="40" w:line="240" w:lineRule="auto"/>
              <w:jc w:val="left"/>
            </w:pPr>
            <w:r>
              <w:rPr>
                <w:rFonts w:ascii="Helvetica" w:hAnsi="Helvetica" w:cs="Helvetica" w:eastAsia="Helvetica"/>
                <w:color w:val="000000"/>
                <w:sz w:val="18"/>
              </w:rPr>
              <w:t>Épargne prélevée chaque mois sur la solde et versée au policier à son départ à la retraite.</w:t>
            </w:r>
          </w:p>
        </w:tc>
      </w:tr>
      <w:tr>
        <w:tc>
          <w:tcPr>
            <w:tcW w:type="dxa" w:w="2608"/>
            <w:shd w:val="clear" w:color="auto" w:fill="CCCCCC"/>
          </w:tcPr>
          <w:p>
            <w:pPr>
              <w:spacing w:after="40" w:before="40" w:line="240" w:lineRule="auto"/>
              <w:jc w:val="left"/>
            </w:pPr>
            <w:r>
              <w:rPr>
                <w:rFonts w:ascii="Helvetica" w:hAnsi="Helvetica" w:cs="Helvetica" w:eastAsia="Helvetica"/>
                <w:b/>
                <w:color w:val="000000"/>
                <w:sz w:val="18"/>
              </w:rPr>
              <w:t>Épargne PEP</w:t>
            </w:r>
          </w:p>
        </w:tc>
        <w:tc>
          <w:tcPr>
            <w:tcW w:type="dxa" w:w="7824"/>
            <w:shd w:val="clear" w:color="auto" w:fill="E8E8E8"/>
          </w:tcPr>
          <w:p>
            <w:pPr>
              <w:spacing w:after="40" w:before="40" w:line="240" w:lineRule="auto"/>
              <w:jc w:val="left"/>
            </w:pPr>
            <w:r>
              <w:rPr>
                <w:rFonts w:ascii="Helvetica" w:hAnsi="Helvetica" w:cs="Helvetica" w:eastAsia="Helvetica"/>
                <w:color w:val="000000"/>
                <w:sz w:val="18"/>
              </w:rPr>
              <w:t>Épargne volontaire des policiers, rémunérée.</w:t>
            </w:r>
          </w:p>
        </w:tc>
      </w:tr>
      <w:tr>
        <w:tc>
          <w:tcPr>
            <w:tcW w:type="dxa" w:w="2608"/>
            <w:shd w:val="clear" w:color="auto" w:fill="CCCCCC"/>
          </w:tcPr>
          <w:p>
            <w:pPr>
              <w:spacing w:after="40" w:before="40" w:line="240" w:lineRule="auto"/>
              <w:jc w:val="left"/>
            </w:pPr>
            <w:r>
              <w:rPr>
                <w:rFonts w:ascii="Helvetica" w:hAnsi="Helvetica" w:cs="Helvetica" w:eastAsia="Helvetica"/>
                <w:b/>
                <w:color w:val="000000"/>
                <w:sz w:val="18"/>
              </w:rPr>
              <w:t>Fonds propres</w:t>
            </w:r>
          </w:p>
        </w:tc>
        <w:tc>
          <w:tcPr>
            <w:tcW w:type="dxa" w:w="7824"/>
          </w:tcPr>
          <w:p>
            <w:pPr>
              <w:spacing w:after="40" w:before="40" w:line="240" w:lineRule="auto"/>
              <w:jc w:val="left"/>
            </w:pPr>
            <w:r>
              <w:rPr>
                <w:rFonts w:ascii="Helvetica" w:hAnsi="Helvetica" w:cs="Helvetica" w:eastAsia="Helvetica"/>
                <w:color w:val="000000"/>
                <w:sz w:val="18"/>
              </w:rPr>
              <w:t>Ressources propres du FPPN : réserves et résultats cumulés. Négatifs, ils signifient que les pertes passées dépassent les réserves.</w:t>
            </w:r>
          </w:p>
        </w:tc>
      </w:tr>
      <w:tr>
        <w:tc>
          <w:tcPr>
            <w:tcW w:type="dxa" w:w="2608"/>
            <w:shd w:val="clear" w:color="auto" w:fill="CCCCCC"/>
          </w:tcPr>
          <w:p>
            <w:pPr>
              <w:spacing w:after="40" w:before="40" w:line="240" w:lineRule="auto"/>
              <w:jc w:val="left"/>
            </w:pPr>
            <w:r>
              <w:rPr>
                <w:rFonts w:ascii="Helvetica" w:hAnsi="Helvetica" w:cs="Helvetica" w:eastAsia="Helvetica"/>
                <w:b/>
                <w:color w:val="000000"/>
                <w:sz w:val="18"/>
              </w:rPr>
              <w:t>Lecture corrigée selon le PCMS</w:t>
            </w:r>
          </w:p>
        </w:tc>
        <w:tc>
          <w:tcPr>
            <w:tcW w:type="dxa" w:w="7824"/>
            <w:shd w:val="clear" w:color="auto" w:fill="E8E8E8"/>
          </w:tcPr>
          <w:p>
            <w:pPr>
              <w:spacing w:after="40" w:before="40" w:line="240" w:lineRule="auto"/>
              <w:jc w:val="left"/>
            </w:pPr>
            <w:r>
              <w:rPr>
                <w:rFonts w:ascii="Helvetica" w:hAnsi="Helvetica" w:cs="Helvetica" w:eastAsia="Helvetica"/>
                <w:color w:val="000000"/>
                <w:sz w:val="18"/>
              </w:rPr>
              <w:t>Les mêmes comptes, avec l'épargne classée en ressource longue et les avances durables en emplois longs, comme le prévoit le plan comptable.</w:t>
            </w:r>
          </w:p>
        </w:tc>
      </w:tr>
      <w:tr>
        <w:tc>
          <w:tcPr>
            <w:tcW w:type="dxa" w:w="2608"/>
            <w:shd w:val="clear" w:color="auto" w:fill="CCCCCC"/>
          </w:tcPr>
          <w:p>
            <w:pPr>
              <w:spacing w:after="40" w:before="40" w:line="240" w:lineRule="auto"/>
              <w:jc w:val="left"/>
            </w:pPr>
            <w:r>
              <w:rPr>
                <w:rFonts w:ascii="Helvetica" w:hAnsi="Helvetica" w:cs="Helvetica" w:eastAsia="Helvetica"/>
                <w:b/>
                <w:color w:val="000000"/>
                <w:sz w:val="18"/>
              </w:rPr>
              <w:t>Précompte</w:t>
            </w:r>
          </w:p>
        </w:tc>
        <w:tc>
          <w:tcPr>
            <w:tcW w:type="dxa" w:w="7824"/>
          </w:tcPr>
          <w:p>
            <w:pPr>
              <w:spacing w:after="40" w:before="40" w:line="240" w:lineRule="auto"/>
              <w:jc w:val="left"/>
            </w:pPr>
            <w:r>
              <w:rPr>
                <w:rFonts w:ascii="Helvetica" w:hAnsi="Helvetica" w:cs="Helvetica" w:eastAsia="Helvetica"/>
                <w:color w:val="000000"/>
                <w:sz w:val="18"/>
              </w:rPr>
              <w:t>Retenue de la cotisation directement sur le salaire (Solde) ou sur la pension (CGRAE).</w:t>
            </w:r>
          </w:p>
        </w:tc>
      </w:tr>
      <w:tr>
        <w:tc>
          <w:tcPr>
            <w:tcW w:type="dxa" w:w="2608"/>
            <w:shd w:val="clear" w:color="auto" w:fill="CCCCCC"/>
          </w:tcPr>
          <w:p>
            <w:pPr>
              <w:spacing w:after="40" w:before="40" w:line="240" w:lineRule="auto"/>
              <w:jc w:val="left"/>
            </w:pPr>
            <w:r>
              <w:rPr>
                <w:rFonts w:ascii="Helvetica" w:hAnsi="Helvetica" w:cs="Helvetica" w:eastAsia="Helvetica"/>
                <w:b/>
                <w:color w:val="000000"/>
                <w:sz w:val="18"/>
              </w:rPr>
              <w:t>Provision</w:t>
            </w:r>
          </w:p>
        </w:tc>
        <w:tc>
          <w:tcPr>
            <w:tcW w:type="dxa" w:w="7824"/>
            <w:shd w:val="clear" w:color="auto" w:fill="E8E8E8"/>
          </w:tcPr>
          <w:p>
            <w:pPr>
              <w:spacing w:after="40" w:before="40" w:line="240" w:lineRule="auto"/>
              <w:jc w:val="left"/>
            </w:pPr>
            <w:r>
              <w:rPr>
                <w:rFonts w:ascii="Helvetica" w:hAnsi="Helvetica" w:cs="Helvetica" w:eastAsia="Helvetica"/>
                <w:color w:val="000000"/>
                <w:sz w:val="18"/>
              </w:rPr>
              <w:t>Montant mis de côté à la clôture pour payer des prestations déjà nées mais pas encore payées.</w:t>
            </w:r>
          </w:p>
        </w:tc>
      </w:tr>
      <w:tr>
        <w:tc>
          <w:tcPr>
            <w:tcW w:type="dxa" w:w="2608"/>
            <w:shd w:val="clear" w:color="auto" w:fill="CCCCCC"/>
          </w:tcPr>
          <w:p>
            <w:pPr>
              <w:spacing w:after="40" w:before="40" w:line="240" w:lineRule="auto"/>
              <w:jc w:val="left"/>
            </w:pPr>
            <w:r>
              <w:rPr>
                <w:rFonts w:ascii="Helvetica" w:hAnsi="Helvetica" w:cs="Helvetica" w:eastAsia="Helvetica"/>
                <w:b/>
                <w:color w:val="000000"/>
                <w:sz w:val="18"/>
              </w:rPr>
              <w:t>Ratio combiné</w:t>
            </w:r>
          </w:p>
        </w:tc>
        <w:tc>
          <w:tcPr>
            <w:tcW w:type="dxa" w:w="7824"/>
          </w:tcPr>
          <w:p>
            <w:pPr>
              <w:spacing w:after="40" w:before="40" w:line="240" w:lineRule="auto"/>
              <w:jc w:val="left"/>
            </w:pPr>
            <w:r>
              <w:rPr>
                <w:rFonts w:ascii="Helvetica" w:hAnsi="Helvetica" w:cs="Helvetica" w:eastAsia="Helvetica"/>
                <w:color w:val="000000"/>
                <w:sz w:val="18"/>
              </w:rPr>
              <w:t>Prestations et frais d'une garantie divisés par ses cotisations. Au-dessus de 100,00 %, la garantie perd de l'argent.</w:t>
            </w:r>
          </w:p>
        </w:tc>
      </w:tr>
      <w:tr>
        <w:tc>
          <w:tcPr>
            <w:tcW w:type="dxa" w:w="2608"/>
            <w:shd w:val="clear" w:color="auto" w:fill="CCCCCC"/>
          </w:tcPr>
          <w:p>
            <w:pPr>
              <w:spacing w:after="40" w:before="40" w:line="240" w:lineRule="auto"/>
              <w:jc w:val="left"/>
            </w:pPr>
            <w:r>
              <w:rPr>
                <w:rFonts w:ascii="Helvetica" w:hAnsi="Helvetica" w:cs="Helvetica" w:eastAsia="Helvetica"/>
                <w:b/>
                <w:color w:val="000000"/>
                <w:sz w:val="18"/>
              </w:rPr>
              <w:t>Ratios prudentiels</w:t>
            </w:r>
          </w:p>
        </w:tc>
        <w:tc>
          <w:tcPr>
            <w:tcW w:type="dxa" w:w="7824"/>
            <w:shd w:val="clear" w:color="auto" w:fill="E8E8E8"/>
          </w:tcPr>
          <w:p>
            <w:pPr>
              <w:spacing w:after="40" w:before="40" w:line="240" w:lineRule="auto"/>
              <w:jc w:val="left"/>
            </w:pPr>
            <w:r>
              <w:rPr>
                <w:rFonts w:ascii="Helvetica" w:hAnsi="Helvetica" w:cs="Helvetica" w:eastAsia="Helvetica"/>
                <w:color w:val="000000"/>
                <w:sz w:val="18"/>
              </w:rPr>
              <w:t>Les 36 indicateurs de la Décision n° 05/2022 de l'UEMOA que doivent respecter les mutuelles sociales.</w:t>
            </w:r>
          </w:p>
        </w:tc>
      </w:tr>
      <w:tr>
        <w:tc>
          <w:tcPr>
            <w:tcW w:type="dxa" w:w="2608"/>
            <w:shd w:val="clear" w:color="auto" w:fill="CCCCCC"/>
          </w:tcPr>
          <w:p>
            <w:pPr>
              <w:spacing w:after="40" w:before="40" w:line="240" w:lineRule="auto"/>
              <w:jc w:val="left"/>
            </w:pPr>
            <w:r>
              <w:rPr>
                <w:rFonts w:ascii="Helvetica" w:hAnsi="Helvetica" w:cs="Helvetica" w:eastAsia="Helvetica"/>
                <w:b/>
                <w:color w:val="000000"/>
                <w:sz w:val="18"/>
              </w:rPr>
              <w:t>Sinistralité (S/C)</w:t>
            </w:r>
          </w:p>
        </w:tc>
        <w:tc>
          <w:tcPr>
            <w:tcW w:type="dxa" w:w="7824"/>
          </w:tcPr>
          <w:p>
            <w:pPr>
              <w:spacing w:after="40" w:before="40" w:line="240" w:lineRule="auto"/>
              <w:jc w:val="left"/>
            </w:pPr>
            <w:r>
              <w:rPr>
                <w:rFonts w:ascii="Helvetica" w:hAnsi="Helvetica" w:cs="Helvetica" w:eastAsia="Helvetica"/>
                <w:color w:val="000000"/>
                <w:sz w:val="18"/>
              </w:rPr>
              <w:t>Part des cotisations consommée par les prestations. La norme de l'UEMOA est comprise entre 70,00 % et 80,00 %.</w:t>
            </w:r>
          </w:p>
        </w:tc>
      </w:tr>
      <w:tr>
        <w:tc>
          <w:tcPr>
            <w:tcW w:type="dxa" w:w="2608"/>
            <w:shd w:val="clear" w:color="auto" w:fill="CCCCCC"/>
          </w:tcPr>
          <w:p>
            <w:pPr>
              <w:spacing w:after="40" w:before="40" w:line="240" w:lineRule="auto"/>
              <w:jc w:val="left"/>
            </w:pPr>
            <w:r>
              <w:rPr>
                <w:rFonts w:ascii="Helvetica" w:hAnsi="Helvetica" w:cs="Helvetica" w:eastAsia="Helvetica"/>
                <w:b/>
                <w:color w:val="000000"/>
                <w:sz w:val="18"/>
              </w:rPr>
              <w:t>Table de mortalité</w:t>
            </w:r>
          </w:p>
        </w:tc>
        <w:tc>
          <w:tcPr>
            <w:tcW w:type="dxa" w:w="7824"/>
            <w:shd w:val="clear" w:color="auto" w:fill="E8E8E8"/>
          </w:tcPr>
          <w:p>
            <w:pPr>
              <w:spacing w:after="40" w:before="40" w:line="240" w:lineRule="auto"/>
              <w:jc w:val="left"/>
            </w:pPr>
            <w:r>
              <w:rPr>
                <w:rFonts w:ascii="Helvetica" w:hAnsi="Helvetica" w:cs="Helvetica" w:eastAsia="Helvetica"/>
                <w:color w:val="000000"/>
                <w:sz w:val="18"/>
              </w:rPr>
              <w:t>Tableau qui donne la probabilité de décéder à chaque âge, nécessaire aux calculs par âge.</w:t>
            </w:r>
          </w:p>
        </w:tc>
      </w:tr>
      <w:tr>
        <w:tc>
          <w:tcPr>
            <w:tcW w:type="dxa" w:w="2608"/>
            <w:shd w:val="clear" w:color="auto" w:fill="CCCCCC"/>
          </w:tcPr>
          <w:p>
            <w:pPr>
              <w:spacing w:after="40" w:before="40" w:line="240" w:lineRule="auto"/>
              <w:jc w:val="left"/>
            </w:pPr>
            <w:r>
              <w:rPr>
                <w:rFonts w:ascii="Helvetica" w:hAnsi="Helvetica" w:cs="Helvetica" w:eastAsia="Helvetica"/>
                <w:b/>
                <w:color w:val="000000"/>
                <w:sz w:val="18"/>
              </w:rPr>
              <w:t>Test de résistance</w:t>
            </w:r>
          </w:p>
        </w:tc>
        <w:tc>
          <w:tcPr>
            <w:tcW w:type="dxa" w:w="7824"/>
          </w:tcPr>
          <w:p>
            <w:pPr>
              <w:spacing w:after="40" w:before="40" w:line="240" w:lineRule="auto"/>
              <w:jc w:val="left"/>
            </w:pPr>
            <w:r>
              <w:rPr>
                <w:rFonts w:ascii="Helvetica" w:hAnsi="Helvetica" w:cs="Helvetica" w:eastAsia="Helvetica"/>
                <w:color w:val="000000"/>
                <w:sz w:val="18"/>
              </w:rPr>
              <w:t>Simulation d'un choc défavorable (retraits massifs, hausse des prestations) pour voir si le FPPN tient.</w:t>
            </w:r>
          </w:p>
        </w:tc>
      </w:tr>
    </w:tbl>
    <w:p>
      <w:pPr>
        <w:spacing w:after="200"/>
        <w:jc w:val="left"/>
      </w:pPr>
      <w:r>
        <w:rPr>
          <w:rFonts w:ascii="Helvetica" w:hAnsi="Helvetica" w:cs="Helvetica" w:eastAsia="Helvetica"/>
          <w:color w:val="000000"/>
          <w:sz w:val="16"/>
        </w:rPr>
        <w:t>Source : Adenka.</w:t>
      </w:r>
    </w:p>
    <w:sectPr w:rsidR="00A51B48" w:rsidRPr="007A34AF" w:rsidSect="00D07C4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19503" w14:textId="77777777" w:rsidR="00A81025" w:rsidRPr="00AA366B" w:rsidRDefault="00A81025" w:rsidP="00982CCB">
      <w:r w:rsidRPr="00AA366B">
        <w:separator/>
      </w:r>
    </w:p>
  </w:endnote>
  <w:endnote w:type="continuationSeparator" w:id="0">
    <w:p w14:paraId="25C33989" w14:textId="77777777" w:rsidR="00A81025" w:rsidRPr="00AA366B" w:rsidRDefault="00A81025" w:rsidP="00982CCB">
      <w:r w:rsidRPr="00AA36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7CB1" w14:textId="65C06022" w:rsidR="008D0DFE" w:rsidRPr="00191CED" w:rsidRDefault="00523668" w:rsidP="00916E69">
    <w:pPr>
      <w:pStyle w:val="Footer"/>
      <w:spacing w:before="0" w:beforeAutospacing="0"/>
      <w:jc w:val="center"/>
      <w:rPr>
        <w:color w:val="auto"/>
        <w:sz w:val="20"/>
        <w:szCs w:val="20"/>
      </w:rPr>
    </w:pPr>
    <w:r w:rsidRPr="00191CED">
      <w:rPr>
        <w:caps/>
        <w:color w:val="auto"/>
        <w:sz w:val="20"/>
        <w:szCs w:val="20"/>
      </w:rPr>
      <w:fldChar w:fldCharType="begin"/>
    </w:r>
    <w:r w:rsidRPr="00191CED">
      <w:rPr>
        <w:color w:val="auto"/>
        <w:sz w:val="20"/>
        <w:szCs w:val="20"/>
      </w:rPr>
      <w:instrText>PAGE   \* MERGEFORMAT</w:instrText>
    </w:r>
    <w:r w:rsidRPr="00191CED">
      <w:rPr>
        <w:caps/>
        <w:color w:val="auto"/>
        <w:sz w:val="20"/>
        <w:szCs w:val="20"/>
      </w:rPr>
      <w:fldChar w:fldCharType="separate"/>
    </w:r>
    <w:r w:rsidRPr="00191CED">
      <w:rPr>
        <w:caps/>
        <w:color w:val="auto"/>
        <w:sz w:val="20"/>
        <w:szCs w:val="20"/>
        <w:lang w:val="fr-FR"/>
      </w:rPr>
      <w:t>2</w:t>
    </w:r>
    <w:r w:rsidRPr="00191CED">
      <w:rPr>
        <w:caps/>
        <w:color w:val="auto"/>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3DB16" w14:textId="77777777" w:rsidR="00A81025" w:rsidRPr="00AA366B" w:rsidRDefault="00A81025" w:rsidP="00982CCB">
      <w:r w:rsidRPr="00AA366B">
        <w:separator/>
      </w:r>
    </w:p>
  </w:footnote>
  <w:footnote w:type="continuationSeparator" w:id="0">
    <w:p w14:paraId="0DA603F9" w14:textId="77777777" w:rsidR="00A81025" w:rsidRPr="00AA366B" w:rsidRDefault="00A81025" w:rsidP="00982CCB">
      <w:r w:rsidRPr="00AA366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11BA"/>
    <w:multiLevelType w:val="hybridMultilevel"/>
    <w:tmpl w:val="A1303924"/>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9109F8"/>
    <w:multiLevelType w:val="hybridMultilevel"/>
    <w:tmpl w:val="544C4D6E"/>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 w15:restartNumberingAfterBreak="0">
    <w:nsid w:val="03BB544D"/>
    <w:multiLevelType w:val="hybridMultilevel"/>
    <w:tmpl w:val="3850B88E"/>
    <w:lvl w:ilvl="0" w:tplc="1E4CCD4C">
      <w:start w:val="3"/>
      <w:numFmt w:val="decimal"/>
      <w:lvlText w:val="%1."/>
      <w:lvlJc w:val="left"/>
      <w:pPr>
        <w:ind w:left="720" w:hanging="360"/>
      </w:pPr>
      <w:rPr>
        <w:rFonts w:hint="default"/>
      </w:r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3" w15:restartNumberingAfterBreak="0">
    <w:nsid w:val="03FE57CC"/>
    <w:multiLevelType w:val="hybridMultilevel"/>
    <w:tmpl w:val="CB1EF8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101A0E"/>
    <w:multiLevelType w:val="multilevel"/>
    <w:tmpl w:val="605C3D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D2A15"/>
    <w:multiLevelType w:val="multilevel"/>
    <w:tmpl w:val="51E8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66D0E"/>
    <w:multiLevelType w:val="hybridMultilevel"/>
    <w:tmpl w:val="1794F132"/>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5780D87"/>
    <w:multiLevelType w:val="multilevel"/>
    <w:tmpl w:val="0B9475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B3488"/>
    <w:multiLevelType w:val="multilevel"/>
    <w:tmpl w:val="F2EAC0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110B1"/>
    <w:multiLevelType w:val="multilevel"/>
    <w:tmpl w:val="569298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04AEA"/>
    <w:multiLevelType w:val="hybridMultilevel"/>
    <w:tmpl w:val="94B8D07C"/>
    <w:lvl w:ilvl="0" w:tplc="5336C45A">
      <w:start w:val="1"/>
      <w:numFmt w:val="bullet"/>
      <w:lvlText w:val="▪"/>
      <w:lvlJc w:val="left"/>
      <w:pPr>
        <w:ind w:left="72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7C24226"/>
    <w:multiLevelType w:val="hybridMultilevel"/>
    <w:tmpl w:val="FE3CCCC0"/>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7E35002"/>
    <w:multiLevelType w:val="multilevel"/>
    <w:tmpl w:val="A1EEB8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96953"/>
    <w:multiLevelType w:val="hybridMultilevel"/>
    <w:tmpl w:val="C0865540"/>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08445274"/>
    <w:multiLevelType w:val="hybridMultilevel"/>
    <w:tmpl w:val="C778EE56"/>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8D34629"/>
    <w:multiLevelType w:val="hybridMultilevel"/>
    <w:tmpl w:val="BE427172"/>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6" w15:restartNumberingAfterBreak="0">
    <w:nsid w:val="08D44C1D"/>
    <w:multiLevelType w:val="hybridMultilevel"/>
    <w:tmpl w:val="73BC4C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096B6FED"/>
    <w:multiLevelType w:val="hybridMultilevel"/>
    <w:tmpl w:val="606A4442"/>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8" w15:restartNumberingAfterBreak="0">
    <w:nsid w:val="0AAA5903"/>
    <w:multiLevelType w:val="hybridMultilevel"/>
    <w:tmpl w:val="076C39CA"/>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9" w15:restartNumberingAfterBreak="0">
    <w:nsid w:val="0B5A2DE9"/>
    <w:multiLevelType w:val="hybridMultilevel"/>
    <w:tmpl w:val="1766ED34"/>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C472504"/>
    <w:multiLevelType w:val="hybridMultilevel"/>
    <w:tmpl w:val="8366578E"/>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0D32703C"/>
    <w:multiLevelType w:val="multilevel"/>
    <w:tmpl w:val="333019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3B4E32"/>
    <w:multiLevelType w:val="hybridMultilevel"/>
    <w:tmpl w:val="36560BD6"/>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106C3564"/>
    <w:multiLevelType w:val="multilevel"/>
    <w:tmpl w:val="E62CD3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F40814"/>
    <w:multiLevelType w:val="hybridMultilevel"/>
    <w:tmpl w:val="4DFE7F28"/>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1324BE2"/>
    <w:multiLevelType w:val="hybridMultilevel"/>
    <w:tmpl w:val="764E0FE8"/>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26" w15:restartNumberingAfterBreak="0">
    <w:nsid w:val="126604BF"/>
    <w:multiLevelType w:val="hybridMultilevel"/>
    <w:tmpl w:val="68AE65F6"/>
    <w:lvl w:ilvl="0" w:tplc="5336C45A">
      <w:start w:val="1"/>
      <w:numFmt w:val="bullet"/>
      <w:lvlText w:val="▪"/>
      <w:lvlJc w:val="left"/>
      <w:pPr>
        <w:ind w:left="501"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E87DCC"/>
    <w:multiLevelType w:val="hybridMultilevel"/>
    <w:tmpl w:val="81308E8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3B24307"/>
    <w:multiLevelType w:val="hybridMultilevel"/>
    <w:tmpl w:val="2960A98E"/>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41C3218"/>
    <w:multiLevelType w:val="hybridMultilevel"/>
    <w:tmpl w:val="E238008E"/>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144540FA"/>
    <w:multiLevelType w:val="hybridMultilevel"/>
    <w:tmpl w:val="D4A8E370"/>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14D26160"/>
    <w:multiLevelType w:val="hybridMultilevel"/>
    <w:tmpl w:val="F340712C"/>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150E5D5A"/>
    <w:multiLevelType w:val="hybridMultilevel"/>
    <w:tmpl w:val="0A301004"/>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15F46C0D"/>
    <w:multiLevelType w:val="hybridMultilevel"/>
    <w:tmpl w:val="207A73DA"/>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6184EBB"/>
    <w:multiLevelType w:val="hybridMultilevel"/>
    <w:tmpl w:val="4C803A4A"/>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162E198E"/>
    <w:multiLevelType w:val="hybridMultilevel"/>
    <w:tmpl w:val="0E6C9E46"/>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75F4BCB"/>
    <w:multiLevelType w:val="hybridMultilevel"/>
    <w:tmpl w:val="E1200A4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17915653"/>
    <w:multiLevelType w:val="hybridMultilevel"/>
    <w:tmpl w:val="F8ECF6C2"/>
    <w:lvl w:ilvl="0" w:tplc="5336C45A">
      <w:start w:val="1"/>
      <w:numFmt w:val="bullet"/>
      <w:lvlText w:val="▪"/>
      <w:lvlJc w:val="left"/>
      <w:pPr>
        <w:ind w:left="501"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79279F3"/>
    <w:multiLevelType w:val="multilevel"/>
    <w:tmpl w:val="90266D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535277"/>
    <w:multiLevelType w:val="hybridMultilevel"/>
    <w:tmpl w:val="AAE45BA6"/>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18F46BB1"/>
    <w:multiLevelType w:val="hybridMultilevel"/>
    <w:tmpl w:val="147E634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 w15:restartNumberingAfterBreak="0">
    <w:nsid w:val="18F647B8"/>
    <w:multiLevelType w:val="hybridMultilevel"/>
    <w:tmpl w:val="8A6E02E4"/>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42" w15:restartNumberingAfterBreak="0">
    <w:nsid w:val="1A4C1118"/>
    <w:multiLevelType w:val="hybridMultilevel"/>
    <w:tmpl w:val="04E88DB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ACD5ECD"/>
    <w:multiLevelType w:val="multilevel"/>
    <w:tmpl w:val="958CAF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A52D08"/>
    <w:multiLevelType w:val="multilevel"/>
    <w:tmpl w:val="48AC5EB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785"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6342C9"/>
    <w:multiLevelType w:val="hybridMultilevel"/>
    <w:tmpl w:val="A8508974"/>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6" w15:restartNumberingAfterBreak="0">
    <w:nsid w:val="1CE64B99"/>
    <w:multiLevelType w:val="multilevel"/>
    <w:tmpl w:val="0158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67387B"/>
    <w:multiLevelType w:val="hybridMultilevel"/>
    <w:tmpl w:val="ED6AAD64"/>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48" w15:restartNumberingAfterBreak="0">
    <w:nsid w:val="1EE313FB"/>
    <w:multiLevelType w:val="hybridMultilevel"/>
    <w:tmpl w:val="79BCC440"/>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9" w15:restartNumberingAfterBreak="0">
    <w:nsid w:val="2022698E"/>
    <w:multiLevelType w:val="hybridMultilevel"/>
    <w:tmpl w:val="92C07212"/>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0" w15:restartNumberingAfterBreak="0">
    <w:nsid w:val="20742DA0"/>
    <w:multiLevelType w:val="multilevel"/>
    <w:tmpl w:val="7F5AFF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E11F93"/>
    <w:multiLevelType w:val="hybridMultilevel"/>
    <w:tmpl w:val="1C52F838"/>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52" w15:restartNumberingAfterBreak="0">
    <w:nsid w:val="211C5BF5"/>
    <w:multiLevelType w:val="hybridMultilevel"/>
    <w:tmpl w:val="2C38AD3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15:restartNumberingAfterBreak="0">
    <w:nsid w:val="21451BF7"/>
    <w:multiLevelType w:val="hybridMultilevel"/>
    <w:tmpl w:val="1EE81F56"/>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18515D9"/>
    <w:multiLevelType w:val="hybridMultilevel"/>
    <w:tmpl w:val="D612046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19A5A10"/>
    <w:multiLevelType w:val="hybridMultilevel"/>
    <w:tmpl w:val="C0423CEC"/>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6" w15:restartNumberingAfterBreak="0">
    <w:nsid w:val="22206B90"/>
    <w:multiLevelType w:val="hybridMultilevel"/>
    <w:tmpl w:val="8EE0C474"/>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26D60CD"/>
    <w:multiLevelType w:val="hybridMultilevel"/>
    <w:tmpl w:val="D4A0BCA6"/>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8" w15:restartNumberingAfterBreak="0">
    <w:nsid w:val="22EE35C2"/>
    <w:multiLevelType w:val="hybridMultilevel"/>
    <w:tmpl w:val="097C4578"/>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9" w15:restartNumberingAfterBreak="0">
    <w:nsid w:val="2401053E"/>
    <w:multiLevelType w:val="hybridMultilevel"/>
    <w:tmpl w:val="B60EE11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0" w15:restartNumberingAfterBreak="0">
    <w:nsid w:val="24812D70"/>
    <w:multiLevelType w:val="hybridMultilevel"/>
    <w:tmpl w:val="973ECDC6"/>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4C71200"/>
    <w:multiLevelType w:val="hybridMultilevel"/>
    <w:tmpl w:val="8662FC3C"/>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57A7D86"/>
    <w:multiLevelType w:val="hybridMultilevel"/>
    <w:tmpl w:val="C3D41BB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3" w15:restartNumberingAfterBreak="0">
    <w:nsid w:val="25E61A63"/>
    <w:multiLevelType w:val="multilevel"/>
    <w:tmpl w:val="734216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B35A40"/>
    <w:multiLevelType w:val="hybridMultilevel"/>
    <w:tmpl w:val="3ACE49EA"/>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65" w15:restartNumberingAfterBreak="0">
    <w:nsid w:val="26B47B2E"/>
    <w:multiLevelType w:val="hybridMultilevel"/>
    <w:tmpl w:val="B994073C"/>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6EA152A"/>
    <w:multiLevelType w:val="multilevel"/>
    <w:tmpl w:val="F70E62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010B41"/>
    <w:multiLevelType w:val="hybridMultilevel"/>
    <w:tmpl w:val="DFF07FCA"/>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68" w15:restartNumberingAfterBreak="0">
    <w:nsid w:val="27A358A0"/>
    <w:multiLevelType w:val="hybridMultilevel"/>
    <w:tmpl w:val="59C4086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9" w15:restartNumberingAfterBreak="0">
    <w:nsid w:val="27DD0929"/>
    <w:multiLevelType w:val="hybridMultilevel"/>
    <w:tmpl w:val="3BA21512"/>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0" w15:restartNumberingAfterBreak="0">
    <w:nsid w:val="282C5D87"/>
    <w:multiLevelType w:val="multilevel"/>
    <w:tmpl w:val="19EE439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382F42"/>
    <w:multiLevelType w:val="hybridMultilevel"/>
    <w:tmpl w:val="8AB85FA2"/>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2" w15:restartNumberingAfterBreak="0">
    <w:nsid w:val="28D109DE"/>
    <w:multiLevelType w:val="hybridMultilevel"/>
    <w:tmpl w:val="6DE8D9D8"/>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73" w15:restartNumberingAfterBreak="0">
    <w:nsid w:val="29E02D54"/>
    <w:multiLevelType w:val="hybridMultilevel"/>
    <w:tmpl w:val="4CE08F88"/>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4" w15:restartNumberingAfterBreak="0">
    <w:nsid w:val="2A5B3249"/>
    <w:multiLevelType w:val="multilevel"/>
    <w:tmpl w:val="356E04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DC4F8C"/>
    <w:multiLevelType w:val="multilevel"/>
    <w:tmpl w:val="DCE4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131F89"/>
    <w:multiLevelType w:val="multilevel"/>
    <w:tmpl w:val="B652D8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E92C54"/>
    <w:multiLevelType w:val="hybridMultilevel"/>
    <w:tmpl w:val="BAF007C4"/>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2DAC4ACA"/>
    <w:multiLevelType w:val="multilevel"/>
    <w:tmpl w:val="40CAEF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B9504A"/>
    <w:multiLevelType w:val="hybridMultilevel"/>
    <w:tmpl w:val="C0147482"/>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80" w15:restartNumberingAfterBreak="0">
    <w:nsid w:val="2E313CC8"/>
    <w:multiLevelType w:val="multilevel"/>
    <w:tmpl w:val="1D4C3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EEF44E7"/>
    <w:multiLevelType w:val="hybridMultilevel"/>
    <w:tmpl w:val="D5A6EAD6"/>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82" w15:restartNumberingAfterBreak="0">
    <w:nsid w:val="30600258"/>
    <w:multiLevelType w:val="hybridMultilevel"/>
    <w:tmpl w:val="4BB6FD08"/>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83" w15:restartNumberingAfterBreak="0">
    <w:nsid w:val="308D45F4"/>
    <w:multiLevelType w:val="hybridMultilevel"/>
    <w:tmpl w:val="EA16D184"/>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84" w15:restartNumberingAfterBreak="0">
    <w:nsid w:val="31152254"/>
    <w:multiLevelType w:val="hybridMultilevel"/>
    <w:tmpl w:val="7772ECEC"/>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5" w15:restartNumberingAfterBreak="0">
    <w:nsid w:val="32687E51"/>
    <w:multiLevelType w:val="hybridMultilevel"/>
    <w:tmpl w:val="CE3A46D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6" w15:restartNumberingAfterBreak="0">
    <w:nsid w:val="32E8331A"/>
    <w:multiLevelType w:val="multilevel"/>
    <w:tmpl w:val="D242C2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D4115A"/>
    <w:multiLevelType w:val="hybridMultilevel"/>
    <w:tmpl w:val="C54EE060"/>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8" w15:restartNumberingAfterBreak="0">
    <w:nsid w:val="33ED4844"/>
    <w:multiLevelType w:val="hybridMultilevel"/>
    <w:tmpl w:val="13029358"/>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9" w15:restartNumberingAfterBreak="0">
    <w:nsid w:val="34333A1C"/>
    <w:multiLevelType w:val="hybridMultilevel"/>
    <w:tmpl w:val="061A5010"/>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34AC7343"/>
    <w:multiLevelType w:val="hybridMultilevel"/>
    <w:tmpl w:val="45227FFE"/>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91" w15:restartNumberingAfterBreak="0">
    <w:nsid w:val="361B5DB8"/>
    <w:multiLevelType w:val="hybridMultilevel"/>
    <w:tmpl w:val="3B5A526C"/>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36517BFC"/>
    <w:multiLevelType w:val="multilevel"/>
    <w:tmpl w:val="72EA19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68542E1"/>
    <w:multiLevelType w:val="hybridMultilevel"/>
    <w:tmpl w:val="DAD00D48"/>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94" w15:restartNumberingAfterBreak="0">
    <w:nsid w:val="36DF52AB"/>
    <w:multiLevelType w:val="multilevel"/>
    <w:tmpl w:val="3A8424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7380F14"/>
    <w:multiLevelType w:val="hybridMultilevel"/>
    <w:tmpl w:val="BE0A23F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6" w15:restartNumberingAfterBreak="0">
    <w:nsid w:val="373C2958"/>
    <w:multiLevelType w:val="hybridMultilevel"/>
    <w:tmpl w:val="A2EE03E4"/>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37933F51"/>
    <w:multiLevelType w:val="hybridMultilevel"/>
    <w:tmpl w:val="695A2BD8"/>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38292F51"/>
    <w:multiLevelType w:val="hybridMultilevel"/>
    <w:tmpl w:val="D66EE8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9" w15:restartNumberingAfterBreak="0">
    <w:nsid w:val="3AEE0DEF"/>
    <w:multiLevelType w:val="hybridMultilevel"/>
    <w:tmpl w:val="73D88988"/>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3B027896"/>
    <w:multiLevelType w:val="hybridMultilevel"/>
    <w:tmpl w:val="E978307C"/>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3B79528B"/>
    <w:multiLevelType w:val="hybridMultilevel"/>
    <w:tmpl w:val="EF46033C"/>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02" w15:restartNumberingAfterBreak="0">
    <w:nsid w:val="3C486091"/>
    <w:multiLevelType w:val="hybridMultilevel"/>
    <w:tmpl w:val="D60C29C4"/>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3F29544F"/>
    <w:multiLevelType w:val="hybridMultilevel"/>
    <w:tmpl w:val="4E20A3C6"/>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04" w15:restartNumberingAfterBreak="0">
    <w:nsid w:val="3FCD5D9F"/>
    <w:multiLevelType w:val="multilevel"/>
    <w:tmpl w:val="E91A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6E4BBC"/>
    <w:multiLevelType w:val="hybridMultilevel"/>
    <w:tmpl w:val="5B149B0E"/>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1E23773"/>
    <w:multiLevelType w:val="multilevel"/>
    <w:tmpl w:val="47E0BD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32118F5"/>
    <w:multiLevelType w:val="hybridMultilevel"/>
    <w:tmpl w:val="31D042B2"/>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08" w15:restartNumberingAfterBreak="0">
    <w:nsid w:val="437762AD"/>
    <w:multiLevelType w:val="hybridMultilevel"/>
    <w:tmpl w:val="B7B8AB80"/>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451B67F0"/>
    <w:multiLevelType w:val="multilevel"/>
    <w:tmpl w:val="895E71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6E5444"/>
    <w:multiLevelType w:val="hybridMultilevel"/>
    <w:tmpl w:val="F286C9F0"/>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11" w15:restartNumberingAfterBreak="0">
    <w:nsid w:val="463D5D19"/>
    <w:multiLevelType w:val="hybridMultilevel"/>
    <w:tmpl w:val="ADAC26E8"/>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2" w15:restartNumberingAfterBreak="0">
    <w:nsid w:val="49E94215"/>
    <w:multiLevelType w:val="hybridMultilevel"/>
    <w:tmpl w:val="9E92B0C8"/>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13" w15:restartNumberingAfterBreak="0">
    <w:nsid w:val="4A0D08AA"/>
    <w:multiLevelType w:val="hybridMultilevel"/>
    <w:tmpl w:val="2C6475A8"/>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4A2D69CB"/>
    <w:multiLevelType w:val="hybridMultilevel"/>
    <w:tmpl w:val="186E7714"/>
    <w:lvl w:ilvl="0" w:tplc="BFF4A1BE">
      <w:start w:val="1"/>
      <w:numFmt w:val="decimal"/>
      <w:lvlText w:val="%1."/>
      <w:lvlJc w:val="left"/>
      <w:pPr>
        <w:ind w:left="720" w:hanging="360"/>
      </w:pPr>
      <w:rPr>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4B250E68"/>
    <w:multiLevelType w:val="hybridMultilevel"/>
    <w:tmpl w:val="96C45CCE"/>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16" w15:restartNumberingAfterBreak="0">
    <w:nsid w:val="4C023CBE"/>
    <w:multiLevelType w:val="hybridMultilevel"/>
    <w:tmpl w:val="1318F3BE"/>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4C1B75A5"/>
    <w:multiLevelType w:val="hybridMultilevel"/>
    <w:tmpl w:val="3404D14A"/>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18" w15:restartNumberingAfterBreak="0">
    <w:nsid w:val="4DA44316"/>
    <w:multiLevelType w:val="hybridMultilevel"/>
    <w:tmpl w:val="B9440C3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9" w15:restartNumberingAfterBreak="0">
    <w:nsid w:val="4DC015F5"/>
    <w:multiLevelType w:val="hybridMultilevel"/>
    <w:tmpl w:val="01824B36"/>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20" w15:restartNumberingAfterBreak="0">
    <w:nsid w:val="4E7118CE"/>
    <w:multiLevelType w:val="hybridMultilevel"/>
    <w:tmpl w:val="7B6430B8"/>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4F623447"/>
    <w:multiLevelType w:val="hybridMultilevel"/>
    <w:tmpl w:val="8BD86746"/>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22" w15:restartNumberingAfterBreak="0">
    <w:nsid w:val="504B148E"/>
    <w:multiLevelType w:val="multilevel"/>
    <w:tmpl w:val="AE08DA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9B0BC5"/>
    <w:multiLevelType w:val="multilevel"/>
    <w:tmpl w:val="50BEFB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C14987"/>
    <w:multiLevelType w:val="hybridMultilevel"/>
    <w:tmpl w:val="FC4C87C0"/>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5" w15:restartNumberingAfterBreak="0">
    <w:nsid w:val="50E4039E"/>
    <w:multiLevelType w:val="hybridMultilevel"/>
    <w:tmpl w:val="EFEA9364"/>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26" w15:restartNumberingAfterBreak="0">
    <w:nsid w:val="520379A7"/>
    <w:multiLevelType w:val="hybridMultilevel"/>
    <w:tmpl w:val="8C68F77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7" w15:restartNumberingAfterBreak="0">
    <w:nsid w:val="525B402B"/>
    <w:multiLevelType w:val="hybridMultilevel"/>
    <w:tmpl w:val="0A42CA92"/>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8" w15:restartNumberingAfterBreak="0">
    <w:nsid w:val="52723620"/>
    <w:multiLevelType w:val="hybridMultilevel"/>
    <w:tmpl w:val="3CE6A5E6"/>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29" w15:restartNumberingAfterBreak="0">
    <w:nsid w:val="529E4199"/>
    <w:multiLevelType w:val="hybridMultilevel"/>
    <w:tmpl w:val="96AE0C94"/>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30" w15:restartNumberingAfterBreak="0">
    <w:nsid w:val="52E0270C"/>
    <w:multiLevelType w:val="hybridMultilevel"/>
    <w:tmpl w:val="788AA3CE"/>
    <w:lvl w:ilvl="0" w:tplc="5336C45A">
      <w:start w:val="1"/>
      <w:numFmt w:val="bullet"/>
      <w:lvlText w:val="▪"/>
      <w:lvlJc w:val="left"/>
      <w:pPr>
        <w:ind w:left="501"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53227B2E"/>
    <w:multiLevelType w:val="hybridMultilevel"/>
    <w:tmpl w:val="DAA69C8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2" w15:restartNumberingAfterBreak="0">
    <w:nsid w:val="540B6998"/>
    <w:multiLevelType w:val="hybridMultilevel"/>
    <w:tmpl w:val="81064ACC"/>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43D62C8"/>
    <w:multiLevelType w:val="hybridMultilevel"/>
    <w:tmpl w:val="9C5E3DDE"/>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34" w15:restartNumberingAfterBreak="0">
    <w:nsid w:val="5463223D"/>
    <w:multiLevelType w:val="hybridMultilevel"/>
    <w:tmpl w:val="59F8151E"/>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35" w15:restartNumberingAfterBreak="0">
    <w:nsid w:val="54AA3D1E"/>
    <w:multiLevelType w:val="hybridMultilevel"/>
    <w:tmpl w:val="E0328D7A"/>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36" w15:restartNumberingAfterBreak="0">
    <w:nsid w:val="55B07F7A"/>
    <w:multiLevelType w:val="hybridMultilevel"/>
    <w:tmpl w:val="91B68F2E"/>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7" w15:restartNumberingAfterBreak="0">
    <w:nsid w:val="560666AE"/>
    <w:multiLevelType w:val="hybridMultilevel"/>
    <w:tmpl w:val="E698DCA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563212DA"/>
    <w:multiLevelType w:val="multilevel"/>
    <w:tmpl w:val="AE240F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7E6694D"/>
    <w:multiLevelType w:val="hybridMultilevel"/>
    <w:tmpl w:val="0B286EEE"/>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593D5087"/>
    <w:multiLevelType w:val="hybridMultilevel"/>
    <w:tmpl w:val="19A2A73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59752A43"/>
    <w:multiLevelType w:val="multilevel"/>
    <w:tmpl w:val="F98C27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EE585F"/>
    <w:multiLevelType w:val="multilevel"/>
    <w:tmpl w:val="A600B8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B226CA"/>
    <w:multiLevelType w:val="hybridMultilevel"/>
    <w:tmpl w:val="58587D32"/>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44" w15:restartNumberingAfterBreak="0">
    <w:nsid w:val="5BAC26D7"/>
    <w:multiLevelType w:val="hybridMultilevel"/>
    <w:tmpl w:val="97E6FDB0"/>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5" w15:restartNumberingAfterBreak="0">
    <w:nsid w:val="5BD7112A"/>
    <w:multiLevelType w:val="hybridMultilevel"/>
    <w:tmpl w:val="5EAA209C"/>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5E3314A2"/>
    <w:multiLevelType w:val="hybridMultilevel"/>
    <w:tmpl w:val="8BBAFB1A"/>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47" w15:restartNumberingAfterBreak="0">
    <w:nsid w:val="5F267517"/>
    <w:multiLevelType w:val="hybridMultilevel"/>
    <w:tmpl w:val="843EDC16"/>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8" w15:restartNumberingAfterBreak="0">
    <w:nsid w:val="5FD82BB9"/>
    <w:multiLevelType w:val="hybridMultilevel"/>
    <w:tmpl w:val="34144E58"/>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606B2F67"/>
    <w:multiLevelType w:val="hybridMultilevel"/>
    <w:tmpl w:val="A0A4419A"/>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0" w15:restartNumberingAfterBreak="0">
    <w:nsid w:val="62314C83"/>
    <w:multiLevelType w:val="hybridMultilevel"/>
    <w:tmpl w:val="EF5C3F82"/>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1" w15:restartNumberingAfterBreak="0">
    <w:nsid w:val="623E3264"/>
    <w:multiLevelType w:val="hybridMultilevel"/>
    <w:tmpl w:val="A394D66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2" w15:restartNumberingAfterBreak="0">
    <w:nsid w:val="624C3DBD"/>
    <w:multiLevelType w:val="multilevel"/>
    <w:tmpl w:val="E21283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FF1036"/>
    <w:multiLevelType w:val="hybridMultilevel"/>
    <w:tmpl w:val="36C47BC6"/>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4" w15:restartNumberingAfterBreak="0">
    <w:nsid w:val="63016B61"/>
    <w:multiLevelType w:val="hybridMultilevel"/>
    <w:tmpl w:val="4A1440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635D31AF"/>
    <w:multiLevelType w:val="multilevel"/>
    <w:tmpl w:val="1DFEE2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6A2246"/>
    <w:multiLevelType w:val="multilevel"/>
    <w:tmpl w:val="F51266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E81692"/>
    <w:multiLevelType w:val="multilevel"/>
    <w:tmpl w:val="6A48AC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4C4711C"/>
    <w:multiLevelType w:val="hybridMultilevel"/>
    <w:tmpl w:val="26283C10"/>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59" w15:restartNumberingAfterBreak="0">
    <w:nsid w:val="65D61FBC"/>
    <w:multiLevelType w:val="hybridMultilevel"/>
    <w:tmpl w:val="48A8E4A6"/>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0" w15:restartNumberingAfterBreak="0">
    <w:nsid w:val="678826CC"/>
    <w:multiLevelType w:val="hybridMultilevel"/>
    <w:tmpl w:val="3BD82C9A"/>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15:restartNumberingAfterBreak="0">
    <w:nsid w:val="69303134"/>
    <w:multiLevelType w:val="hybridMultilevel"/>
    <w:tmpl w:val="979A879A"/>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69AB2324"/>
    <w:multiLevelType w:val="hybridMultilevel"/>
    <w:tmpl w:val="8EFA928E"/>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69C6120B"/>
    <w:multiLevelType w:val="multilevel"/>
    <w:tmpl w:val="9C9206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9C90DCC"/>
    <w:multiLevelType w:val="hybridMultilevel"/>
    <w:tmpl w:val="F4AC081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69D01589"/>
    <w:multiLevelType w:val="hybridMultilevel"/>
    <w:tmpl w:val="ACC48F9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6" w15:restartNumberingAfterBreak="0">
    <w:nsid w:val="6A87165A"/>
    <w:multiLevelType w:val="hybridMultilevel"/>
    <w:tmpl w:val="56685EF6"/>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67" w15:restartNumberingAfterBreak="0">
    <w:nsid w:val="6AB16296"/>
    <w:multiLevelType w:val="hybridMultilevel"/>
    <w:tmpl w:val="9C2A932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6ABD1D00"/>
    <w:multiLevelType w:val="hybridMultilevel"/>
    <w:tmpl w:val="A6045BBA"/>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69" w15:restartNumberingAfterBreak="0">
    <w:nsid w:val="6B882068"/>
    <w:multiLevelType w:val="multilevel"/>
    <w:tmpl w:val="72EA19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D477C6A"/>
    <w:multiLevelType w:val="hybridMultilevel"/>
    <w:tmpl w:val="63DED3D2"/>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71" w15:restartNumberingAfterBreak="0">
    <w:nsid w:val="6DD566A3"/>
    <w:multiLevelType w:val="hybridMultilevel"/>
    <w:tmpl w:val="B6A2E4D6"/>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2" w15:restartNumberingAfterBreak="0">
    <w:nsid w:val="6DDB30DC"/>
    <w:multiLevelType w:val="multilevel"/>
    <w:tmpl w:val="06DC9B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FA55466"/>
    <w:multiLevelType w:val="hybridMultilevel"/>
    <w:tmpl w:val="27009498"/>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4" w15:restartNumberingAfterBreak="0">
    <w:nsid w:val="70F52C10"/>
    <w:multiLevelType w:val="hybridMultilevel"/>
    <w:tmpl w:val="270E8C94"/>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75" w15:restartNumberingAfterBreak="0">
    <w:nsid w:val="70FC5326"/>
    <w:multiLevelType w:val="hybridMultilevel"/>
    <w:tmpl w:val="4EF8D6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6" w15:restartNumberingAfterBreak="0">
    <w:nsid w:val="7122753A"/>
    <w:multiLevelType w:val="hybridMultilevel"/>
    <w:tmpl w:val="15D28E96"/>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7" w15:restartNumberingAfterBreak="0">
    <w:nsid w:val="716F120F"/>
    <w:multiLevelType w:val="hybridMultilevel"/>
    <w:tmpl w:val="FD04255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8" w15:restartNumberingAfterBreak="0">
    <w:nsid w:val="722B205E"/>
    <w:multiLevelType w:val="hybridMultilevel"/>
    <w:tmpl w:val="CFD0D360"/>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9" w15:restartNumberingAfterBreak="0">
    <w:nsid w:val="73DD37FD"/>
    <w:multiLevelType w:val="multilevel"/>
    <w:tmpl w:val="8ACC29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42862FB"/>
    <w:multiLevelType w:val="hybridMultilevel"/>
    <w:tmpl w:val="FECCA01E"/>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81" w15:restartNumberingAfterBreak="0">
    <w:nsid w:val="757C6880"/>
    <w:multiLevelType w:val="hybridMultilevel"/>
    <w:tmpl w:val="8B5CD304"/>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762C4F59"/>
    <w:multiLevelType w:val="multilevel"/>
    <w:tmpl w:val="8A847B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6B55DB9"/>
    <w:multiLevelType w:val="hybridMultilevel"/>
    <w:tmpl w:val="9A5EAF22"/>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77763967"/>
    <w:multiLevelType w:val="hybridMultilevel"/>
    <w:tmpl w:val="90720B72"/>
    <w:lvl w:ilvl="0" w:tplc="04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785944C6"/>
    <w:multiLevelType w:val="hybridMultilevel"/>
    <w:tmpl w:val="CC6021B2"/>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86" w15:restartNumberingAfterBreak="0">
    <w:nsid w:val="78715A0F"/>
    <w:multiLevelType w:val="hybridMultilevel"/>
    <w:tmpl w:val="62F005F6"/>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7" w15:restartNumberingAfterBreak="0">
    <w:nsid w:val="796D26C1"/>
    <w:multiLevelType w:val="hybridMultilevel"/>
    <w:tmpl w:val="CF3A9FFE"/>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88" w15:restartNumberingAfterBreak="0">
    <w:nsid w:val="79DA6B97"/>
    <w:multiLevelType w:val="multilevel"/>
    <w:tmpl w:val="2F180F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A235E55"/>
    <w:multiLevelType w:val="multilevel"/>
    <w:tmpl w:val="E6DAC5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AC6921"/>
    <w:multiLevelType w:val="hybridMultilevel"/>
    <w:tmpl w:val="EB1ACABA"/>
    <w:lvl w:ilvl="0" w:tplc="5336C45A">
      <w:start w:val="1"/>
      <w:numFmt w:val="bullet"/>
      <w:lvlText w:val="▪"/>
      <w:lvlJc w:val="left"/>
      <w:pPr>
        <w:ind w:left="501"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 w15:restartNumberingAfterBreak="0">
    <w:nsid w:val="7AB130B7"/>
    <w:multiLevelType w:val="multilevel"/>
    <w:tmpl w:val="E334F5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F850BA"/>
    <w:multiLevelType w:val="hybridMultilevel"/>
    <w:tmpl w:val="24C6092C"/>
    <w:lvl w:ilvl="0" w:tplc="5336C45A">
      <w:start w:val="1"/>
      <w:numFmt w:val="bullet"/>
      <w:lvlText w:val="▪"/>
      <w:lvlJc w:val="left"/>
      <w:pPr>
        <w:ind w:left="360" w:hanging="360"/>
      </w:pPr>
      <w:rPr>
        <w:rFonts w:ascii="Helvetica" w:eastAsia="Helvetica" w:hAnsi="Helvetica" w:cs="Helvetica" w:hint="default"/>
        <w:sz w:val="16"/>
        <w:szCs w:val="1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3" w15:restartNumberingAfterBreak="0">
    <w:nsid w:val="7B437D13"/>
    <w:multiLevelType w:val="hybridMultilevel"/>
    <w:tmpl w:val="3D368D2E"/>
    <w:lvl w:ilvl="0" w:tplc="300C0005">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94" w15:restartNumberingAfterBreak="0">
    <w:nsid w:val="7B472423"/>
    <w:multiLevelType w:val="hybridMultilevel"/>
    <w:tmpl w:val="28465A76"/>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5" w15:restartNumberingAfterBreak="0">
    <w:nsid w:val="7BAB2397"/>
    <w:multiLevelType w:val="multilevel"/>
    <w:tmpl w:val="0A14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CB32938"/>
    <w:multiLevelType w:val="multilevel"/>
    <w:tmpl w:val="27345B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BF11CF"/>
    <w:multiLevelType w:val="hybridMultilevel"/>
    <w:tmpl w:val="B4EC530E"/>
    <w:lvl w:ilvl="0" w:tplc="300C0005">
      <w:start w:val="1"/>
      <w:numFmt w:val="bullet"/>
      <w:lvlText w:val=""/>
      <w:lvlJc w:val="left"/>
      <w:pPr>
        <w:ind w:left="360" w:hanging="360"/>
      </w:pPr>
      <w:rPr>
        <w:rFonts w:ascii="Wingdings" w:hAnsi="Wingdings" w:hint="default"/>
      </w:rPr>
    </w:lvl>
    <w:lvl w:ilvl="1" w:tplc="300C0003" w:tentative="1">
      <w:start w:val="1"/>
      <w:numFmt w:val="bullet"/>
      <w:lvlText w:val="o"/>
      <w:lvlJc w:val="left"/>
      <w:pPr>
        <w:ind w:left="1080" w:hanging="360"/>
      </w:pPr>
      <w:rPr>
        <w:rFonts w:ascii="Courier New" w:hAnsi="Courier New" w:cs="Courier New" w:hint="default"/>
      </w:rPr>
    </w:lvl>
    <w:lvl w:ilvl="2" w:tplc="300C0005" w:tentative="1">
      <w:start w:val="1"/>
      <w:numFmt w:val="bullet"/>
      <w:lvlText w:val=""/>
      <w:lvlJc w:val="left"/>
      <w:pPr>
        <w:ind w:left="1800" w:hanging="360"/>
      </w:pPr>
      <w:rPr>
        <w:rFonts w:ascii="Wingdings" w:hAnsi="Wingdings" w:hint="default"/>
      </w:rPr>
    </w:lvl>
    <w:lvl w:ilvl="3" w:tplc="300C0001" w:tentative="1">
      <w:start w:val="1"/>
      <w:numFmt w:val="bullet"/>
      <w:lvlText w:val=""/>
      <w:lvlJc w:val="left"/>
      <w:pPr>
        <w:ind w:left="2520" w:hanging="360"/>
      </w:pPr>
      <w:rPr>
        <w:rFonts w:ascii="Symbol" w:hAnsi="Symbol" w:hint="default"/>
      </w:rPr>
    </w:lvl>
    <w:lvl w:ilvl="4" w:tplc="300C0003" w:tentative="1">
      <w:start w:val="1"/>
      <w:numFmt w:val="bullet"/>
      <w:lvlText w:val="o"/>
      <w:lvlJc w:val="left"/>
      <w:pPr>
        <w:ind w:left="3240" w:hanging="360"/>
      </w:pPr>
      <w:rPr>
        <w:rFonts w:ascii="Courier New" w:hAnsi="Courier New" w:cs="Courier New" w:hint="default"/>
      </w:rPr>
    </w:lvl>
    <w:lvl w:ilvl="5" w:tplc="300C0005" w:tentative="1">
      <w:start w:val="1"/>
      <w:numFmt w:val="bullet"/>
      <w:lvlText w:val=""/>
      <w:lvlJc w:val="left"/>
      <w:pPr>
        <w:ind w:left="3960" w:hanging="360"/>
      </w:pPr>
      <w:rPr>
        <w:rFonts w:ascii="Wingdings" w:hAnsi="Wingdings" w:hint="default"/>
      </w:rPr>
    </w:lvl>
    <w:lvl w:ilvl="6" w:tplc="300C0001" w:tentative="1">
      <w:start w:val="1"/>
      <w:numFmt w:val="bullet"/>
      <w:lvlText w:val=""/>
      <w:lvlJc w:val="left"/>
      <w:pPr>
        <w:ind w:left="4680" w:hanging="360"/>
      </w:pPr>
      <w:rPr>
        <w:rFonts w:ascii="Symbol" w:hAnsi="Symbol" w:hint="default"/>
      </w:rPr>
    </w:lvl>
    <w:lvl w:ilvl="7" w:tplc="300C0003" w:tentative="1">
      <w:start w:val="1"/>
      <w:numFmt w:val="bullet"/>
      <w:lvlText w:val="o"/>
      <w:lvlJc w:val="left"/>
      <w:pPr>
        <w:ind w:left="5400" w:hanging="360"/>
      </w:pPr>
      <w:rPr>
        <w:rFonts w:ascii="Courier New" w:hAnsi="Courier New" w:cs="Courier New" w:hint="default"/>
      </w:rPr>
    </w:lvl>
    <w:lvl w:ilvl="8" w:tplc="300C0005" w:tentative="1">
      <w:start w:val="1"/>
      <w:numFmt w:val="bullet"/>
      <w:lvlText w:val=""/>
      <w:lvlJc w:val="left"/>
      <w:pPr>
        <w:ind w:left="6120" w:hanging="360"/>
      </w:pPr>
      <w:rPr>
        <w:rFonts w:ascii="Wingdings" w:hAnsi="Wingdings" w:hint="default"/>
      </w:rPr>
    </w:lvl>
  </w:abstractNum>
  <w:abstractNum w:abstractNumId="198" w15:restartNumberingAfterBreak="0">
    <w:nsid w:val="7CCC759A"/>
    <w:multiLevelType w:val="hybridMultilevel"/>
    <w:tmpl w:val="C02E1DD8"/>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9" w15:restartNumberingAfterBreak="0">
    <w:nsid w:val="7D156A63"/>
    <w:multiLevelType w:val="multilevel"/>
    <w:tmpl w:val="F0D0F6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D7E1B58"/>
    <w:multiLevelType w:val="hybridMultilevel"/>
    <w:tmpl w:val="785A9E5C"/>
    <w:lvl w:ilvl="0" w:tplc="5336C45A">
      <w:start w:val="1"/>
      <w:numFmt w:val="bullet"/>
      <w:lvlText w:val="▪"/>
      <w:lvlJc w:val="left"/>
      <w:pPr>
        <w:ind w:left="360" w:hanging="360"/>
      </w:pPr>
      <w:rPr>
        <w:rFonts w:ascii="Helvetica" w:eastAsia="Helvetica" w:hAnsi="Helvetica" w:cs="Helvetica"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1" w15:restartNumberingAfterBreak="0">
    <w:nsid w:val="7DE046A1"/>
    <w:multiLevelType w:val="hybridMultilevel"/>
    <w:tmpl w:val="AB9C147C"/>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2" w15:restartNumberingAfterBreak="0">
    <w:nsid w:val="7EB70D2B"/>
    <w:multiLevelType w:val="hybridMultilevel"/>
    <w:tmpl w:val="D3A85A6E"/>
    <w:lvl w:ilvl="0" w:tplc="5336C45A">
      <w:start w:val="1"/>
      <w:numFmt w:val="bullet"/>
      <w:lvlText w:val="▪"/>
      <w:lvlJc w:val="left"/>
      <w:pPr>
        <w:ind w:left="360" w:hanging="360"/>
      </w:pPr>
      <w:rPr>
        <w:rFonts w:ascii="Helvetica" w:eastAsia="Helvetica" w:hAnsi="Helvetica" w:cs="Helvetica"/>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1716378">
    <w:abstractNumId w:val="18"/>
  </w:num>
  <w:num w:numId="2" w16cid:durableId="827481906">
    <w:abstractNumId w:val="134"/>
  </w:num>
  <w:num w:numId="3" w16cid:durableId="1612127971">
    <w:abstractNumId w:val="74"/>
  </w:num>
  <w:num w:numId="4" w16cid:durableId="1551379516">
    <w:abstractNumId w:val="103"/>
  </w:num>
  <w:num w:numId="5" w16cid:durableId="585068767">
    <w:abstractNumId w:val="86"/>
  </w:num>
  <w:num w:numId="6" w16cid:durableId="1992101476">
    <w:abstractNumId w:val="142"/>
  </w:num>
  <w:num w:numId="7" w16cid:durableId="776564719">
    <w:abstractNumId w:val="199"/>
  </w:num>
  <w:num w:numId="8" w16cid:durableId="1824740789">
    <w:abstractNumId w:val="107"/>
  </w:num>
  <w:num w:numId="9" w16cid:durableId="1113476845">
    <w:abstractNumId w:val="25"/>
  </w:num>
  <w:num w:numId="10" w16cid:durableId="666134804">
    <w:abstractNumId w:val="197"/>
  </w:num>
  <w:num w:numId="11" w16cid:durableId="1619022094">
    <w:abstractNumId w:val="133"/>
  </w:num>
  <w:num w:numId="12" w16cid:durableId="95057559">
    <w:abstractNumId w:val="110"/>
  </w:num>
  <w:num w:numId="13" w16cid:durableId="1041632535">
    <w:abstractNumId w:val="146"/>
  </w:num>
  <w:num w:numId="14" w16cid:durableId="2080597357">
    <w:abstractNumId w:val="112"/>
  </w:num>
  <w:num w:numId="15" w16cid:durableId="1303852583">
    <w:abstractNumId w:val="81"/>
  </w:num>
  <w:num w:numId="16" w16cid:durableId="2146849235">
    <w:abstractNumId w:val="119"/>
  </w:num>
  <w:num w:numId="17" w16cid:durableId="478421837">
    <w:abstractNumId w:val="15"/>
  </w:num>
  <w:num w:numId="18" w16cid:durableId="1650597432">
    <w:abstractNumId w:val="1"/>
  </w:num>
  <w:num w:numId="19" w16cid:durableId="2023163879">
    <w:abstractNumId w:val="115"/>
  </w:num>
  <w:num w:numId="20" w16cid:durableId="530143435">
    <w:abstractNumId w:val="101"/>
  </w:num>
  <w:num w:numId="21" w16cid:durableId="550073306">
    <w:abstractNumId w:val="128"/>
  </w:num>
  <w:num w:numId="22" w16cid:durableId="1597441288">
    <w:abstractNumId w:val="82"/>
  </w:num>
  <w:num w:numId="23" w16cid:durableId="1635911370">
    <w:abstractNumId w:val="90"/>
  </w:num>
  <w:num w:numId="24" w16cid:durableId="250433106">
    <w:abstractNumId w:val="129"/>
  </w:num>
  <w:num w:numId="25" w16cid:durableId="818961810">
    <w:abstractNumId w:val="170"/>
  </w:num>
  <w:num w:numId="26" w16cid:durableId="214512143">
    <w:abstractNumId w:val="67"/>
  </w:num>
  <w:num w:numId="27" w16cid:durableId="106583589">
    <w:abstractNumId w:val="51"/>
  </w:num>
  <w:num w:numId="28" w16cid:durableId="1289239866">
    <w:abstractNumId w:val="72"/>
  </w:num>
  <w:num w:numId="29" w16cid:durableId="1747261678">
    <w:abstractNumId w:val="47"/>
  </w:num>
  <w:num w:numId="30" w16cid:durableId="1431507751">
    <w:abstractNumId w:val="158"/>
  </w:num>
  <w:num w:numId="31" w16cid:durableId="1913198515">
    <w:abstractNumId w:val="135"/>
  </w:num>
  <w:num w:numId="32" w16cid:durableId="1646355525">
    <w:abstractNumId w:val="166"/>
  </w:num>
  <w:num w:numId="33" w16cid:durableId="1923947822">
    <w:abstractNumId w:val="83"/>
  </w:num>
  <w:num w:numId="34" w16cid:durableId="2099787472">
    <w:abstractNumId w:val="193"/>
  </w:num>
  <w:num w:numId="35" w16cid:durableId="1653438609">
    <w:abstractNumId w:val="64"/>
  </w:num>
  <w:num w:numId="36" w16cid:durableId="646932178">
    <w:abstractNumId w:val="125"/>
  </w:num>
  <w:num w:numId="37" w16cid:durableId="395981861">
    <w:abstractNumId w:val="79"/>
  </w:num>
  <w:num w:numId="38" w16cid:durableId="1437402528">
    <w:abstractNumId w:val="17"/>
  </w:num>
  <w:num w:numId="39" w16cid:durableId="314771629">
    <w:abstractNumId w:val="187"/>
  </w:num>
  <w:num w:numId="40" w16cid:durableId="1493256539">
    <w:abstractNumId w:val="174"/>
  </w:num>
  <w:num w:numId="41" w16cid:durableId="608708624">
    <w:abstractNumId w:val="157"/>
  </w:num>
  <w:num w:numId="42" w16cid:durableId="1967000917">
    <w:abstractNumId w:val="106"/>
  </w:num>
  <w:num w:numId="43" w16cid:durableId="1754274267">
    <w:abstractNumId w:val="104"/>
  </w:num>
  <w:num w:numId="44" w16cid:durableId="36783895">
    <w:abstractNumId w:val="8"/>
  </w:num>
  <w:num w:numId="45" w16cid:durableId="1234774231">
    <w:abstractNumId w:val="80"/>
  </w:num>
  <w:num w:numId="46" w16cid:durableId="388069298">
    <w:abstractNumId w:val="9"/>
  </w:num>
  <w:num w:numId="47" w16cid:durableId="943919047">
    <w:abstractNumId w:val="189"/>
  </w:num>
  <w:num w:numId="48" w16cid:durableId="1024551951">
    <w:abstractNumId w:val="70"/>
  </w:num>
  <w:num w:numId="49" w16cid:durableId="900409084">
    <w:abstractNumId w:val="43"/>
  </w:num>
  <w:num w:numId="50" w16cid:durableId="838469083">
    <w:abstractNumId w:val="12"/>
  </w:num>
  <w:num w:numId="51" w16cid:durableId="1938168313">
    <w:abstractNumId w:val="21"/>
  </w:num>
  <w:num w:numId="52" w16cid:durableId="985160892">
    <w:abstractNumId w:val="195"/>
  </w:num>
  <w:num w:numId="53" w16cid:durableId="995257585">
    <w:abstractNumId w:val="123"/>
  </w:num>
  <w:num w:numId="54" w16cid:durableId="1077438368">
    <w:abstractNumId w:val="109"/>
  </w:num>
  <w:num w:numId="55" w16cid:durableId="458495134">
    <w:abstractNumId w:val="5"/>
  </w:num>
  <w:num w:numId="56" w16cid:durableId="1493716553">
    <w:abstractNumId w:val="46"/>
  </w:num>
  <w:num w:numId="57" w16cid:durableId="1999380414">
    <w:abstractNumId w:val="23"/>
  </w:num>
  <w:num w:numId="58" w16cid:durableId="1349211302">
    <w:abstractNumId w:val="92"/>
  </w:num>
  <w:num w:numId="59" w16cid:durableId="864442192">
    <w:abstractNumId w:val="169"/>
  </w:num>
  <w:num w:numId="60" w16cid:durableId="1128477805">
    <w:abstractNumId w:val="152"/>
  </w:num>
  <w:num w:numId="61" w16cid:durableId="1035277731">
    <w:abstractNumId w:val="38"/>
  </w:num>
  <w:num w:numId="62" w16cid:durableId="980115181">
    <w:abstractNumId w:val="180"/>
  </w:num>
  <w:num w:numId="63" w16cid:durableId="953444979">
    <w:abstractNumId w:val="94"/>
  </w:num>
  <w:num w:numId="64" w16cid:durableId="1756243760">
    <w:abstractNumId w:val="78"/>
  </w:num>
  <w:num w:numId="65" w16cid:durableId="1801613191">
    <w:abstractNumId w:val="168"/>
  </w:num>
  <w:num w:numId="66" w16cid:durableId="910458486">
    <w:abstractNumId w:val="179"/>
  </w:num>
  <w:num w:numId="67" w16cid:durableId="45493128">
    <w:abstractNumId w:val="50"/>
  </w:num>
  <w:num w:numId="68" w16cid:durableId="770319645">
    <w:abstractNumId w:val="172"/>
  </w:num>
  <w:num w:numId="69" w16cid:durableId="602346059">
    <w:abstractNumId w:val="66"/>
  </w:num>
  <w:num w:numId="70" w16cid:durableId="323970561">
    <w:abstractNumId w:val="7"/>
  </w:num>
  <w:num w:numId="71" w16cid:durableId="985427749">
    <w:abstractNumId w:val="75"/>
  </w:num>
  <w:num w:numId="72" w16cid:durableId="163520989">
    <w:abstractNumId w:val="76"/>
  </w:num>
  <w:num w:numId="73" w16cid:durableId="276641771">
    <w:abstractNumId w:val="191"/>
  </w:num>
  <w:num w:numId="74" w16cid:durableId="1941177979">
    <w:abstractNumId w:val="138"/>
  </w:num>
  <w:num w:numId="75" w16cid:durableId="86773398">
    <w:abstractNumId w:val="33"/>
  </w:num>
  <w:num w:numId="76" w16cid:durableId="1617788516">
    <w:abstractNumId w:val="188"/>
  </w:num>
  <w:num w:numId="77" w16cid:durableId="381641981">
    <w:abstractNumId w:val="196"/>
  </w:num>
  <w:num w:numId="78" w16cid:durableId="844439560">
    <w:abstractNumId w:val="2"/>
  </w:num>
  <w:num w:numId="79" w16cid:durableId="2063627856">
    <w:abstractNumId w:val="63"/>
  </w:num>
  <w:num w:numId="80" w16cid:durableId="1296717057">
    <w:abstractNumId w:val="122"/>
  </w:num>
  <w:num w:numId="81" w16cid:durableId="1962029844">
    <w:abstractNumId w:val="163"/>
  </w:num>
  <w:num w:numId="82" w16cid:durableId="1021203543">
    <w:abstractNumId w:val="182"/>
  </w:num>
  <w:num w:numId="83" w16cid:durableId="847409323">
    <w:abstractNumId w:val="155"/>
  </w:num>
  <w:num w:numId="84" w16cid:durableId="792744893">
    <w:abstractNumId w:val="4"/>
  </w:num>
  <w:num w:numId="85" w16cid:durableId="36980213">
    <w:abstractNumId w:val="141"/>
  </w:num>
  <w:num w:numId="86" w16cid:durableId="353119788">
    <w:abstractNumId w:val="156"/>
  </w:num>
  <w:num w:numId="87" w16cid:durableId="1379354277">
    <w:abstractNumId w:val="164"/>
  </w:num>
  <w:num w:numId="88" w16cid:durableId="1658414051">
    <w:abstractNumId w:val="117"/>
  </w:num>
  <w:num w:numId="89" w16cid:durableId="1244802833">
    <w:abstractNumId w:val="121"/>
  </w:num>
  <w:num w:numId="90" w16cid:durableId="1070079495">
    <w:abstractNumId w:val="41"/>
  </w:num>
  <w:num w:numId="91" w16cid:durableId="430974187">
    <w:abstractNumId w:val="185"/>
  </w:num>
  <w:num w:numId="92" w16cid:durableId="1247034432">
    <w:abstractNumId w:val="93"/>
  </w:num>
  <w:num w:numId="93" w16cid:durableId="361636714">
    <w:abstractNumId w:val="143"/>
  </w:num>
  <w:num w:numId="94" w16cid:durableId="634027099">
    <w:abstractNumId w:val="192"/>
  </w:num>
  <w:num w:numId="95" w16cid:durableId="515387173">
    <w:abstractNumId w:val="153"/>
  </w:num>
  <w:num w:numId="96" w16cid:durableId="1699819783">
    <w:abstractNumId w:val="14"/>
  </w:num>
  <w:num w:numId="97" w16cid:durableId="1781607050">
    <w:abstractNumId w:val="100"/>
  </w:num>
  <w:num w:numId="98" w16cid:durableId="1691685161">
    <w:abstractNumId w:val="0"/>
  </w:num>
  <w:num w:numId="99" w16cid:durableId="1887832107">
    <w:abstractNumId w:val="11"/>
  </w:num>
  <w:num w:numId="100" w16cid:durableId="966932153">
    <w:abstractNumId w:val="54"/>
  </w:num>
  <w:num w:numId="101" w16cid:durableId="1320885514">
    <w:abstractNumId w:val="102"/>
  </w:num>
  <w:num w:numId="102" w16cid:durableId="1222595115">
    <w:abstractNumId w:val="183"/>
  </w:num>
  <w:num w:numId="103" w16cid:durableId="334963084">
    <w:abstractNumId w:val="61"/>
  </w:num>
  <w:num w:numId="104" w16cid:durableId="180821661">
    <w:abstractNumId w:val="89"/>
  </w:num>
  <w:num w:numId="105" w16cid:durableId="679353025">
    <w:abstractNumId w:val="20"/>
  </w:num>
  <w:num w:numId="106" w16cid:durableId="1102457552">
    <w:abstractNumId w:val="60"/>
  </w:num>
  <w:num w:numId="107" w16cid:durableId="1345008964">
    <w:abstractNumId w:val="99"/>
  </w:num>
  <w:num w:numId="108" w16cid:durableId="1537890173">
    <w:abstractNumId w:val="28"/>
  </w:num>
  <w:num w:numId="109" w16cid:durableId="1639145887">
    <w:abstractNumId w:val="167"/>
  </w:num>
  <w:num w:numId="110" w16cid:durableId="606618675">
    <w:abstractNumId w:val="53"/>
  </w:num>
  <w:num w:numId="111" w16cid:durableId="322129821">
    <w:abstractNumId w:val="202"/>
  </w:num>
  <w:num w:numId="112" w16cid:durableId="182480114">
    <w:abstractNumId w:val="108"/>
  </w:num>
  <w:num w:numId="113" w16cid:durableId="1523515665">
    <w:abstractNumId w:val="34"/>
  </w:num>
  <w:num w:numId="114" w16cid:durableId="1947495188">
    <w:abstractNumId w:val="77"/>
  </w:num>
  <w:num w:numId="115" w16cid:durableId="133331611">
    <w:abstractNumId w:val="161"/>
  </w:num>
  <w:num w:numId="116" w16cid:durableId="872117239">
    <w:abstractNumId w:val="35"/>
  </w:num>
  <w:num w:numId="117" w16cid:durableId="839276822">
    <w:abstractNumId w:val="181"/>
  </w:num>
  <w:num w:numId="118" w16cid:durableId="1231112940">
    <w:abstractNumId w:val="186"/>
  </w:num>
  <w:num w:numId="119" w16cid:durableId="1549537815">
    <w:abstractNumId w:val="73"/>
  </w:num>
  <w:num w:numId="120" w16cid:durableId="332297194">
    <w:abstractNumId w:val="91"/>
  </w:num>
  <w:num w:numId="121" w16cid:durableId="310065567">
    <w:abstractNumId w:val="96"/>
  </w:num>
  <w:num w:numId="122" w16cid:durableId="1800956026">
    <w:abstractNumId w:val="162"/>
  </w:num>
  <w:num w:numId="123" w16cid:durableId="114566724">
    <w:abstractNumId w:val="113"/>
  </w:num>
  <w:num w:numId="124" w16cid:durableId="203395">
    <w:abstractNumId w:val="132"/>
  </w:num>
  <w:num w:numId="125" w16cid:durableId="945967836">
    <w:abstractNumId w:val="42"/>
  </w:num>
  <w:num w:numId="126" w16cid:durableId="1421371314">
    <w:abstractNumId w:val="139"/>
  </w:num>
  <w:num w:numId="127" w16cid:durableId="898787083">
    <w:abstractNumId w:val="116"/>
  </w:num>
  <w:num w:numId="128" w16cid:durableId="1822380291">
    <w:abstractNumId w:val="65"/>
  </w:num>
  <w:num w:numId="129" w16cid:durableId="372929504">
    <w:abstractNumId w:val="97"/>
  </w:num>
  <w:num w:numId="130" w16cid:durableId="912619556">
    <w:abstractNumId w:val="140"/>
  </w:num>
  <w:num w:numId="131" w16cid:durableId="1764839781">
    <w:abstractNumId w:val="137"/>
  </w:num>
  <w:num w:numId="132" w16cid:durableId="1106384942">
    <w:abstractNumId w:val="120"/>
  </w:num>
  <w:num w:numId="133" w16cid:durableId="1478718310">
    <w:abstractNumId w:val="145"/>
  </w:num>
  <w:num w:numId="134" w16cid:durableId="829097707">
    <w:abstractNumId w:val="19"/>
  </w:num>
  <w:num w:numId="135" w16cid:durableId="973028265">
    <w:abstractNumId w:val="24"/>
  </w:num>
  <w:num w:numId="136" w16cid:durableId="958147896">
    <w:abstractNumId w:val="160"/>
  </w:num>
  <w:num w:numId="137" w16cid:durableId="519396639">
    <w:abstractNumId w:val="105"/>
  </w:num>
  <w:num w:numId="138" w16cid:durableId="1212770875">
    <w:abstractNumId w:val="39"/>
  </w:num>
  <w:num w:numId="139" w16cid:durableId="815680939">
    <w:abstractNumId w:val="165"/>
  </w:num>
  <w:num w:numId="140" w16cid:durableId="286160667">
    <w:abstractNumId w:val="62"/>
  </w:num>
  <w:num w:numId="141" w16cid:durableId="1917591777">
    <w:abstractNumId w:val="6"/>
  </w:num>
  <w:num w:numId="142" w16cid:durableId="617684691">
    <w:abstractNumId w:val="118"/>
  </w:num>
  <w:num w:numId="143" w16cid:durableId="2052878574">
    <w:abstractNumId w:val="84"/>
  </w:num>
  <w:num w:numId="144" w16cid:durableId="254747186">
    <w:abstractNumId w:val="58"/>
  </w:num>
  <w:num w:numId="145" w16cid:durableId="1321958632">
    <w:abstractNumId w:val="57"/>
  </w:num>
  <w:num w:numId="146" w16cid:durableId="745999883">
    <w:abstractNumId w:val="147"/>
  </w:num>
  <w:num w:numId="147" w16cid:durableId="283384840">
    <w:abstractNumId w:val="49"/>
  </w:num>
  <w:num w:numId="148" w16cid:durableId="694186579">
    <w:abstractNumId w:val="69"/>
  </w:num>
  <w:num w:numId="149" w16cid:durableId="1660229331">
    <w:abstractNumId w:val="124"/>
  </w:num>
  <w:num w:numId="150" w16cid:durableId="987783928">
    <w:abstractNumId w:val="31"/>
  </w:num>
  <w:num w:numId="151" w16cid:durableId="1628462567">
    <w:abstractNumId w:val="55"/>
  </w:num>
  <w:num w:numId="152" w16cid:durableId="287442098">
    <w:abstractNumId w:val="127"/>
  </w:num>
  <w:num w:numId="153" w16cid:durableId="1629627760">
    <w:abstractNumId w:val="194"/>
  </w:num>
  <w:num w:numId="154" w16cid:durableId="610861118">
    <w:abstractNumId w:val="13"/>
  </w:num>
  <w:num w:numId="155" w16cid:durableId="2109036802">
    <w:abstractNumId w:val="200"/>
  </w:num>
  <w:num w:numId="156" w16cid:durableId="1962029598">
    <w:abstractNumId w:val="173"/>
  </w:num>
  <w:num w:numId="157" w16cid:durableId="1477918092">
    <w:abstractNumId w:val="126"/>
  </w:num>
  <w:num w:numId="158" w16cid:durableId="851801743">
    <w:abstractNumId w:val="48"/>
  </w:num>
  <w:num w:numId="159" w16cid:durableId="239871692">
    <w:abstractNumId w:val="71"/>
  </w:num>
  <w:num w:numId="160" w16cid:durableId="107939430">
    <w:abstractNumId w:val="59"/>
  </w:num>
  <w:num w:numId="161" w16cid:durableId="873689832">
    <w:abstractNumId w:val="22"/>
  </w:num>
  <w:num w:numId="162" w16cid:durableId="1733040463">
    <w:abstractNumId w:val="88"/>
  </w:num>
  <w:num w:numId="163" w16cid:durableId="1239630802">
    <w:abstractNumId w:val="45"/>
  </w:num>
  <w:num w:numId="164" w16cid:durableId="1018896760">
    <w:abstractNumId w:val="95"/>
  </w:num>
  <w:num w:numId="165" w16cid:durableId="1560818593">
    <w:abstractNumId w:val="159"/>
  </w:num>
  <w:num w:numId="166" w16cid:durableId="1433623807">
    <w:abstractNumId w:val="148"/>
  </w:num>
  <w:num w:numId="167" w16cid:durableId="1193688124">
    <w:abstractNumId w:val="27"/>
  </w:num>
  <w:num w:numId="168" w16cid:durableId="664011454">
    <w:abstractNumId w:val="177"/>
  </w:num>
  <w:num w:numId="169" w16cid:durableId="208032496">
    <w:abstractNumId w:val="29"/>
  </w:num>
  <w:num w:numId="170" w16cid:durableId="1925916702">
    <w:abstractNumId w:val="131"/>
  </w:num>
  <w:num w:numId="171" w16cid:durableId="1235582333">
    <w:abstractNumId w:val="178"/>
  </w:num>
  <w:num w:numId="172" w16cid:durableId="2104103118">
    <w:abstractNumId w:val="171"/>
  </w:num>
  <w:num w:numId="173" w16cid:durableId="1157841687">
    <w:abstractNumId w:val="32"/>
  </w:num>
  <w:num w:numId="174" w16cid:durableId="579145020">
    <w:abstractNumId w:val="150"/>
  </w:num>
  <w:num w:numId="175" w16cid:durableId="1041398373">
    <w:abstractNumId w:val="111"/>
  </w:num>
  <w:num w:numId="176" w16cid:durableId="586160122">
    <w:abstractNumId w:val="190"/>
  </w:num>
  <w:num w:numId="177" w16cid:durableId="2001545435">
    <w:abstractNumId w:val="26"/>
  </w:num>
  <w:num w:numId="178" w16cid:durableId="1048916621">
    <w:abstractNumId w:val="37"/>
  </w:num>
  <w:num w:numId="179" w16cid:durableId="1451317759">
    <w:abstractNumId w:val="130"/>
  </w:num>
  <w:num w:numId="180" w16cid:durableId="202057466">
    <w:abstractNumId w:val="201"/>
  </w:num>
  <w:num w:numId="181" w16cid:durableId="2090148276">
    <w:abstractNumId w:val="68"/>
  </w:num>
  <w:num w:numId="182" w16cid:durableId="1517115634">
    <w:abstractNumId w:val="198"/>
  </w:num>
  <w:num w:numId="183" w16cid:durableId="1641114755">
    <w:abstractNumId w:val="56"/>
  </w:num>
  <w:num w:numId="184" w16cid:durableId="1972779921">
    <w:abstractNumId w:val="149"/>
  </w:num>
  <w:num w:numId="185" w16cid:durableId="1085422540">
    <w:abstractNumId w:val="87"/>
  </w:num>
  <w:num w:numId="186" w16cid:durableId="1905606282">
    <w:abstractNumId w:val="176"/>
  </w:num>
  <w:num w:numId="187" w16cid:durableId="1559894572">
    <w:abstractNumId w:val="85"/>
  </w:num>
  <w:num w:numId="188" w16cid:durableId="1948195694">
    <w:abstractNumId w:val="30"/>
  </w:num>
  <w:num w:numId="189" w16cid:durableId="1275207582">
    <w:abstractNumId w:val="36"/>
  </w:num>
  <w:num w:numId="190" w16cid:durableId="1863280630">
    <w:abstractNumId w:val="40"/>
  </w:num>
  <w:num w:numId="191" w16cid:durableId="1709524511">
    <w:abstractNumId w:val="136"/>
  </w:num>
  <w:num w:numId="192" w16cid:durableId="230359887">
    <w:abstractNumId w:val="52"/>
  </w:num>
  <w:num w:numId="193" w16cid:durableId="404038383">
    <w:abstractNumId w:val="144"/>
  </w:num>
  <w:num w:numId="194" w16cid:durableId="291442601">
    <w:abstractNumId w:val="10"/>
  </w:num>
  <w:num w:numId="195" w16cid:durableId="1061907058">
    <w:abstractNumId w:val="151"/>
  </w:num>
  <w:num w:numId="196" w16cid:durableId="1508255961">
    <w:abstractNumId w:val="184"/>
  </w:num>
  <w:num w:numId="197" w16cid:durableId="2117481354">
    <w:abstractNumId w:val="175"/>
  </w:num>
  <w:num w:numId="198" w16cid:durableId="1070276509">
    <w:abstractNumId w:val="3"/>
  </w:num>
  <w:num w:numId="199" w16cid:durableId="1443455814">
    <w:abstractNumId w:val="98"/>
  </w:num>
  <w:num w:numId="200" w16cid:durableId="1653172253">
    <w:abstractNumId w:val="114"/>
  </w:num>
  <w:num w:numId="201" w16cid:durableId="1207068015">
    <w:abstractNumId w:val="44"/>
  </w:num>
  <w:num w:numId="202" w16cid:durableId="1480031379">
    <w:abstractNumId w:val="154"/>
  </w:num>
  <w:num w:numId="203" w16cid:durableId="1511794269">
    <w:abstractNumId w:val="16"/>
  </w:num>
  <w:numIdMacAtCleanup w:val="1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C4B"/>
    <w:rsid w:val="00000635"/>
    <w:rsid w:val="00000648"/>
    <w:rsid w:val="0000089C"/>
    <w:rsid w:val="00000A6C"/>
    <w:rsid w:val="00000D56"/>
    <w:rsid w:val="00002F00"/>
    <w:rsid w:val="000036EA"/>
    <w:rsid w:val="00003828"/>
    <w:rsid w:val="00003927"/>
    <w:rsid w:val="00004EE5"/>
    <w:rsid w:val="000054F7"/>
    <w:rsid w:val="00005CD4"/>
    <w:rsid w:val="00005DC1"/>
    <w:rsid w:val="0000612E"/>
    <w:rsid w:val="00006CA4"/>
    <w:rsid w:val="00006D6C"/>
    <w:rsid w:val="0000761B"/>
    <w:rsid w:val="000105ED"/>
    <w:rsid w:val="00010C47"/>
    <w:rsid w:val="00010DF7"/>
    <w:rsid w:val="00011C33"/>
    <w:rsid w:val="00011CC5"/>
    <w:rsid w:val="00011F7D"/>
    <w:rsid w:val="00012CA6"/>
    <w:rsid w:val="00012DFA"/>
    <w:rsid w:val="00012EC8"/>
    <w:rsid w:val="00013318"/>
    <w:rsid w:val="0001332A"/>
    <w:rsid w:val="00013695"/>
    <w:rsid w:val="00013AB0"/>
    <w:rsid w:val="0001432D"/>
    <w:rsid w:val="00014BD4"/>
    <w:rsid w:val="00014D05"/>
    <w:rsid w:val="00014D3E"/>
    <w:rsid w:val="000157BF"/>
    <w:rsid w:val="00016650"/>
    <w:rsid w:val="00016728"/>
    <w:rsid w:val="00016F37"/>
    <w:rsid w:val="0001706D"/>
    <w:rsid w:val="000173B8"/>
    <w:rsid w:val="0001794F"/>
    <w:rsid w:val="000179DD"/>
    <w:rsid w:val="000210EB"/>
    <w:rsid w:val="00021C6F"/>
    <w:rsid w:val="00022015"/>
    <w:rsid w:val="00022133"/>
    <w:rsid w:val="000224BE"/>
    <w:rsid w:val="000230E8"/>
    <w:rsid w:val="000234D5"/>
    <w:rsid w:val="0002430A"/>
    <w:rsid w:val="00024578"/>
    <w:rsid w:val="00024597"/>
    <w:rsid w:val="00024D27"/>
    <w:rsid w:val="0002585C"/>
    <w:rsid w:val="00025B5D"/>
    <w:rsid w:val="000260C6"/>
    <w:rsid w:val="00026F55"/>
    <w:rsid w:val="00027967"/>
    <w:rsid w:val="0002799A"/>
    <w:rsid w:val="000305FB"/>
    <w:rsid w:val="000307AD"/>
    <w:rsid w:val="000307BF"/>
    <w:rsid w:val="00030B9A"/>
    <w:rsid w:val="00030F9D"/>
    <w:rsid w:val="000313D0"/>
    <w:rsid w:val="000316A6"/>
    <w:rsid w:val="0003233A"/>
    <w:rsid w:val="00032E36"/>
    <w:rsid w:val="00033004"/>
    <w:rsid w:val="000331AB"/>
    <w:rsid w:val="000341FE"/>
    <w:rsid w:val="000343E9"/>
    <w:rsid w:val="0003487D"/>
    <w:rsid w:val="00034A59"/>
    <w:rsid w:val="00034C3D"/>
    <w:rsid w:val="00035312"/>
    <w:rsid w:val="0003537D"/>
    <w:rsid w:val="00035E65"/>
    <w:rsid w:val="00036741"/>
    <w:rsid w:val="000367DA"/>
    <w:rsid w:val="000370B7"/>
    <w:rsid w:val="00037761"/>
    <w:rsid w:val="00037C0C"/>
    <w:rsid w:val="00037F45"/>
    <w:rsid w:val="00037F4E"/>
    <w:rsid w:val="000405D4"/>
    <w:rsid w:val="00041232"/>
    <w:rsid w:val="00041626"/>
    <w:rsid w:val="000416B3"/>
    <w:rsid w:val="00041AD9"/>
    <w:rsid w:val="00042B3C"/>
    <w:rsid w:val="0004306E"/>
    <w:rsid w:val="000438D5"/>
    <w:rsid w:val="00043C77"/>
    <w:rsid w:val="00044002"/>
    <w:rsid w:val="0004544B"/>
    <w:rsid w:val="000454D7"/>
    <w:rsid w:val="00045801"/>
    <w:rsid w:val="000467E8"/>
    <w:rsid w:val="000468DF"/>
    <w:rsid w:val="00047330"/>
    <w:rsid w:val="00047D3D"/>
    <w:rsid w:val="000512CE"/>
    <w:rsid w:val="00051672"/>
    <w:rsid w:val="00052B1C"/>
    <w:rsid w:val="00053AF2"/>
    <w:rsid w:val="00054DE8"/>
    <w:rsid w:val="000568D8"/>
    <w:rsid w:val="000569CD"/>
    <w:rsid w:val="0005758C"/>
    <w:rsid w:val="00057EBA"/>
    <w:rsid w:val="000600EA"/>
    <w:rsid w:val="00060AE1"/>
    <w:rsid w:val="00060BC7"/>
    <w:rsid w:val="00061B23"/>
    <w:rsid w:val="00061BFF"/>
    <w:rsid w:val="00061FB1"/>
    <w:rsid w:val="00062279"/>
    <w:rsid w:val="00063279"/>
    <w:rsid w:val="00063C25"/>
    <w:rsid w:val="00063D8C"/>
    <w:rsid w:val="00065428"/>
    <w:rsid w:val="000660DE"/>
    <w:rsid w:val="00066EF4"/>
    <w:rsid w:val="0006721B"/>
    <w:rsid w:val="00067301"/>
    <w:rsid w:val="000676C9"/>
    <w:rsid w:val="00067A5F"/>
    <w:rsid w:val="00067B44"/>
    <w:rsid w:val="00067BF0"/>
    <w:rsid w:val="0007072F"/>
    <w:rsid w:val="00070E75"/>
    <w:rsid w:val="00070F89"/>
    <w:rsid w:val="00071988"/>
    <w:rsid w:val="00071C42"/>
    <w:rsid w:val="00071D89"/>
    <w:rsid w:val="00071D92"/>
    <w:rsid w:val="0007248E"/>
    <w:rsid w:val="00072500"/>
    <w:rsid w:val="000726FE"/>
    <w:rsid w:val="0007381E"/>
    <w:rsid w:val="00074076"/>
    <w:rsid w:val="000749DB"/>
    <w:rsid w:val="00075099"/>
    <w:rsid w:val="000750E3"/>
    <w:rsid w:val="0007517D"/>
    <w:rsid w:val="000757C5"/>
    <w:rsid w:val="00075E96"/>
    <w:rsid w:val="000762A4"/>
    <w:rsid w:val="0007661C"/>
    <w:rsid w:val="00076682"/>
    <w:rsid w:val="00076864"/>
    <w:rsid w:val="00077780"/>
    <w:rsid w:val="00077ED3"/>
    <w:rsid w:val="000801A9"/>
    <w:rsid w:val="00080394"/>
    <w:rsid w:val="00080778"/>
    <w:rsid w:val="00080925"/>
    <w:rsid w:val="0008096C"/>
    <w:rsid w:val="00081595"/>
    <w:rsid w:val="000821F3"/>
    <w:rsid w:val="0008221D"/>
    <w:rsid w:val="0008333A"/>
    <w:rsid w:val="00083416"/>
    <w:rsid w:val="00083F47"/>
    <w:rsid w:val="0008466F"/>
    <w:rsid w:val="000847CC"/>
    <w:rsid w:val="00084883"/>
    <w:rsid w:val="00085358"/>
    <w:rsid w:val="000859C2"/>
    <w:rsid w:val="00085DC9"/>
    <w:rsid w:val="000861F8"/>
    <w:rsid w:val="00086DBE"/>
    <w:rsid w:val="00086F25"/>
    <w:rsid w:val="000877A2"/>
    <w:rsid w:val="00087939"/>
    <w:rsid w:val="000879C2"/>
    <w:rsid w:val="000929E1"/>
    <w:rsid w:val="00092F04"/>
    <w:rsid w:val="0009359F"/>
    <w:rsid w:val="000936EF"/>
    <w:rsid w:val="0009378A"/>
    <w:rsid w:val="00093AE2"/>
    <w:rsid w:val="00093F58"/>
    <w:rsid w:val="000946FF"/>
    <w:rsid w:val="00095037"/>
    <w:rsid w:val="00095AC0"/>
    <w:rsid w:val="00095C13"/>
    <w:rsid w:val="0009614E"/>
    <w:rsid w:val="000969EE"/>
    <w:rsid w:val="00096A62"/>
    <w:rsid w:val="0009772B"/>
    <w:rsid w:val="000A0149"/>
    <w:rsid w:val="000A0969"/>
    <w:rsid w:val="000A0E6C"/>
    <w:rsid w:val="000A0F9C"/>
    <w:rsid w:val="000A1099"/>
    <w:rsid w:val="000A121A"/>
    <w:rsid w:val="000A20C6"/>
    <w:rsid w:val="000A29B2"/>
    <w:rsid w:val="000A2EE3"/>
    <w:rsid w:val="000A462D"/>
    <w:rsid w:val="000A4D33"/>
    <w:rsid w:val="000A54B2"/>
    <w:rsid w:val="000A621D"/>
    <w:rsid w:val="000A6508"/>
    <w:rsid w:val="000A6685"/>
    <w:rsid w:val="000A686E"/>
    <w:rsid w:val="000A697A"/>
    <w:rsid w:val="000A6E2D"/>
    <w:rsid w:val="000A708B"/>
    <w:rsid w:val="000A7588"/>
    <w:rsid w:val="000A767A"/>
    <w:rsid w:val="000A769D"/>
    <w:rsid w:val="000B02F4"/>
    <w:rsid w:val="000B0C57"/>
    <w:rsid w:val="000B2894"/>
    <w:rsid w:val="000B2B77"/>
    <w:rsid w:val="000B32ED"/>
    <w:rsid w:val="000B3AEF"/>
    <w:rsid w:val="000B3ED7"/>
    <w:rsid w:val="000B4187"/>
    <w:rsid w:val="000B505B"/>
    <w:rsid w:val="000B5232"/>
    <w:rsid w:val="000B58CC"/>
    <w:rsid w:val="000B60C6"/>
    <w:rsid w:val="000B6A9D"/>
    <w:rsid w:val="000B770F"/>
    <w:rsid w:val="000C1140"/>
    <w:rsid w:val="000C119E"/>
    <w:rsid w:val="000C13F3"/>
    <w:rsid w:val="000C1A43"/>
    <w:rsid w:val="000C1D19"/>
    <w:rsid w:val="000C2C26"/>
    <w:rsid w:val="000C31FB"/>
    <w:rsid w:val="000C435B"/>
    <w:rsid w:val="000C5072"/>
    <w:rsid w:val="000C5588"/>
    <w:rsid w:val="000C56C9"/>
    <w:rsid w:val="000C585F"/>
    <w:rsid w:val="000C67FB"/>
    <w:rsid w:val="000C6879"/>
    <w:rsid w:val="000C6D87"/>
    <w:rsid w:val="000C6EB3"/>
    <w:rsid w:val="000C7287"/>
    <w:rsid w:val="000C739F"/>
    <w:rsid w:val="000C7F03"/>
    <w:rsid w:val="000D0023"/>
    <w:rsid w:val="000D0848"/>
    <w:rsid w:val="000D0DB9"/>
    <w:rsid w:val="000D1071"/>
    <w:rsid w:val="000D10A2"/>
    <w:rsid w:val="000D139E"/>
    <w:rsid w:val="000D1518"/>
    <w:rsid w:val="000D2192"/>
    <w:rsid w:val="000D247F"/>
    <w:rsid w:val="000D34E9"/>
    <w:rsid w:val="000D4416"/>
    <w:rsid w:val="000D468F"/>
    <w:rsid w:val="000D4690"/>
    <w:rsid w:val="000D51FB"/>
    <w:rsid w:val="000D5232"/>
    <w:rsid w:val="000D5280"/>
    <w:rsid w:val="000D56DB"/>
    <w:rsid w:val="000D6184"/>
    <w:rsid w:val="000D68DF"/>
    <w:rsid w:val="000D7A86"/>
    <w:rsid w:val="000D7B97"/>
    <w:rsid w:val="000E0075"/>
    <w:rsid w:val="000E0CC2"/>
    <w:rsid w:val="000E0FAF"/>
    <w:rsid w:val="000E1266"/>
    <w:rsid w:val="000E176D"/>
    <w:rsid w:val="000E205E"/>
    <w:rsid w:val="000E2490"/>
    <w:rsid w:val="000E2660"/>
    <w:rsid w:val="000E2F11"/>
    <w:rsid w:val="000E3616"/>
    <w:rsid w:val="000E3EC2"/>
    <w:rsid w:val="000E438F"/>
    <w:rsid w:val="000E4EC6"/>
    <w:rsid w:val="000E5648"/>
    <w:rsid w:val="000E56A3"/>
    <w:rsid w:val="000E5BE1"/>
    <w:rsid w:val="000E6F3F"/>
    <w:rsid w:val="000E751A"/>
    <w:rsid w:val="000E7BE8"/>
    <w:rsid w:val="000F209E"/>
    <w:rsid w:val="000F212F"/>
    <w:rsid w:val="000F22D7"/>
    <w:rsid w:val="000F279A"/>
    <w:rsid w:val="000F2A6C"/>
    <w:rsid w:val="000F2D32"/>
    <w:rsid w:val="000F30E7"/>
    <w:rsid w:val="000F384C"/>
    <w:rsid w:val="000F4FE6"/>
    <w:rsid w:val="000F558C"/>
    <w:rsid w:val="000F5AE5"/>
    <w:rsid w:val="000F5AED"/>
    <w:rsid w:val="000F5FE2"/>
    <w:rsid w:val="000F6371"/>
    <w:rsid w:val="000F684A"/>
    <w:rsid w:val="000F7312"/>
    <w:rsid w:val="000F798A"/>
    <w:rsid w:val="000F7F4A"/>
    <w:rsid w:val="00100125"/>
    <w:rsid w:val="00100443"/>
    <w:rsid w:val="001008EB"/>
    <w:rsid w:val="0010107F"/>
    <w:rsid w:val="001018F5"/>
    <w:rsid w:val="00101AB3"/>
    <w:rsid w:val="00102B0B"/>
    <w:rsid w:val="00102B58"/>
    <w:rsid w:val="00102D55"/>
    <w:rsid w:val="00102F9D"/>
    <w:rsid w:val="00103151"/>
    <w:rsid w:val="00103C13"/>
    <w:rsid w:val="0010424C"/>
    <w:rsid w:val="00104515"/>
    <w:rsid w:val="00104ADB"/>
    <w:rsid w:val="0010591F"/>
    <w:rsid w:val="00105D1B"/>
    <w:rsid w:val="00105D61"/>
    <w:rsid w:val="00105E91"/>
    <w:rsid w:val="001062B3"/>
    <w:rsid w:val="00106FC7"/>
    <w:rsid w:val="001072C1"/>
    <w:rsid w:val="001077D5"/>
    <w:rsid w:val="00110119"/>
    <w:rsid w:val="00110736"/>
    <w:rsid w:val="00110D2B"/>
    <w:rsid w:val="00111AB6"/>
    <w:rsid w:val="00112ACA"/>
    <w:rsid w:val="00112B50"/>
    <w:rsid w:val="00113835"/>
    <w:rsid w:val="0011421D"/>
    <w:rsid w:val="00114C48"/>
    <w:rsid w:val="00115044"/>
    <w:rsid w:val="00115AA4"/>
    <w:rsid w:val="00115C59"/>
    <w:rsid w:val="00115CD0"/>
    <w:rsid w:val="00116429"/>
    <w:rsid w:val="00116669"/>
    <w:rsid w:val="00116AA2"/>
    <w:rsid w:val="00116AE6"/>
    <w:rsid w:val="00117C7C"/>
    <w:rsid w:val="00120224"/>
    <w:rsid w:val="0012029A"/>
    <w:rsid w:val="001203EC"/>
    <w:rsid w:val="001205D1"/>
    <w:rsid w:val="001209B9"/>
    <w:rsid w:val="00120AA7"/>
    <w:rsid w:val="00120B85"/>
    <w:rsid w:val="00121A4A"/>
    <w:rsid w:val="00121EC6"/>
    <w:rsid w:val="00122BB2"/>
    <w:rsid w:val="00123677"/>
    <w:rsid w:val="00124135"/>
    <w:rsid w:val="0012486D"/>
    <w:rsid w:val="00124B50"/>
    <w:rsid w:val="00124F67"/>
    <w:rsid w:val="001254F3"/>
    <w:rsid w:val="0012590C"/>
    <w:rsid w:val="001262F2"/>
    <w:rsid w:val="001275AB"/>
    <w:rsid w:val="00127A6E"/>
    <w:rsid w:val="00127BDF"/>
    <w:rsid w:val="001305B6"/>
    <w:rsid w:val="00130D19"/>
    <w:rsid w:val="0013101C"/>
    <w:rsid w:val="00131C1A"/>
    <w:rsid w:val="00133EF9"/>
    <w:rsid w:val="00134125"/>
    <w:rsid w:val="00135880"/>
    <w:rsid w:val="00135D32"/>
    <w:rsid w:val="00135E00"/>
    <w:rsid w:val="001360AE"/>
    <w:rsid w:val="0013684A"/>
    <w:rsid w:val="0013737F"/>
    <w:rsid w:val="00140565"/>
    <w:rsid w:val="001406FF"/>
    <w:rsid w:val="00141320"/>
    <w:rsid w:val="00141863"/>
    <w:rsid w:val="00141B4F"/>
    <w:rsid w:val="0014270F"/>
    <w:rsid w:val="00142B2C"/>
    <w:rsid w:val="0014310C"/>
    <w:rsid w:val="00143DE6"/>
    <w:rsid w:val="0014408F"/>
    <w:rsid w:val="001447C4"/>
    <w:rsid w:val="001451ED"/>
    <w:rsid w:val="00145944"/>
    <w:rsid w:val="00145C3D"/>
    <w:rsid w:val="00145F40"/>
    <w:rsid w:val="001470F2"/>
    <w:rsid w:val="00147589"/>
    <w:rsid w:val="00147AFD"/>
    <w:rsid w:val="00147E97"/>
    <w:rsid w:val="00150274"/>
    <w:rsid w:val="00150EFB"/>
    <w:rsid w:val="0015105B"/>
    <w:rsid w:val="00151342"/>
    <w:rsid w:val="0015215D"/>
    <w:rsid w:val="001526F5"/>
    <w:rsid w:val="00152CD8"/>
    <w:rsid w:val="001553A6"/>
    <w:rsid w:val="001557CB"/>
    <w:rsid w:val="00155F0A"/>
    <w:rsid w:val="001615F1"/>
    <w:rsid w:val="00161988"/>
    <w:rsid w:val="00161AF1"/>
    <w:rsid w:val="001621ED"/>
    <w:rsid w:val="00162BF3"/>
    <w:rsid w:val="00162F96"/>
    <w:rsid w:val="00163A22"/>
    <w:rsid w:val="00163B77"/>
    <w:rsid w:val="001641A9"/>
    <w:rsid w:val="001646EF"/>
    <w:rsid w:val="00164CD6"/>
    <w:rsid w:val="00165F05"/>
    <w:rsid w:val="00166238"/>
    <w:rsid w:val="00166BD3"/>
    <w:rsid w:val="0016752E"/>
    <w:rsid w:val="00167BCA"/>
    <w:rsid w:val="00167CB0"/>
    <w:rsid w:val="00170623"/>
    <w:rsid w:val="00170AB6"/>
    <w:rsid w:val="001710CB"/>
    <w:rsid w:val="00171450"/>
    <w:rsid w:val="0017164A"/>
    <w:rsid w:val="001719AE"/>
    <w:rsid w:val="00171E17"/>
    <w:rsid w:val="00171FBF"/>
    <w:rsid w:val="00172038"/>
    <w:rsid w:val="00172175"/>
    <w:rsid w:val="00172DFC"/>
    <w:rsid w:val="001740D8"/>
    <w:rsid w:val="0017483E"/>
    <w:rsid w:val="001748AF"/>
    <w:rsid w:val="001753A7"/>
    <w:rsid w:val="00176D0D"/>
    <w:rsid w:val="00176F6A"/>
    <w:rsid w:val="00176FA5"/>
    <w:rsid w:val="00177AB0"/>
    <w:rsid w:val="00180B20"/>
    <w:rsid w:val="00180D37"/>
    <w:rsid w:val="00181430"/>
    <w:rsid w:val="00181854"/>
    <w:rsid w:val="00182E20"/>
    <w:rsid w:val="00183BEA"/>
    <w:rsid w:val="00183FA8"/>
    <w:rsid w:val="00184957"/>
    <w:rsid w:val="00184A76"/>
    <w:rsid w:val="00184B58"/>
    <w:rsid w:val="00185C94"/>
    <w:rsid w:val="00185EC4"/>
    <w:rsid w:val="00186237"/>
    <w:rsid w:val="001869FA"/>
    <w:rsid w:val="00186A3C"/>
    <w:rsid w:val="001901F5"/>
    <w:rsid w:val="00190B54"/>
    <w:rsid w:val="001911C0"/>
    <w:rsid w:val="0019197C"/>
    <w:rsid w:val="001919AD"/>
    <w:rsid w:val="00191BDC"/>
    <w:rsid w:val="00191CED"/>
    <w:rsid w:val="00191E21"/>
    <w:rsid w:val="001926D1"/>
    <w:rsid w:val="00192872"/>
    <w:rsid w:val="00192C29"/>
    <w:rsid w:val="001933CB"/>
    <w:rsid w:val="001939D6"/>
    <w:rsid w:val="00193ADE"/>
    <w:rsid w:val="00193ADF"/>
    <w:rsid w:val="00194677"/>
    <w:rsid w:val="00194863"/>
    <w:rsid w:val="001948CC"/>
    <w:rsid w:val="00194B65"/>
    <w:rsid w:val="00194E90"/>
    <w:rsid w:val="001956B5"/>
    <w:rsid w:val="00196644"/>
    <w:rsid w:val="001970C8"/>
    <w:rsid w:val="001973E3"/>
    <w:rsid w:val="001975EC"/>
    <w:rsid w:val="0019763E"/>
    <w:rsid w:val="00197CF0"/>
    <w:rsid w:val="00197E3E"/>
    <w:rsid w:val="001A13FC"/>
    <w:rsid w:val="001A1473"/>
    <w:rsid w:val="001A1A6E"/>
    <w:rsid w:val="001A2D54"/>
    <w:rsid w:val="001A2D7E"/>
    <w:rsid w:val="001A2EFD"/>
    <w:rsid w:val="001A35C8"/>
    <w:rsid w:val="001A39DA"/>
    <w:rsid w:val="001A40FF"/>
    <w:rsid w:val="001A4B3E"/>
    <w:rsid w:val="001A52EE"/>
    <w:rsid w:val="001A5536"/>
    <w:rsid w:val="001A5BE9"/>
    <w:rsid w:val="001A61AF"/>
    <w:rsid w:val="001A7AC3"/>
    <w:rsid w:val="001A7B2D"/>
    <w:rsid w:val="001B0354"/>
    <w:rsid w:val="001B055F"/>
    <w:rsid w:val="001B144F"/>
    <w:rsid w:val="001B1A1B"/>
    <w:rsid w:val="001B21D3"/>
    <w:rsid w:val="001B2686"/>
    <w:rsid w:val="001B2D42"/>
    <w:rsid w:val="001B2F7D"/>
    <w:rsid w:val="001B3BEF"/>
    <w:rsid w:val="001B3E4D"/>
    <w:rsid w:val="001B4672"/>
    <w:rsid w:val="001B46A1"/>
    <w:rsid w:val="001B46AE"/>
    <w:rsid w:val="001B4A0F"/>
    <w:rsid w:val="001B4E2C"/>
    <w:rsid w:val="001B56A4"/>
    <w:rsid w:val="001B5F98"/>
    <w:rsid w:val="001B6027"/>
    <w:rsid w:val="001B605B"/>
    <w:rsid w:val="001B60EC"/>
    <w:rsid w:val="001B61EF"/>
    <w:rsid w:val="001B68AC"/>
    <w:rsid w:val="001B6A05"/>
    <w:rsid w:val="001B6CE1"/>
    <w:rsid w:val="001B76E4"/>
    <w:rsid w:val="001B7900"/>
    <w:rsid w:val="001B7E7E"/>
    <w:rsid w:val="001C04BA"/>
    <w:rsid w:val="001C177C"/>
    <w:rsid w:val="001C1CA2"/>
    <w:rsid w:val="001C25C0"/>
    <w:rsid w:val="001C275D"/>
    <w:rsid w:val="001C381D"/>
    <w:rsid w:val="001C3CC0"/>
    <w:rsid w:val="001C562C"/>
    <w:rsid w:val="001C5BBE"/>
    <w:rsid w:val="001C60D8"/>
    <w:rsid w:val="001C7490"/>
    <w:rsid w:val="001D08F4"/>
    <w:rsid w:val="001D0C96"/>
    <w:rsid w:val="001D192D"/>
    <w:rsid w:val="001D1FD7"/>
    <w:rsid w:val="001D21B5"/>
    <w:rsid w:val="001D28F3"/>
    <w:rsid w:val="001D295B"/>
    <w:rsid w:val="001D29CA"/>
    <w:rsid w:val="001D2A88"/>
    <w:rsid w:val="001D2C19"/>
    <w:rsid w:val="001D2C9D"/>
    <w:rsid w:val="001D316F"/>
    <w:rsid w:val="001D32BC"/>
    <w:rsid w:val="001D34C8"/>
    <w:rsid w:val="001D39DA"/>
    <w:rsid w:val="001D4BBE"/>
    <w:rsid w:val="001D5386"/>
    <w:rsid w:val="001D6139"/>
    <w:rsid w:val="001D6CC2"/>
    <w:rsid w:val="001D6DB4"/>
    <w:rsid w:val="001D73EB"/>
    <w:rsid w:val="001D7DD4"/>
    <w:rsid w:val="001E10AA"/>
    <w:rsid w:val="001E132A"/>
    <w:rsid w:val="001E293E"/>
    <w:rsid w:val="001E2AD5"/>
    <w:rsid w:val="001E2D30"/>
    <w:rsid w:val="001E3822"/>
    <w:rsid w:val="001E3E59"/>
    <w:rsid w:val="001E455A"/>
    <w:rsid w:val="001E46DE"/>
    <w:rsid w:val="001E4B3C"/>
    <w:rsid w:val="001E50E9"/>
    <w:rsid w:val="001E52A7"/>
    <w:rsid w:val="001E68FE"/>
    <w:rsid w:val="001E6FCD"/>
    <w:rsid w:val="001E74BC"/>
    <w:rsid w:val="001E7640"/>
    <w:rsid w:val="001E7B2E"/>
    <w:rsid w:val="001E7F5A"/>
    <w:rsid w:val="001F0390"/>
    <w:rsid w:val="001F08A7"/>
    <w:rsid w:val="001F0D1B"/>
    <w:rsid w:val="001F109A"/>
    <w:rsid w:val="001F2038"/>
    <w:rsid w:val="001F2415"/>
    <w:rsid w:val="001F2A11"/>
    <w:rsid w:val="001F2A44"/>
    <w:rsid w:val="001F2BD9"/>
    <w:rsid w:val="001F2CE4"/>
    <w:rsid w:val="001F301F"/>
    <w:rsid w:val="001F33D3"/>
    <w:rsid w:val="001F341A"/>
    <w:rsid w:val="001F3477"/>
    <w:rsid w:val="001F3B32"/>
    <w:rsid w:val="001F3BE0"/>
    <w:rsid w:val="001F3CDA"/>
    <w:rsid w:val="001F4384"/>
    <w:rsid w:val="001F4AB8"/>
    <w:rsid w:val="001F4E29"/>
    <w:rsid w:val="001F59E8"/>
    <w:rsid w:val="001F5A6D"/>
    <w:rsid w:val="001F65B1"/>
    <w:rsid w:val="001F698F"/>
    <w:rsid w:val="001F6C78"/>
    <w:rsid w:val="001F77D4"/>
    <w:rsid w:val="001F7B1C"/>
    <w:rsid w:val="002002C0"/>
    <w:rsid w:val="002007C9"/>
    <w:rsid w:val="0020184B"/>
    <w:rsid w:val="00201DF4"/>
    <w:rsid w:val="00202540"/>
    <w:rsid w:val="00203C69"/>
    <w:rsid w:val="00204176"/>
    <w:rsid w:val="00204379"/>
    <w:rsid w:val="0020454D"/>
    <w:rsid w:val="00204678"/>
    <w:rsid w:val="00204DDD"/>
    <w:rsid w:val="00204DE5"/>
    <w:rsid w:val="0020507A"/>
    <w:rsid w:val="00205EE7"/>
    <w:rsid w:val="00206187"/>
    <w:rsid w:val="00206E69"/>
    <w:rsid w:val="00207AEC"/>
    <w:rsid w:val="00207B2B"/>
    <w:rsid w:val="00210710"/>
    <w:rsid w:val="00210728"/>
    <w:rsid w:val="00210858"/>
    <w:rsid w:val="002115C6"/>
    <w:rsid w:val="0021184D"/>
    <w:rsid w:val="002119B5"/>
    <w:rsid w:val="00211BB8"/>
    <w:rsid w:val="00211D63"/>
    <w:rsid w:val="00212120"/>
    <w:rsid w:val="002129AE"/>
    <w:rsid w:val="00212BF4"/>
    <w:rsid w:val="0021343B"/>
    <w:rsid w:val="002142EE"/>
    <w:rsid w:val="002149B8"/>
    <w:rsid w:val="00214BCC"/>
    <w:rsid w:val="002153D6"/>
    <w:rsid w:val="002154C0"/>
    <w:rsid w:val="0021550A"/>
    <w:rsid w:val="00216000"/>
    <w:rsid w:val="002174F1"/>
    <w:rsid w:val="00217BE3"/>
    <w:rsid w:val="00217DC9"/>
    <w:rsid w:val="0022130B"/>
    <w:rsid w:val="00221608"/>
    <w:rsid w:val="00221EED"/>
    <w:rsid w:val="00223129"/>
    <w:rsid w:val="002232A0"/>
    <w:rsid w:val="00223E11"/>
    <w:rsid w:val="00224377"/>
    <w:rsid w:val="0022452D"/>
    <w:rsid w:val="00225733"/>
    <w:rsid w:val="00226257"/>
    <w:rsid w:val="00226B85"/>
    <w:rsid w:val="00226F7D"/>
    <w:rsid w:val="00227023"/>
    <w:rsid w:val="00227369"/>
    <w:rsid w:val="00227848"/>
    <w:rsid w:val="00230070"/>
    <w:rsid w:val="00230474"/>
    <w:rsid w:val="002312C8"/>
    <w:rsid w:val="0023141B"/>
    <w:rsid w:val="002318E8"/>
    <w:rsid w:val="00231BF1"/>
    <w:rsid w:val="0023203C"/>
    <w:rsid w:val="002323EE"/>
    <w:rsid w:val="00232458"/>
    <w:rsid w:val="002325C9"/>
    <w:rsid w:val="00232AB1"/>
    <w:rsid w:val="00232C18"/>
    <w:rsid w:val="00232CC5"/>
    <w:rsid w:val="00233713"/>
    <w:rsid w:val="00234699"/>
    <w:rsid w:val="00234B07"/>
    <w:rsid w:val="00235249"/>
    <w:rsid w:val="002357E5"/>
    <w:rsid w:val="00235981"/>
    <w:rsid w:val="00235E40"/>
    <w:rsid w:val="0023651E"/>
    <w:rsid w:val="00236654"/>
    <w:rsid w:val="00236E2E"/>
    <w:rsid w:val="00236E6D"/>
    <w:rsid w:val="00237437"/>
    <w:rsid w:val="002377E6"/>
    <w:rsid w:val="002378F6"/>
    <w:rsid w:val="002379EC"/>
    <w:rsid w:val="00237D10"/>
    <w:rsid w:val="00237DA4"/>
    <w:rsid w:val="00240E9A"/>
    <w:rsid w:val="002415C6"/>
    <w:rsid w:val="0024330D"/>
    <w:rsid w:val="00243B6F"/>
    <w:rsid w:val="00244060"/>
    <w:rsid w:val="00244EDD"/>
    <w:rsid w:val="002453EE"/>
    <w:rsid w:val="00245994"/>
    <w:rsid w:val="002459F1"/>
    <w:rsid w:val="002461CB"/>
    <w:rsid w:val="00246B94"/>
    <w:rsid w:val="002471FC"/>
    <w:rsid w:val="00247A08"/>
    <w:rsid w:val="00247F80"/>
    <w:rsid w:val="0025082B"/>
    <w:rsid w:val="00250AF3"/>
    <w:rsid w:val="00250CEE"/>
    <w:rsid w:val="002518F4"/>
    <w:rsid w:val="00252051"/>
    <w:rsid w:val="002521ED"/>
    <w:rsid w:val="00252349"/>
    <w:rsid w:val="002526F4"/>
    <w:rsid w:val="00252A1F"/>
    <w:rsid w:val="00252D8C"/>
    <w:rsid w:val="00253DD0"/>
    <w:rsid w:val="00254174"/>
    <w:rsid w:val="002545D9"/>
    <w:rsid w:val="00254970"/>
    <w:rsid w:val="00254FB4"/>
    <w:rsid w:val="0025562E"/>
    <w:rsid w:val="00255AAF"/>
    <w:rsid w:val="002563D7"/>
    <w:rsid w:val="002566F4"/>
    <w:rsid w:val="002578E7"/>
    <w:rsid w:val="00260044"/>
    <w:rsid w:val="0026017F"/>
    <w:rsid w:val="00260410"/>
    <w:rsid w:val="0026212E"/>
    <w:rsid w:val="00262BE4"/>
    <w:rsid w:val="00262C1C"/>
    <w:rsid w:val="00262CB6"/>
    <w:rsid w:val="00262FC0"/>
    <w:rsid w:val="00263237"/>
    <w:rsid w:val="00263359"/>
    <w:rsid w:val="0026349A"/>
    <w:rsid w:val="002635DE"/>
    <w:rsid w:val="00263733"/>
    <w:rsid w:val="00263A2F"/>
    <w:rsid w:val="00263A85"/>
    <w:rsid w:val="00264B8E"/>
    <w:rsid w:val="00264C8C"/>
    <w:rsid w:val="00264D4D"/>
    <w:rsid w:val="00264E5A"/>
    <w:rsid w:val="002662D2"/>
    <w:rsid w:val="002666EA"/>
    <w:rsid w:val="002668AD"/>
    <w:rsid w:val="0026691F"/>
    <w:rsid w:val="00266A9E"/>
    <w:rsid w:val="00266BD4"/>
    <w:rsid w:val="00266D4C"/>
    <w:rsid w:val="00267340"/>
    <w:rsid w:val="00267AA4"/>
    <w:rsid w:val="00267B91"/>
    <w:rsid w:val="00267BC3"/>
    <w:rsid w:val="00267BD4"/>
    <w:rsid w:val="00270301"/>
    <w:rsid w:val="002703F1"/>
    <w:rsid w:val="00270C5C"/>
    <w:rsid w:val="00270EA0"/>
    <w:rsid w:val="00271066"/>
    <w:rsid w:val="00271BDC"/>
    <w:rsid w:val="002721A0"/>
    <w:rsid w:val="002725D7"/>
    <w:rsid w:val="00272F73"/>
    <w:rsid w:val="00273353"/>
    <w:rsid w:val="0027370F"/>
    <w:rsid w:val="0027419F"/>
    <w:rsid w:val="0027456A"/>
    <w:rsid w:val="00274860"/>
    <w:rsid w:val="002751E8"/>
    <w:rsid w:val="002755E5"/>
    <w:rsid w:val="00275980"/>
    <w:rsid w:val="00276111"/>
    <w:rsid w:val="00276685"/>
    <w:rsid w:val="00276A8E"/>
    <w:rsid w:val="00276AEB"/>
    <w:rsid w:val="00276D6E"/>
    <w:rsid w:val="00276DD9"/>
    <w:rsid w:val="00281734"/>
    <w:rsid w:val="00281B5B"/>
    <w:rsid w:val="002820B1"/>
    <w:rsid w:val="00282D35"/>
    <w:rsid w:val="00283EA9"/>
    <w:rsid w:val="002848BD"/>
    <w:rsid w:val="0028496E"/>
    <w:rsid w:val="00284D13"/>
    <w:rsid w:val="00284F6D"/>
    <w:rsid w:val="0028530D"/>
    <w:rsid w:val="00285FBB"/>
    <w:rsid w:val="00286465"/>
    <w:rsid w:val="0028688C"/>
    <w:rsid w:val="002870C4"/>
    <w:rsid w:val="0029009F"/>
    <w:rsid w:val="002901A2"/>
    <w:rsid w:val="002913B3"/>
    <w:rsid w:val="00291565"/>
    <w:rsid w:val="00291A5F"/>
    <w:rsid w:val="002921EF"/>
    <w:rsid w:val="00292310"/>
    <w:rsid w:val="002925AB"/>
    <w:rsid w:val="002925BB"/>
    <w:rsid w:val="002926F5"/>
    <w:rsid w:val="0029271E"/>
    <w:rsid w:val="00292A86"/>
    <w:rsid w:val="002931BD"/>
    <w:rsid w:val="00293688"/>
    <w:rsid w:val="002938CB"/>
    <w:rsid w:val="00294B40"/>
    <w:rsid w:val="002953C8"/>
    <w:rsid w:val="002956C8"/>
    <w:rsid w:val="00295960"/>
    <w:rsid w:val="00295F74"/>
    <w:rsid w:val="00296725"/>
    <w:rsid w:val="002968BF"/>
    <w:rsid w:val="00296980"/>
    <w:rsid w:val="00296B6E"/>
    <w:rsid w:val="0029724F"/>
    <w:rsid w:val="00297784"/>
    <w:rsid w:val="00297F22"/>
    <w:rsid w:val="002A0898"/>
    <w:rsid w:val="002A091A"/>
    <w:rsid w:val="002A1073"/>
    <w:rsid w:val="002A1480"/>
    <w:rsid w:val="002A1D6A"/>
    <w:rsid w:val="002A2F6E"/>
    <w:rsid w:val="002A3122"/>
    <w:rsid w:val="002A34CB"/>
    <w:rsid w:val="002A38FC"/>
    <w:rsid w:val="002A3AC4"/>
    <w:rsid w:val="002A4588"/>
    <w:rsid w:val="002A485A"/>
    <w:rsid w:val="002A5825"/>
    <w:rsid w:val="002A5DBC"/>
    <w:rsid w:val="002A66D8"/>
    <w:rsid w:val="002A6DCC"/>
    <w:rsid w:val="002A6EA4"/>
    <w:rsid w:val="002A7DFA"/>
    <w:rsid w:val="002B0497"/>
    <w:rsid w:val="002B0603"/>
    <w:rsid w:val="002B12C9"/>
    <w:rsid w:val="002B1462"/>
    <w:rsid w:val="002B1B3B"/>
    <w:rsid w:val="002B2304"/>
    <w:rsid w:val="002B24C6"/>
    <w:rsid w:val="002B2867"/>
    <w:rsid w:val="002B28F9"/>
    <w:rsid w:val="002B2C56"/>
    <w:rsid w:val="002B3100"/>
    <w:rsid w:val="002B3A56"/>
    <w:rsid w:val="002B3EEF"/>
    <w:rsid w:val="002B4134"/>
    <w:rsid w:val="002B420C"/>
    <w:rsid w:val="002B4F23"/>
    <w:rsid w:val="002B5517"/>
    <w:rsid w:val="002B5B9D"/>
    <w:rsid w:val="002B5E5A"/>
    <w:rsid w:val="002B61D5"/>
    <w:rsid w:val="002B6870"/>
    <w:rsid w:val="002B69D9"/>
    <w:rsid w:val="002B70D6"/>
    <w:rsid w:val="002B73EE"/>
    <w:rsid w:val="002B7BA3"/>
    <w:rsid w:val="002C0872"/>
    <w:rsid w:val="002C0C83"/>
    <w:rsid w:val="002C1480"/>
    <w:rsid w:val="002C1F5C"/>
    <w:rsid w:val="002C217B"/>
    <w:rsid w:val="002C25A6"/>
    <w:rsid w:val="002C2EF3"/>
    <w:rsid w:val="002C2F71"/>
    <w:rsid w:val="002C4533"/>
    <w:rsid w:val="002C47E1"/>
    <w:rsid w:val="002C499C"/>
    <w:rsid w:val="002C4A0F"/>
    <w:rsid w:val="002C4BEE"/>
    <w:rsid w:val="002C55E8"/>
    <w:rsid w:val="002C5B08"/>
    <w:rsid w:val="002C62CF"/>
    <w:rsid w:val="002C646B"/>
    <w:rsid w:val="002C6572"/>
    <w:rsid w:val="002C6A26"/>
    <w:rsid w:val="002C7337"/>
    <w:rsid w:val="002C7BA5"/>
    <w:rsid w:val="002D045F"/>
    <w:rsid w:val="002D0E31"/>
    <w:rsid w:val="002D0E62"/>
    <w:rsid w:val="002D1073"/>
    <w:rsid w:val="002D19AE"/>
    <w:rsid w:val="002D1F60"/>
    <w:rsid w:val="002D2805"/>
    <w:rsid w:val="002D2FBD"/>
    <w:rsid w:val="002D40F0"/>
    <w:rsid w:val="002D4392"/>
    <w:rsid w:val="002D4429"/>
    <w:rsid w:val="002D45E7"/>
    <w:rsid w:val="002D48FE"/>
    <w:rsid w:val="002D4D7E"/>
    <w:rsid w:val="002D4E4E"/>
    <w:rsid w:val="002D4F98"/>
    <w:rsid w:val="002D5383"/>
    <w:rsid w:val="002D69AC"/>
    <w:rsid w:val="002D6A87"/>
    <w:rsid w:val="002D75FA"/>
    <w:rsid w:val="002D7C0F"/>
    <w:rsid w:val="002D7DC1"/>
    <w:rsid w:val="002D7E4D"/>
    <w:rsid w:val="002E02D9"/>
    <w:rsid w:val="002E1D7B"/>
    <w:rsid w:val="002E302D"/>
    <w:rsid w:val="002E39CE"/>
    <w:rsid w:val="002E48B2"/>
    <w:rsid w:val="002E4DBD"/>
    <w:rsid w:val="002E59FE"/>
    <w:rsid w:val="002E6FB0"/>
    <w:rsid w:val="002F0087"/>
    <w:rsid w:val="002F0474"/>
    <w:rsid w:val="002F074D"/>
    <w:rsid w:val="002F0A4D"/>
    <w:rsid w:val="002F1501"/>
    <w:rsid w:val="002F1964"/>
    <w:rsid w:val="002F2427"/>
    <w:rsid w:val="002F2BA0"/>
    <w:rsid w:val="002F3BE5"/>
    <w:rsid w:val="002F3CA1"/>
    <w:rsid w:val="002F4914"/>
    <w:rsid w:val="002F4E37"/>
    <w:rsid w:val="002F5F91"/>
    <w:rsid w:val="002F68FC"/>
    <w:rsid w:val="002F7D4B"/>
    <w:rsid w:val="0030216E"/>
    <w:rsid w:val="00302806"/>
    <w:rsid w:val="00302D86"/>
    <w:rsid w:val="00302DD6"/>
    <w:rsid w:val="00303D20"/>
    <w:rsid w:val="00304536"/>
    <w:rsid w:val="00304645"/>
    <w:rsid w:val="003047C2"/>
    <w:rsid w:val="00304C02"/>
    <w:rsid w:val="00304E3B"/>
    <w:rsid w:val="00304E3F"/>
    <w:rsid w:val="00304F55"/>
    <w:rsid w:val="00305DDF"/>
    <w:rsid w:val="00305FEE"/>
    <w:rsid w:val="00306610"/>
    <w:rsid w:val="00306774"/>
    <w:rsid w:val="00306E96"/>
    <w:rsid w:val="003072C8"/>
    <w:rsid w:val="00307E57"/>
    <w:rsid w:val="0031075A"/>
    <w:rsid w:val="00311713"/>
    <w:rsid w:val="00311E81"/>
    <w:rsid w:val="003122B0"/>
    <w:rsid w:val="00312613"/>
    <w:rsid w:val="003126E7"/>
    <w:rsid w:val="003129E6"/>
    <w:rsid w:val="003130B3"/>
    <w:rsid w:val="00313B13"/>
    <w:rsid w:val="00314643"/>
    <w:rsid w:val="00314C53"/>
    <w:rsid w:val="00315732"/>
    <w:rsid w:val="0031605F"/>
    <w:rsid w:val="00316931"/>
    <w:rsid w:val="00316B77"/>
    <w:rsid w:val="00316D86"/>
    <w:rsid w:val="00316E6E"/>
    <w:rsid w:val="003174D0"/>
    <w:rsid w:val="00317749"/>
    <w:rsid w:val="00317861"/>
    <w:rsid w:val="0032015A"/>
    <w:rsid w:val="00320262"/>
    <w:rsid w:val="003203E5"/>
    <w:rsid w:val="003206A2"/>
    <w:rsid w:val="0032072B"/>
    <w:rsid w:val="00320827"/>
    <w:rsid w:val="00320D11"/>
    <w:rsid w:val="00320E69"/>
    <w:rsid w:val="00320EF3"/>
    <w:rsid w:val="003215B0"/>
    <w:rsid w:val="00321A6A"/>
    <w:rsid w:val="00321B2C"/>
    <w:rsid w:val="00321D03"/>
    <w:rsid w:val="00322574"/>
    <w:rsid w:val="00322630"/>
    <w:rsid w:val="003227C6"/>
    <w:rsid w:val="003229F3"/>
    <w:rsid w:val="0032385E"/>
    <w:rsid w:val="00323CB8"/>
    <w:rsid w:val="003242F2"/>
    <w:rsid w:val="00324D0B"/>
    <w:rsid w:val="003254C3"/>
    <w:rsid w:val="00325FA1"/>
    <w:rsid w:val="003263B7"/>
    <w:rsid w:val="0032695B"/>
    <w:rsid w:val="00327534"/>
    <w:rsid w:val="003275B9"/>
    <w:rsid w:val="00327B04"/>
    <w:rsid w:val="0033017F"/>
    <w:rsid w:val="003309DC"/>
    <w:rsid w:val="003310CD"/>
    <w:rsid w:val="003323E6"/>
    <w:rsid w:val="00333159"/>
    <w:rsid w:val="003335BF"/>
    <w:rsid w:val="003350A2"/>
    <w:rsid w:val="00335140"/>
    <w:rsid w:val="00335E89"/>
    <w:rsid w:val="003360D4"/>
    <w:rsid w:val="003364E1"/>
    <w:rsid w:val="00336B6E"/>
    <w:rsid w:val="00337174"/>
    <w:rsid w:val="0033729F"/>
    <w:rsid w:val="003374A3"/>
    <w:rsid w:val="00340A20"/>
    <w:rsid w:val="00341800"/>
    <w:rsid w:val="00341F12"/>
    <w:rsid w:val="00342197"/>
    <w:rsid w:val="00342264"/>
    <w:rsid w:val="00342380"/>
    <w:rsid w:val="003426AF"/>
    <w:rsid w:val="00342A4D"/>
    <w:rsid w:val="00343589"/>
    <w:rsid w:val="003458F3"/>
    <w:rsid w:val="00345970"/>
    <w:rsid w:val="003459A2"/>
    <w:rsid w:val="00345B80"/>
    <w:rsid w:val="00345B87"/>
    <w:rsid w:val="00345EFE"/>
    <w:rsid w:val="00346209"/>
    <w:rsid w:val="003468B5"/>
    <w:rsid w:val="0034763F"/>
    <w:rsid w:val="003508B5"/>
    <w:rsid w:val="00350A94"/>
    <w:rsid w:val="00350B3B"/>
    <w:rsid w:val="00350CCD"/>
    <w:rsid w:val="003512A7"/>
    <w:rsid w:val="003513EF"/>
    <w:rsid w:val="00351AB4"/>
    <w:rsid w:val="00351D93"/>
    <w:rsid w:val="00351DCB"/>
    <w:rsid w:val="003524FA"/>
    <w:rsid w:val="003528DB"/>
    <w:rsid w:val="0035291F"/>
    <w:rsid w:val="00352A59"/>
    <w:rsid w:val="00352D98"/>
    <w:rsid w:val="003532AC"/>
    <w:rsid w:val="003536CA"/>
    <w:rsid w:val="003539F0"/>
    <w:rsid w:val="00353F63"/>
    <w:rsid w:val="003546AE"/>
    <w:rsid w:val="003556BF"/>
    <w:rsid w:val="00355A5E"/>
    <w:rsid w:val="003562F5"/>
    <w:rsid w:val="003578EB"/>
    <w:rsid w:val="00360213"/>
    <w:rsid w:val="00360834"/>
    <w:rsid w:val="003609DD"/>
    <w:rsid w:val="00360A1A"/>
    <w:rsid w:val="00361B05"/>
    <w:rsid w:val="00361FCA"/>
    <w:rsid w:val="003624D5"/>
    <w:rsid w:val="0036256E"/>
    <w:rsid w:val="00362E99"/>
    <w:rsid w:val="00362ECB"/>
    <w:rsid w:val="00362F7B"/>
    <w:rsid w:val="00364169"/>
    <w:rsid w:val="003643B2"/>
    <w:rsid w:val="00364747"/>
    <w:rsid w:val="003649F9"/>
    <w:rsid w:val="003650BE"/>
    <w:rsid w:val="003654B3"/>
    <w:rsid w:val="00366D2B"/>
    <w:rsid w:val="003671C4"/>
    <w:rsid w:val="003700ED"/>
    <w:rsid w:val="00370403"/>
    <w:rsid w:val="00370D7D"/>
    <w:rsid w:val="00371A4C"/>
    <w:rsid w:val="00372EA2"/>
    <w:rsid w:val="00372FF7"/>
    <w:rsid w:val="0037310A"/>
    <w:rsid w:val="00373F72"/>
    <w:rsid w:val="00374B97"/>
    <w:rsid w:val="00374CF4"/>
    <w:rsid w:val="00374D74"/>
    <w:rsid w:val="003752B9"/>
    <w:rsid w:val="00376514"/>
    <w:rsid w:val="003769FF"/>
    <w:rsid w:val="00376FF2"/>
    <w:rsid w:val="003776B3"/>
    <w:rsid w:val="0038084A"/>
    <w:rsid w:val="00381CF6"/>
    <w:rsid w:val="00381E3F"/>
    <w:rsid w:val="003837AF"/>
    <w:rsid w:val="00383AB1"/>
    <w:rsid w:val="00383B6E"/>
    <w:rsid w:val="00383CB5"/>
    <w:rsid w:val="00383D15"/>
    <w:rsid w:val="003842F8"/>
    <w:rsid w:val="0038492C"/>
    <w:rsid w:val="00384F38"/>
    <w:rsid w:val="00385212"/>
    <w:rsid w:val="00385491"/>
    <w:rsid w:val="003859E5"/>
    <w:rsid w:val="00385B01"/>
    <w:rsid w:val="00385EA9"/>
    <w:rsid w:val="00386545"/>
    <w:rsid w:val="00386AAA"/>
    <w:rsid w:val="00387455"/>
    <w:rsid w:val="0038778E"/>
    <w:rsid w:val="00387CD5"/>
    <w:rsid w:val="00390D70"/>
    <w:rsid w:val="0039144E"/>
    <w:rsid w:val="00391BA2"/>
    <w:rsid w:val="0039217E"/>
    <w:rsid w:val="003924F3"/>
    <w:rsid w:val="003925FC"/>
    <w:rsid w:val="00392775"/>
    <w:rsid w:val="003929A8"/>
    <w:rsid w:val="00392FD2"/>
    <w:rsid w:val="00393217"/>
    <w:rsid w:val="003933E1"/>
    <w:rsid w:val="003933E6"/>
    <w:rsid w:val="00393AE3"/>
    <w:rsid w:val="00394720"/>
    <w:rsid w:val="003949AB"/>
    <w:rsid w:val="00394A05"/>
    <w:rsid w:val="00396D1A"/>
    <w:rsid w:val="003975CC"/>
    <w:rsid w:val="003979CC"/>
    <w:rsid w:val="003A0448"/>
    <w:rsid w:val="003A18E3"/>
    <w:rsid w:val="003A1B00"/>
    <w:rsid w:val="003A282D"/>
    <w:rsid w:val="003A2EAF"/>
    <w:rsid w:val="003A3D05"/>
    <w:rsid w:val="003A45C8"/>
    <w:rsid w:val="003A4653"/>
    <w:rsid w:val="003A55D0"/>
    <w:rsid w:val="003A630B"/>
    <w:rsid w:val="003A63CB"/>
    <w:rsid w:val="003A6D47"/>
    <w:rsid w:val="003A6EF8"/>
    <w:rsid w:val="003A6F47"/>
    <w:rsid w:val="003A76E0"/>
    <w:rsid w:val="003B0AD5"/>
    <w:rsid w:val="003B0B15"/>
    <w:rsid w:val="003B0BE0"/>
    <w:rsid w:val="003B16DB"/>
    <w:rsid w:val="003B1735"/>
    <w:rsid w:val="003B2795"/>
    <w:rsid w:val="003B2FC6"/>
    <w:rsid w:val="003B3967"/>
    <w:rsid w:val="003B3B6D"/>
    <w:rsid w:val="003B3BFC"/>
    <w:rsid w:val="003B3FF7"/>
    <w:rsid w:val="003B402E"/>
    <w:rsid w:val="003B41F9"/>
    <w:rsid w:val="003B462C"/>
    <w:rsid w:val="003B4F03"/>
    <w:rsid w:val="003B55E2"/>
    <w:rsid w:val="003B5DD9"/>
    <w:rsid w:val="003B625A"/>
    <w:rsid w:val="003B68B9"/>
    <w:rsid w:val="003B6A2C"/>
    <w:rsid w:val="003B6B52"/>
    <w:rsid w:val="003B6FC1"/>
    <w:rsid w:val="003B718F"/>
    <w:rsid w:val="003B7DC2"/>
    <w:rsid w:val="003B7EAA"/>
    <w:rsid w:val="003C0A29"/>
    <w:rsid w:val="003C0A49"/>
    <w:rsid w:val="003C191F"/>
    <w:rsid w:val="003C25E9"/>
    <w:rsid w:val="003C2FF1"/>
    <w:rsid w:val="003C41E2"/>
    <w:rsid w:val="003C45B8"/>
    <w:rsid w:val="003C473A"/>
    <w:rsid w:val="003C48BF"/>
    <w:rsid w:val="003C490C"/>
    <w:rsid w:val="003C4B53"/>
    <w:rsid w:val="003C5035"/>
    <w:rsid w:val="003C50B1"/>
    <w:rsid w:val="003C52F4"/>
    <w:rsid w:val="003C5A37"/>
    <w:rsid w:val="003C662D"/>
    <w:rsid w:val="003C6D48"/>
    <w:rsid w:val="003C7047"/>
    <w:rsid w:val="003C78E7"/>
    <w:rsid w:val="003C793A"/>
    <w:rsid w:val="003C7943"/>
    <w:rsid w:val="003D01A9"/>
    <w:rsid w:val="003D0AD9"/>
    <w:rsid w:val="003D11F3"/>
    <w:rsid w:val="003D13A8"/>
    <w:rsid w:val="003D22BE"/>
    <w:rsid w:val="003D23A2"/>
    <w:rsid w:val="003D24B8"/>
    <w:rsid w:val="003D3742"/>
    <w:rsid w:val="003D381B"/>
    <w:rsid w:val="003D4188"/>
    <w:rsid w:val="003D43B8"/>
    <w:rsid w:val="003D466A"/>
    <w:rsid w:val="003D4EE1"/>
    <w:rsid w:val="003D52E1"/>
    <w:rsid w:val="003D5504"/>
    <w:rsid w:val="003D6316"/>
    <w:rsid w:val="003D64A4"/>
    <w:rsid w:val="003D6652"/>
    <w:rsid w:val="003D6930"/>
    <w:rsid w:val="003D6C57"/>
    <w:rsid w:val="003D6CA1"/>
    <w:rsid w:val="003D73BC"/>
    <w:rsid w:val="003D76C1"/>
    <w:rsid w:val="003E00DE"/>
    <w:rsid w:val="003E0C6A"/>
    <w:rsid w:val="003E0D9F"/>
    <w:rsid w:val="003E0E91"/>
    <w:rsid w:val="003E1061"/>
    <w:rsid w:val="003E15DB"/>
    <w:rsid w:val="003E1892"/>
    <w:rsid w:val="003E226A"/>
    <w:rsid w:val="003E2BCF"/>
    <w:rsid w:val="003E2E1A"/>
    <w:rsid w:val="003E3446"/>
    <w:rsid w:val="003E361E"/>
    <w:rsid w:val="003E3867"/>
    <w:rsid w:val="003E3B24"/>
    <w:rsid w:val="003E41D7"/>
    <w:rsid w:val="003E42C6"/>
    <w:rsid w:val="003E50E9"/>
    <w:rsid w:val="003E5A36"/>
    <w:rsid w:val="003E5C3D"/>
    <w:rsid w:val="003E5C73"/>
    <w:rsid w:val="003E750A"/>
    <w:rsid w:val="003E7A98"/>
    <w:rsid w:val="003F02B4"/>
    <w:rsid w:val="003F0ADE"/>
    <w:rsid w:val="003F160B"/>
    <w:rsid w:val="003F17AE"/>
    <w:rsid w:val="003F18A5"/>
    <w:rsid w:val="003F1AAF"/>
    <w:rsid w:val="003F1E18"/>
    <w:rsid w:val="003F1E6B"/>
    <w:rsid w:val="003F20E1"/>
    <w:rsid w:val="003F32A3"/>
    <w:rsid w:val="003F35BE"/>
    <w:rsid w:val="003F3754"/>
    <w:rsid w:val="003F384D"/>
    <w:rsid w:val="003F3E68"/>
    <w:rsid w:val="003F3F8A"/>
    <w:rsid w:val="003F46DD"/>
    <w:rsid w:val="003F50D2"/>
    <w:rsid w:val="003F59A4"/>
    <w:rsid w:val="003F5EB6"/>
    <w:rsid w:val="003F62AA"/>
    <w:rsid w:val="003F6C27"/>
    <w:rsid w:val="003F703B"/>
    <w:rsid w:val="003F7350"/>
    <w:rsid w:val="003F74D4"/>
    <w:rsid w:val="003F7A94"/>
    <w:rsid w:val="003F7F33"/>
    <w:rsid w:val="003F7FF0"/>
    <w:rsid w:val="00400035"/>
    <w:rsid w:val="004008E0"/>
    <w:rsid w:val="0040110B"/>
    <w:rsid w:val="00401159"/>
    <w:rsid w:val="004019BD"/>
    <w:rsid w:val="004029CC"/>
    <w:rsid w:val="00402D51"/>
    <w:rsid w:val="00402DE1"/>
    <w:rsid w:val="00403032"/>
    <w:rsid w:val="00403101"/>
    <w:rsid w:val="00403155"/>
    <w:rsid w:val="00403F7A"/>
    <w:rsid w:val="00404672"/>
    <w:rsid w:val="004050DD"/>
    <w:rsid w:val="00405209"/>
    <w:rsid w:val="004054DA"/>
    <w:rsid w:val="00405D5E"/>
    <w:rsid w:val="00405F05"/>
    <w:rsid w:val="00406058"/>
    <w:rsid w:val="00406DF9"/>
    <w:rsid w:val="00406F29"/>
    <w:rsid w:val="00406F8C"/>
    <w:rsid w:val="004077F5"/>
    <w:rsid w:val="0041038C"/>
    <w:rsid w:val="00410A62"/>
    <w:rsid w:val="0041182D"/>
    <w:rsid w:val="00411C98"/>
    <w:rsid w:val="0041284E"/>
    <w:rsid w:val="00413552"/>
    <w:rsid w:val="0041386C"/>
    <w:rsid w:val="00414550"/>
    <w:rsid w:val="0041456D"/>
    <w:rsid w:val="00414A38"/>
    <w:rsid w:val="004154F3"/>
    <w:rsid w:val="004157AA"/>
    <w:rsid w:val="00415FF1"/>
    <w:rsid w:val="00416D0A"/>
    <w:rsid w:val="004173AA"/>
    <w:rsid w:val="00417870"/>
    <w:rsid w:val="00417C4D"/>
    <w:rsid w:val="00421631"/>
    <w:rsid w:val="00421D4B"/>
    <w:rsid w:val="004227A0"/>
    <w:rsid w:val="00422B67"/>
    <w:rsid w:val="00422DA6"/>
    <w:rsid w:val="0042399F"/>
    <w:rsid w:val="004245FC"/>
    <w:rsid w:val="0042517E"/>
    <w:rsid w:val="00425497"/>
    <w:rsid w:val="004255EC"/>
    <w:rsid w:val="00425AB7"/>
    <w:rsid w:val="00426CD0"/>
    <w:rsid w:val="00426F73"/>
    <w:rsid w:val="0042788A"/>
    <w:rsid w:val="00427DA1"/>
    <w:rsid w:val="004317B6"/>
    <w:rsid w:val="00431D6A"/>
    <w:rsid w:val="004323DE"/>
    <w:rsid w:val="004327B0"/>
    <w:rsid w:val="00432B3D"/>
    <w:rsid w:val="00433679"/>
    <w:rsid w:val="00433AB6"/>
    <w:rsid w:val="00434198"/>
    <w:rsid w:val="004344C2"/>
    <w:rsid w:val="0043451A"/>
    <w:rsid w:val="00435558"/>
    <w:rsid w:val="004357F7"/>
    <w:rsid w:val="00436742"/>
    <w:rsid w:val="00436854"/>
    <w:rsid w:val="00436ACD"/>
    <w:rsid w:val="00436B6B"/>
    <w:rsid w:val="00436BFE"/>
    <w:rsid w:val="00436CF8"/>
    <w:rsid w:val="00437A49"/>
    <w:rsid w:val="0044012B"/>
    <w:rsid w:val="00440224"/>
    <w:rsid w:val="00440C85"/>
    <w:rsid w:val="00440CEA"/>
    <w:rsid w:val="00440F27"/>
    <w:rsid w:val="004413F5"/>
    <w:rsid w:val="00441EBD"/>
    <w:rsid w:val="00442C17"/>
    <w:rsid w:val="00444460"/>
    <w:rsid w:val="00444556"/>
    <w:rsid w:val="0044501B"/>
    <w:rsid w:val="004453B3"/>
    <w:rsid w:val="00445722"/>
    <w:rsid w:val="00445DAE"/>
    <w:rsid w:val="004465E1"/>
    <w:rsid w:val="00446963"/>
    <w:rsid w:val="004469E8"/>
    <w:rsid w:val="00447200"/>
    <w:rsid w:val="004477BA"/>
    <w:rsid w:val="00447956"/>
    <w:rsid w:val="00450513"/>
    <w:rsid w:val="004508EA"/>
    <w:rsid w:val="0045113F"/>
    <w:rsid w:val="00451B57"/>
    <w:rsid w:val="00452A5E"/>
    <w:rsid w:val="0045357E"/>
    <w:rsid w:val="00453A0E"/>
    <w:rsid w:val="00455514"/>
    <w:rsid w:val="00455523"/>
    <w:rsid w:val="004565CF"/>
    <w:rsid w:val="00456AA9"/>
    <w:rsid w:val="00457356"/>
    <w:rsid w:val="00457433"/>
    <w:rsid w:val="004601B0"/>
    <w:rsid w:val="0046037D"/>
    <w:rsid w:val="00460626"/>
    <w:rsid w:val="00461AEB"/>
    <w:rsid w:val="00462ACB"/>
    <w:rsid w:val="004630E1"/>
    <w:rsid w:val="00463504"/>
    <w:rsid w:val="00463A12"/>
    <w:rsid w:val="00463E7B"/>
    <w:rsid w:val="00463E83"/>
    <w:rsid w:val="00463F72"/>
    <w:rsid w:val="00464509"/>
    <w:rsid w:val="0046498D"/>
    <w:rsid w:val="004654B9"/>
    <w:rsid w:val="00465B34"/>
    <w:rsid w:val="004663E5"/>
    <w:rsid w:val="00466460"/>
    <w:rsid w:val="004666DC"/>
    <w:rsid w:val="00466AB0"/>
    <w:rsid w:val="00467522"/>
    <w:rsid w:val="00467C18"/>
    <w:rsid w:val="0047110C"/>
    <w:rsid w:val="004713CE"/>
    <w:rsid w:val="004715A3"/>
    <w:rsid w:val="00471B7C"/>
    <w:rsid w:val="00471CC0"/>
    <w:rsid w:val="00472717"/>
    <w:rsid w:val="00472C16"/>
    <w:rsid w:val="0047324F"/>
    <w:rsid w:val="00473294"/>
    <w:rsid w:val="00473B45"/>
    <w:rsid w:val="00473EA8"/>
    <w:rsid w:val="00474486"/>
    <w:rsid w:val="00475938"/>
    <w:rsid w:val="00475E64"/>
    <w:rsid w:val="00476501"/>
    <w:rsid w:val="0047662E"/>
    <w:rsid w:val="004769C4"/>
    <w:rsid w:val="00476B37"/>
    <w:rsid w:val="00477DE8"/>
    <w:rsid w:val="004801E2"/>
    <w:rsid w:val="004802E7"/>
    <w:rsid w:val="00480D28"/>
    <w:rsid w:val="00480E6E"/>
    <w:rsid w:val="004823E1"/>
    <w:rsid w:val="004824B6"/>
    <w:rsid w:val="00482757"/>
    <w:rsid w:val="00482ABC"/>
    <w:rsid w:val="00482D53"/>
    <w:rsid w:val="004834D4"/>
    <w:rsid w:val="004836E9"/>
    <w:rsid w:val="00484313"/>
    <w:rsid w:val="00484807"/>
    <w:rsid w:val="0048498F"/>
    <w:rsid w:val="00484EBB"/>
    <w:rsid w:val="00484FEA"/>
    <w:rsid w:val="00485052"/>
    <w:rsid w:val="00485231"/>
    <w:rsid w:val="00485393"/>
    <w:rsid w:val="004855EF"/>
    <w:rsid w:val="0048634E"/>
    <w:rsid w:val="004863B1"/>
    <w:rsid w:val="00486490"/>
    <w:rsid w:val="0048721C"/>
    <w:rsid w:val="0049002D"/>
    <w:rsid w:val="00490B17"/>
    <w:rsid w:val="00490BF1"/>
    <w:rsid w:val="00491073"/>
    <w:rsid w:val="004915DE"/>
    <w:rsid w:val="00491D47"/>
    <w:rsid w:val="00492DBF"/>
    <w:rsid w:val="004948DF"/>
    <w:rsid w:val="00495EFF"/>
    <w:rsid w:val="004969D7"/>
    <w:rsid w:val="00496BB6"/>
    <w:rsid w:val="00496FB6"/>
    <w:rsid w:val="004970FF"/>
    <w:rsid w:val="004A0245"/>
    <w:rsid w:val="004A072B"/>
    <w:rsid w:val="004A0E2F"/>
    <w:rsid w:val="004A164C"/>
    <w:rsid w:val="004A20A9"/>
    <w:rsid w:val="004A29F1"/>
    <w:rsid w:val="004A2EB8"/>
    <w:rsid w:val="004A34CD"/>
    <w:rsid w:val="004A4E78"/>
    <w:rsid w:val="004A50A8"/>
    <w:rsid w:val="004A5E0B"/>
    <w:rsid w:val="004A7048"/>
    <w:rsid w:val="004A7169"/>
    <w:rsid w:val="004A78A1"/>
    <w:rsid w:val="004B02DE"/>
    <w:rsid w:val="004B1E07"/>
    <w:rsid w:val="004B1F9A"/>
    <w:rsid w:val="004B24E5"/>
    <w:rsid w:val="004B26DC"/>
    <w:rsid w:val="004B31F2"/>
    <w:rsid w:val="004B3390"/>
    <w:rsid w:val="004B36AD"/>
    <w:rsid w:val="004B3B68"/>
    <w:rsid w:val="004B5E62"/>
    <w:rsid w:val="004B60E8"/>
    <w:rsid w:val="004B656E"/>
    <w:rsid w:val="004B667B"/>
    <w:rsid w:val="004C0060"/>
    <w:rsid w:val="004C03D1"/>
    <w:rsid w:val="004C0D36"/>
    <w:rsid w:val="004C0D8E"/>
    <w:rsid w:val="004C3E28"/>
    <w:rsid w:val="004C41B2"/>
    <w:rsid w:val="004C46E3"/>
    <w:rsid w:val="004C49F0"/>
    <w:rsid w:val="004C4ADD"/>
    <w:rsid w:val="004C4D4C"/>
    <w:rsid w:val="004C4F4C"/>
    <w:rsid w:val="004C50A5"/>
    <w:rsid w:val="004C574E"/>
    <w:rsid w:val="004C57E8"/>
    <w:rsid w:val="004C622B"/>
    <w:rsid w:val="004C6B32"/>
    <w:rsid w:val="004C73B0"/>
    <w:rsid w:val="004D050C"/>
    <w:rsid w:val="004D0686"/>
    <w:rsid w:val="004D0BDB"/>
    <w:rsid w:val="004D1C52"/>
    <w:rsid w:val="004D22EF"/>
    <w:rsid w:val="004D2618"/>
    <w:rsid w:val="004D26A8"/>
    <w:rsid w:val="004D29E4"/>
    <w:rsid w:val="004D32EE"/>
    <w:rsid w:val="004D4F6C"/>
    <w:rsid w:val="004D5055"/>
    <w:rsid w:val="004D50BE"/>
    <w:rsid w:val="004D598E"/>
    <w:rsid w:val="004D5B55"/>
    <w:rsid w:val="004D5E1F"/>
    <w:rsid w:val="004D5F34"/>
    <w:rsid w:val="004D5FD8"/>
    <w:rsid w:val="004D60BE"/>
    <w:rsid w:val="004D67F2"/>
    <w:rsid w:val="004D683A"/>
    <w:rsid w:val="004D6B57"/>
    <w:rsid w:val="004D6E8E"/>
    <w:rsid w:val="004D73C7"/>
    <w:rsid w:val="004D765D"/>
    <w:rsid w:val="004D7A52"/>
    <w:rsid w:val="004D7AF9"/>
    <w:rsid w:val="004D7FAA"/>
    <w:rsid w:val="004E1D97"/>
    <w:rsid w:val="004E20A2"/>
    <w:rsid w:val="004E2590"/>
    <w:rsid w:val="004E301C"/>
    <w:rsid w:val="004E3081"/>
    <w:rsid w:val="004E3147"/>
    <w:rsid w:val="004E392E"/>
    <w:rsid w:val="004E3E7E"/>
    <w:rsid w:val="004E47EE"/>
    <w:rsid w:val="004E4A10"/>
    <w:rsid w:val="004E4ACB"/>
    <w:rsid w:val="004E5494"/>
    <w:rsid w:val="004E61DE"/>
    <w:rsid w:val="004E656E"/>
    <w:rsid w:val="004E6903"/>
    <w:rsid w:val="004E6AA2"/>
    <w:rsid w:val="004E6DEC"/>
    <w:rsid w:val="004E75FC"/>
    <w:rsid w:val="004E7942"/>
    <w:rsid w:val="004F02A0"/>
    <w:rsid w:val="004F0493"/>
    <w:rsid w:val="004F0CA1"/>
    <w:rsid w:val="004F2060"/>
    <w:rsid w:val="004F20E4"/>
    <w:rsid w:val="004F2353"/>
    <w:rsid w:val="004F24CC"/>
    <w:rsid w:val="004F2A8F"/>
    <w:rsid w:val="004F48B6"/>
    <w:rsid w:val="004F5226"/>
    <w:rsid w:val="004F558B"/>
    <w:rsid w:val="004F5A2B"/>
    <w:rsid w:val="004F5EEA"/>
    <w:rsid w:val="004F7019"/>
    <w:rsid w:val="004F7738"/>
    <w:rsid w:val="004F7C7A"/>
    <w:rsid w:val="004F7DAA"/>
    <w:rsid w:val="004F7DE3"/>
    <w:rsid w:val="00500077"/>
    <w:rsid w:val="0050067A"/>
    <w:rsid w:val="00500729"/>
    <w:rsid w:val="0050082C"/>
    <w:rsid w:val="00501025"/>
    <w:rsid w:val="0050125D"/>
    <w:rsid w:val="005018F4"/>
    <w:rsid w:val="00501D1A"/>
    <w:rsid w:val="00501F60"/>
    <w:rsid w:val="0050204E"/>
    <w:rsid w:val="005031DB"/>
    <w:rsid w:val="0050393B"/>
    <w:rsid w:val="00503EFB"/>
    <w:rsid w:val="00504662"/>
    <w:rsid w:val="00504912"/>
    <w:rsid w:val="005054CA"/>
    <w:rsid w:val="00506F77"/>
    <w:rsid w:val="005077C4"/>
    <w:rsid w:val="00507FF0"/>
    <w:rsid w:val="00510509"/>
    <w:rsid w:val="00510A81"/>
    <w:rsid w:val="00510BED"/>
    <w:rsid w:val="00510D52"/>
    <w:rsid w:val="00510EB8"/>
    <w:rsid w:val="005113D1"/>
    <w:rsid w:val="00511E23"/>
    <w:rsid w:val="00511EF1"/>
    <w:rsid w:val="0051253D"/>
    <w:rsid w:val="00512BAD"/>
    <w:rsid w:val="00513E50"/>
    <w:rsid w:val="005140F6"/>
    <w:rsid w:val="005149A8"/>
    <w:rsid w:val="00514FCE"/>
    <w:rsid w:val="00515223"/>
    <w:rsid w:val="0051551D"/>
    <w:rsid w:val="00515A2C"/>
    <w:rsid w:val="00515B6C"/>
    <w:rsid w:val="005167F3"/>
    <w:rsid w:val="00516CA1"/>
    <w:rsid w:val="00516D24"/>
    <w:rsid w:val="00516E5D"/>
    <w:rsid w:val="00517DEC"/>
    <w:rsid w:val="00517EDC"/>
    <w:rsid w:val="00520BCF"/>
    <w:rsid w:val="0052118A"/>
    <w:rsid w:val="0052146C"/>
    <w:rsid w:val="0052155A"/>
    <w:rsid w:val="00522F92"/>
    <w:rsid w:val="00523668"/>
    <w:rsid w:val="00524379"/>
    <w:rsid w:val="00524D07"/>
    <w:rsid w:val="00524F65"/>
    <w:rsid w:val="005250E2"/>
    <w:rsid w:val="0052527E"/>
    <w:rsid w:val="00525776"/>
    <w:rsid w:val="005257A9"/>
    <w:rsid w:val="0052602A"/>
    <w:rsid w:val="005264C7"/>
    <w:rsid w:val="005265FD"/>
    <w:rsid w:val="00526B28"/>
    <w:rsid w:val="00526DDF"/>
    <w:rsid w:val="00526F90"/>
    <w:rsid w:val="005271E7"/>
    <w:rsid w:val="00527470"/>
    <w:rsid w:val="00527ABD"/>
    <w:rsid w:val="00530326"/>
    <w:rsid w:val="00531E5E"/>
    <w:rsid w:val="00532B9D"/>
    <w:rsid w:val="00532C90"/>
    <w:rsid w:val="00532D26"/>
    <w:rsid w:val="00532FC2"/>
    <w:rsid w:val="00533193"/>
    <w:rsid w:val="0053612A"/>
    <w:rsid w:val="0053639F"/>
    <w:rsid w:val="0053715F"/>
    <w:rsid w:val="00537679"/>
    <w:rsid w:val="00540102"/>
    <w:rsid w:val="00540365"/>
    <w:rsid w:val="0054062C"/>
    <w:rsid w:val="00540826"/>
    <w:rsid w:val="005408E2"/>
    <w:rsid w:val="00540905"/>
    <w:rsid w:val="00541B6F"/>
    <w:rsid w:val="00541C6F"/>
    <w:rsid w:val="00543021"/>
    <w:rsid w:val="005432D7"/>
    <w:rsid w:val="00543F22"/>
    <w:rsid w:val="0054401D"/>
    <w:rsid w:val="00544599"/>
    <w:rsid w:val="00544D92"/>
    <w:rsid w:val="005475E4"/>
    <w:rsid w:val="005500FC"/>
    <w:rsid w:val="00550CE6"/>
    <w:rsid w:val="00552647"/>
    <w:rsid w:val="00552A6E"/>
    <w:rsid w:val="00552D12"/>
    <w:rsid w:val="005530C3"/>
    <w:rsid w:val="005539C2"/>
    <w:rsid w:val="00553C0F"/>
    <w:rsid w:val="00553DE6"/>
    <w:rsid w:val="00554C2D"/>
    <w:rsid w:val="00555443"/>
    <w:rsid w:val="00556589"/>
    <w:rsid w:val="0055683B"/>
    <w:rsid w:val="00556ABA"/>
    <w:rsid w:val="00556B9D"/>
    <w:rsid w:val="00557107"/>
    <w:rsid w:val="00557155"/>
    <w:rsid w:val="0055730F"/>
    <w:rsid w:val="00557CE1"/>
    <w:rsid w:val="00557FE3"/>
    <w:rsid w:val="00561ACA"/>
    <w:rsid w:val="00561DE0"/>
    <w:rsid w:val="0056203A"/>
    <w:rsid w:val="00562393"/>
    <w:rsid w:val="005637F0"/>
    <w:rsid w:val="00563B44"/>
    <w:rsid w:val="00564932"/>
    <w:rsid w:val="0056494A"/>
    <w:rsid w:val="00564A22"/>
    <w:rsid w:val="00565617"/>
    <w:rsid w:val="005656C3"/>
    <w:rsid w:val="0056616A"/>
    <w:rsid w:val="0056677B"/>
    <w:rsid w:val="0056692D"/>
    <w:rsid w:val="00566F80"/>
    <w:rsid w:val="00567B5E"/>
    <w:rsid w:val="00570AFD"/>
    <w:rsid w:val="00570B16"/>
    <w:rsid w:val="00571343"/>
    <w:rsid w:val="005713ED"/>
    <w:rsid w:val="00571680"/>
    <w:rsid w:val="00571FA0"/>
    <w:rsid w:val="00572189"/>
    <w:rsid w:val="00572B06"/>
    <w:rsid w:val="00572DC4"/>
    <w:rsid w:val="00573942"/>
    <w:rsid w:val="00573DE2"/>
    <w:rsid w:val="00575D2C"/>
    <w:rsid w:val="00576EFD"/>
    <w:rsid w:val="00577053"/>
    <w:rsid w:val="00577157"/>
    <w:rsid w:val="005773AC"/>
    <w:rsid w:val="0057797B"/>
    <w:rsid w:val="00577CF8"/>
    <w:rsid w:val="00580311"/>
    <w:rsid w:val="00580314"/>
    <w:rsid w:val="00580345"/>
    <w:rsid w:val="005805FF"/>
    <w:rsid w:val="00580874"/>
    <w:rsid w:val="00580F88"/>
    <w:rsid w:val="00581879"/>
    <w:rsid w:val="00582135"/>
    <w:rsid w:val="005824A7"/>
    <w:rsid w:val="005828F5"/>
    <w:rsid w:val="0058313B"/>
    <w:rsid w:val="005837AF"/>
    <w:rsid w:val="00583873"/>
    <w:rsid w:val="005839B9"/>
    <w:rsid w:val="005839E5"/>
    <w:rsid w:val="00583C5C"/>
    <w:rsid w:val="00583DA1"/>
    <w:rsid w:val="00583E4A"/>
    <w:rsid w:val="005851B6"/>
    <w:rsid w:val="00585A23"/>
    <w:rsid w:val="00585B1F"/>
    <w:rsid w:val="00585B48"/>
    <w:rsid w:val="00585E5D"/>
    <w:rsid w:val="005862BD"/>
    <w:rsid w:val="00586CA0"/>
    <w:rsid w:val="00587BAA"/>
    <w:rsid w:val="00590877"/>
    <w:rsid w:val="00591A74"/>
    <w:rsid w:val="00592050"/>
    <w:rsid w:val="00592053"/>
    <w:rsid w:val="00592395"/>
    <w:rsid w:val="00592446"/>
    <w:rsid w:val="00592708"/>
    <w:rsid w:val="005928F3"/>
    <w:rsid w:val="00592ABE"/>
    <w:rsid w:val="00592BD1"/>
    <w:rsid w:val="005931B6"/>
    <w:rsid w:val="005936FE"/>
    <w:rsid w:val="00593888"/>
    <w:rsid w:val="005938EF"/>
    <w:rsid w:val="00593AB3"/>
    <w:rsid w:val="00593ACD"/>
    <w:rsid w:val="005948EA"/>
    <w:rsid w:val="00594915"/>
    <w:rsid w:val="00594A9C"/>
    <w:rsid w:val="00594C66"/>
    <w:rsid w:val="005957A2"/>
    <w:rsid w:val="005958CB"/>
    <w:rsid w:val="005960D6"/>
    <w:rsid w:val="0059751E"/>
    <w:rsid w:val="005978D4"/>
    <w:rsid w:val="005A0A43"/>
    <w:rsid w:val="005A13F3"/>
    <w:rsid w:val="005A1469"/>
    <w:rsid w:val="005A2D23"/>
    <w:rsid w:val="005A39CF"/>
    <w:rsid w:val="005A3C3F"/>
    <w:rsid w:val="005A3D24"/>
    <w:rsid w:val="005A4899"/>
    <w:rsid w:val="005A48D1"/>
    <w:rsid w:val="005A4B00"/>
    <w:rsid w:val="005A4BF1"/>
    <w:rsid w:val="005A4D3D"/>
    <w:rsid w:val="005A5B4F"/>
    <w:rsid w:val="005A6E88"/>
    <w:rsid w:val="005A776E"/>
    <w:rsid w:val="005B0A9C"/>
    <w:rsid w:val="005B0F77"/>
    <w:rsid w:val="005B1080"/>
    <w:rsid w:val="005B11B4"/>
    <w:rsid w:val="005B11D1"/>
    <w:rsid w:val="005B1A6F"/>
    <w:rsid w:val="005B1AB7"/>
    <w:rsid w:val="005B1ACA"/>
    <w:rsid w:val="005B1B0D"/>
    <w:rsid w:val="005B2089"/>
    <w:rsid w:val="005B53F7"/>
    <w:rsid w:val="005B5A78"/>
    <w:rsid w:val="005B60B2"/>
    <w:rsid w:val="005B7F29"/>
    <w:rsid w:val="005C0656"/>
    <w:rsid w:val="005C06A5"/>
    <w:rsid w:val="005C0951"/>
    <w:rsid w:val="005C14F3"/>
    <w:rsid w:val="005C1861"/>
    <w:rsid w:val="005C1FED"/>
    <w:rsid w:val="005C213B"/>
    <w:rsid w:val="005C2610"/>
    <w:rsid w:val="005C3AA9"/>
    <w:rsid w:val="005C3BC5"/>
    <w:rsid w:val="005C3FFE"/>
    <w:rsid w:val="005C4A31"/>
    <w:rsid w:val="005C51F5"/>
    <w:rsid w:val="005C593D"/>
    <w:rsid w:val="005C67AA"/>
    <w:rsid w:val="005C6ED5"/>
    <w:rsid w:val="005C7A30"/>
    <w:rsid w:val="005C7BA3"/>
    <w:rsid w:val="005D026E"/>
    <w:rsid w:val="005D08F3"/>
    <w:rsid w:val="005D1065"/>
    <w:rsid w:val="005D1094"/>
    <w:rsid w:val="005D1DFA"/>
    <w:rsid w:val="005D1F35"/>
    <w:rsid w:val="005D2077"/>
    <w:rsid w:val="005D2513"/>
    <w:rsid w:val="005D2794"/>
    <w:rsid w:val="005D3106"/>
    <w:rsid w:val="005D3317"/>
    <w:rsid w:val="005D368F"/>
    <w:rsid w:val="005D428C"/>
    <w:rsid w:val="005D4780"/>
    <w:rsid w:val="005D4A41"/>
    <w:rsid w:val="005D54AF"/>
    <w:rsid w:val="005D626E"/>
    <w:rsid w:val="005D64C4"/>
    <w:rsid w:val="005D694E"/>
    <w:rsid w:val="005D6E66"/>
    <w:rsid w:val="005D787F"/>
    <w:rsid w:val="005E0799"/>
    <w:rsid w:val="005E0FA6"/>
    <w:rsid w:val="005E1305"/>
    <w:rsid w:val="005E185E"/>
    <w:rsid w:val="005E1E53"/>
    <w:rsid w:val="005E2004"/>
    <w:rsid w:val="005E20E9"/>
    <w:rsid w:val="005E220A"/>
    <w:rsid w:val="005E2DCA"/>
    <w:rsid w:val="005E2ECB"/>
    <w:rsid w:val="005E2F2E"/>
    <w:rsid w:val="005E30D8"/>
    <w:rsid w:val="005E32F1"/>
    <w:rsid w:val="005E37A6"/>
    <w:rsid w:val="005E3D53"/>
    <w:rsid w:val="005E3EC6"/>
    <w:rsid w:val="005E3F64"/>
    <w:rsid w:val="005E4108"/>
    <w:rsid w:val="005E4890"/>
    <w:rsid w:val="005E644D"/>
    <w:rsid w:val="005E6694"/>
    <w:rsid w:val="005E6F9F"/>
    <w:rsid w:val="005E7745"/>
    <w:rsid w:val="005E781C"/>
    <w:rsid w:val="005F003A"/>
    <w:rsid w:val="005F056D"/>
    <w:rsid w:val="005F0989"/>
    <w:rsid w:val="005F10EE"/>
    <w:rsid w:val="005F13E3"/>
    <w:rsid w:val="005F17FF"/>
    <w:rsid w:val="005F1BD3"/>
    <w:rsid w:val="005F1C6D"/>
    <w:rsid w:val="005F1E56"/>
    <w:rsid w:val="005F2065"/>
    <w:rsid w:val="005F219D"/>
    <w:rsid w:val="005F23FB"/>
    <w:rsid w:val="005F30A3"/>
    <w:rsid w:val="005F3215"/>
    <w:rsid w:val="005F3B62"/>
    <w:rsid w:val="005F3C1A"/>
    <w:rsid w:val="005F48A8"/>
    <w:rsid w:val="005F4D28"/>
    <w:rsid w:val="005F511C"/>
    <w:rsid w:val="005F51A6"/>
    <w:rsid w:val="005F52B6"/>
    <w:rsid w:val="005F6723"/>
    <w:rsid w:val="005F6B88"/>
    <w:rsid w:val="005F6BC2"/>
    <w:rsid w:val="005F6F4A"/>
    <w:rsid w:val="005F77D1"/>
    <w:rsid w:val="005F793E"/>
    <w:rsid w:val="005F7BE2"/>
    <w:rsid w:val="00600E69"/>
    <w:rsid w:val="00601607"/>
    <w:rsid w:val="00601C17"/>
    <w:rsid w:val="00602105"/>
    <w:rsid w:val="00602301"/>
    <w:rsid w:val="00602535"/>
    <w:rsid w:val="0060268F"/>
    <w:rsid w:val="00603620"/>
    <w:rsid w:val="00603770"/>
    <w:rsid w:val="006037FF"/>
    <w:rsid w:val="00603D39"/>
    <w:rsid w:val="0060430D"/>
    <w:rsid w:val="00604530"/>
    <w:rsid w:val="006052FD"/>
    <w:rsid w:val="006057E4"/>
    <w:rsid w:val="00605B29"/>
    <w:rsid w:val="0060638F"/>
    <w:rsid w:val="00606517"/>
    <w:rsid w:val="00606A94"/>
    <w:rsid w:val="0060725D"/>
    <w:rsid w:val="0061016D"/>
    <w:rsid w:val="00610D43"/>
    <w:rsid w:val="00611459"/>
    <w:rsid w:val="00611B2E"/>
    <w:rsid w:val="00612061"/>
    <w:rsid w:val="006124E2"/>
    <w:rsid w:val="006130FD"/>
    <w:rsid w:val="006134F3"/>
    <w:rsid w:val="00614071"/>
    <w:rsid w:val="00614094"/>
    <w:rsid w:val="006147BF"/>
    <w:rsid w:val="00614801"/>
    <w:rsid w:val="006148C5"/>
    <w:rsid w:val="006166AC"/>
    <w:rsid w:val="00616828"/>
    <w:rsid w:val="00617378"/>
    <w:rsid w:val="00617953"/>
    <w:rsid w:val="00617AE3"/>
    <w:rsid w:val="0062010B"/>
    <w:rsid w:val="00620E67"/>
    <w:rsid w:val="00621573"/>
    <w:rsid w:val="0062160F"/>
    <w:rsid w:val="00621AB3"/>
    <w:rsid w:val="00621AF1"/>
    <w:rsid w:val="006226A3"/>
    <w:rsid w:val="00622C25"/>
    <w:rsid w:val="0062335D"/>
    <w:rsid w:val="00623BDD"/>
    <w:rsid w:val="00624495"/>
    <w:rsid w:val="00624DCD"/>
    <w:rsid w:val="00624E0C"/>
    <w:rsid w:val="00625983"/>
    <w:rsid w:val="006261CF"/>
    <w:rsid w:val="00627CEB"/>
    <w:rsid w:val="00627E63"/>
    <w:rsid w:val="00630023"/>
    <w:rsid w:val="00630036"/>
    <w:rsid w:val="0063074F"/>
    <w:rsid w:val="006307A1"/>
    <w:rsid w:val="00632439"/>
    <w:rsid w:val="0063352A"/>
    <w:rsid w:val="00633BE9"/>
    <w:rsid w:val="0063402C"/>
    <w:rsid w:val="0063403A"/>
    <w:rsid w:val="006340E0"/>
    <w:rsid w:val="00634412"/>
    <w:rsid w:val="00634520"/>
    <w:rsid w:val="006346D1"/>
    <w:rsid w:val="006347F1"/>
    <w:rsid w:val="00634C46"/>
    <w:rsid w:val="00634E4C"/>
    <w:rsid w:val="00634F03"/>
    <w:rsid w:val="0063550D"/>
    <w:rsid w:val="0063556A"/>
    <w:rsid w:val="00635594"/>
    <w:rsid w:val="00635D9F"/>
    <w:rsid w:val="006361D5"/>
    <w:rsid w:val="00636775"/>
    <w:rsid w:val="006378D8"/>
    <w:rsid w:val="00637AC5"/>
    <w:rsid w:val="00640607"/>
    <w:rsid w:val="00640A35"/>
    <w:rsid w:val="00641154"/>
    <w:rsid w:val="00641BD0"/>
    <w:rsid w:val="006423C5"/>
    <w:rsid w:val="0064251C"/>
    <w:rsid w:val="00642AC7"/>
    <w:rsid w:val="00642E8E"/>
    <w:rsid w:val="00642F7F"/>
    <w:rsid w:val="00643440"/>
    <w:rsid w:val="00643707"/>
    <w:rsid w:val="0064377A"/>
    <w:rsid w:val="00644753"/>
    <w:rsid w:val="00644BD4"/>
    <w:rsid w:val="00644E37"/>
    <w:rsid w:val="006451E5"/>
    <w:rsid w:val="0064542F"/>
    <w:rsid w:val="00645F48"/>
    <w:rsid w:val="00646B0B"/>
    <w:rsid w:val="00646EAD"/>
    <w:rsid w:val="0064748E"/>
    <w:rsid w:val="0065048C"/>
    <w:rsid w:val="0065099C"/>
    <w:rsid w:val="00650EA6"/>
    <w:rsid w:val="00651220"/>
    <w:rsid w:val="00651BA6"/>
    <w:rsid w:val="006524EF"/>
    <w:rsid w:val="00652C74"/>
    <w:rsid w:val="006531B1"/>
    <w:rsid w:val="006532E0"/>
    <w:rsid w:val="00653340"/>
    <w:rsid w:val="006536BD"/>
    <w:rsid w:val="00653893"/>
    <w:rsid w:val="00653A20"/>
    <w:rsid w:val="00653A6F"/>
    <w:rsid w:val="00653F11"/>
    <w:rsid w:val="00654333"/>
    <w:rsid w:val="00654615"/>
    <w:rsid w:val="00654DC0"/>
    <w:rsid w:val="00655740"/>
    <w:rsid w:val="00655D11"/>
    <w:rsid w:val="00656BEC"/>
    <w:rsid w:val="00656FA9"/>
    <w:rsid w:val="00657420"/>
    <w:rsid w:val="006574FA"/>
    <w:rsid w:val="00657707"/>
    <w:rsid w:val="006605CE"/>
    <w:rsid w:val="006609DA"/>
    <w:rsid w:val="006613E6"/>
    <w:rsid w:val="00661916"/>
    <w:rsid w:val="00661F59"/>
    <w:rsid w:val="00662914"/>
    <w:rsid w:val="00662E38"/>
    <w:rsid w:val="00663272"/>
    <w:rsid w:val="0066377F"/>
    <w:rsid w:val="006640C5"/>
    <w:rsid w:val="00664DB1"/>
    <w:rsid w:val="006650B8"/>
    <w:rsid w:val="006658A4"/>
    <w:rsid w:val="00666DD0"/>
    <w:rsid w:val="006672EB"/>
    <w:rsid w:val="00667425"/>
    <w:rsid w:val="006678DE"/>
    <w:rsid w:val="00667985"/>
    <w:rsid w:val="00667B86"/>
    <w:rsid w:val="00670287"/>
    <w:rsid w:val="00670433"/>
    <w:rsid w:val="00673173"/>
    <w:rsid w:val="006735ED"/>
    <w:rsid w:val="00673A16"/>
    <w:rsid w:val="00674322"/>
    <w:rsid w:val="006749B1"/>
    <w:rsid w:val="00674FC9"/>
    <w:rsid w:val="00676876"/>
    <w:rsid w:val="00676D11"/>
    <w:rsid w:val="00680786"/>
    <w:rsid w:val="00680C4F"/>
    <w:rsid w:val="0068108E"/>
    <w:rsid w:val="0068195A"/>
    <w:rsid w:val="00681F61"/>
    <w:rsid w:val="00682846"/>
    <w:rsid w:val="00682BDD"/>
    <w:rsid w:val="0068379E"/>
    <w:rsid w:val="006853BD"/>
    <w:rsid w:val="0068631A"/>
    <w:rsid w:val="00686482"/>
    <w:rsid w:val="006864F3"/>
    <w:rsid w:val="00686509"/>
    <w:rsid w:val="00686B51"/>
    <w:rsid w:val="00687225"/>
    <w:rsid w:val="0068755B"/>
    <w:rsid w:val="00687F6E"/>
    <w:rsid w:val="006904A6"/>
    <w:rsid w:val="0069068B"/>
    <w:rsid w:val="00691B24"/>
    <w:rsid w:val="00691D49"/>
    <w:rsid w:val="00692744"/>
    <w:rsid w:val="00692A57"/>
    <w:rsid w:val="00692BA8"/>
    <w:rsid w:val="006931AA"/>
    <w:rsid w:val="006932A7"/>
    <w:rsid w:val="00693531"/>
    <w:rsid w:val="006937A0"/>
    <w:rsid w:val="006938D2"/>
    <w:rsid w:val="006939F7"/>
    <w:rsid w:val="00693C0B"/>
    <w:rsid w:val="00693D03"/>
    <w:rsid w:val="006948D7"/>
    <w:rsid w:val="00695DB2"/>
    <w:rsid w:val="00695EA0"/>
    <w:rsid w:val="00695EBD"/>
    <w:rsid w:val="00696089"/>
    <w:rsid w:val="006963D6"/>
    <w:rsid w:val="00696828"/>
    <w:rsid w:val="00697086"/>
    <w:rsid w:val="006A022E"/>
    <w:rsid w:val="006A07A9"/>
    <w:rsid w:val="006A096F"/>
    <w:rsid w:val="006A0BC0"/>
    <w:rsid w:val="006A0BC4"/>
    <w:rsid w:val="006A0C49"/>
    <w:rsid w:val="006A1D04"/>
    <w:rsid w:val="006A249A"/>
    <w:rsid w:val="006A3570"/>
    <w:rsid w:val="006A3642"/>
    <w:rsid w:val="006A3FFA"/>
    <w:rsid w:val="006A4FA6"/>
    <w:rsid w:val="006A52FD"/>
    <w:rsid w:val="006A55CB"/>
    <w:rsid w:val="006A58CB"/>
    <w:rsid w:val="006A6D32"/>
    <w:rsid w:val="006A6DC6"/>
    <w:rsid w:val="006B02A7"/>
    <w:rsid w:val="006B02D3"/>
    <w:rsid w:val="006B18DC"/>
    <w:rsid w:val="006B191D"/>
    <w:rsid w:val="006B328B"/>
    <w:rsid w:val="006B3378"/>
    <w:rsid w:val="006B34B6"/>
    <w:rsid w:val="006B3636"/>
    <w:rsid w:val="006B3C97"/>
    <w:rsid w:val="006B433F"/>
    <w:rsid w:val="006B4C16"/>
    <w:rsid w:val="006B5460"/>
    <w:rsid w:val="006B5843"/>
    <w:rsid w:val="006B7E64"/>
    <w:rsid w:val="006B7F32"/>
    <w:rsid w:val="006C010B"/>
    <w:rsid w:val="006C09A5"/>
    <w:rsid w:val="006C190B"/>
    <w:rsid w:val="006C1D96"/>
    <w:rsid w:val="006C2301"/>
    <w:rsid w:val="006C2760"/>
    <w:rsid w:val="006C2D09"/>
    <w:rsid w:val="006C2D6F"/>
    <w:rsid w:val="006C2ED3"/>
    <w:rsid w:val="006C377D"/>
    <w:rsid w:val="006C4615"/>
    <w:rsid w:val="006C5BA6"/>
    <w:rsid w:val="006C5C9A"/>
    <w:rsid w:val="006C6EC5"/>
    <w:rsid w:val="006D083B"/>
    <w:rsid w:val="006D0E3D"/>
    <w:rsid w:val="006D1F7A"/>
    <w:rsid w:val="006D2638"/>
    <w:rsid w:val="006D3D76"/>
    <w:rsid w:val="006D3FF2"/>
    <w:rsid w:val="006D4E93"/>
    <w:rsid w:val="006D58EE"/>
    <w:rsid w:val="006D662B"/>
    <w:rsid w:val="006D709D"/>
    <w:rsid w:val="006D788D"/>
    <w:rsid w:val="006D7A9E"/>
    <w:rsid w:val="006E0089"/>
    <w:rsid w:val="006E0809"/>
    <w:rsid w:val="006E0CDF"/>
    <w:rsid w:val="006E0EA2"/>
    <w:rsid w:val="006E1091"/>
    <w:rsid w:val="006E1D40"/>
    <w:rsid w:val="006E24FB"/>
    <w:rsid w:val="006E27A7"/>
    <w:rsid w:val="006E353F"/>
    <w:rsid w:val="006E3609"/>
    <w:rsid w:val="006E3616"/>
    <w:rsid w:val="006E4175"/>
    <w:rsid w:val="006E437B"/>
    <w:rsid w:val="006E5070"/>
    <w:rsid w:val="006E5ABA"/>
    <w:rsid w:val="006E6014"/>
    <w:rsid w:val="006E64BB"/>
    <w:rsid w:val="006E64E0"/>
    <w:rsid w:val="006E6BAD"/>
    <w:rsid w:val="006E6BE8"/>
    <w:rsid w:val="006E6FBB"/>
    <w:rsid w:val="006E70BE"/>
    <w:rsid w:val="006E7153"/>
    <w:rsid w:val="006E7B72"/>
    <w:rsid w:val="006F0310"/>
    <w:rsid w:val="006F078A"/>
    <w:rsid w:val="006F08AA"/>
    <w:rsid w:val="006F0BF1"/>
    <w:rsid w:val="006F0CB0"/>
    <w:rsid w:val="006F0CF3"/>
    <w:rsid w:val="006F1183"/>
    <w:rsid w:val="006F1741"/>
    <w:rsid w:val="006F1D31"/>
    <w:rsid w:val="006F286F"/>
    <w:rsid w:val="006F2B8D"/>
    <w:rsid w:val="006F2E5E"/>
    <w:rsid w:val="006F316E"/>
    <w:rsid w:val="006F3173"/>
    <w:rsid w:val="006F33C3"/>
    <w:rsid w:val="006F3CAF"/>
    <w:rsid w:val="006F42B6"/>
    <w:rsid w:val="006F4F5F"/>
    <w:rsid w:val="006F5D2A"/>
    <w:rsid w:val="006F5E0F"/>
    <w:rsid w:val="006F5F5A"/>
    <w:rsid w:val="006F6289"/>
    <w:rsid w:val="006F6574"/>
    <w:rsid w:val="006F77F7"/>
    <w:rsid w:val="006F7AF3"/>
    <w:rsid w:val="006F7D42"/>
    <w:rsid w:val="007000B7"/>
    <w:rsid w:val="0070072C"/>
    <w:rsid w:val="007007C7"/>
    <w:rsid w:val="00700C65"/>
    <w:rsid w:val="00701D84"/>
    <w:rsid w:val="00702812"/>
    <w:rsid w:val="0070293C"/>
    <w:rsid w:val="007036F4"/>
    <w:rsid w:val="00703E53"/>
    <w:rsid w:val="0070420C"/>
    <w:rsid w:val="00704DE2"/>
    <w:rsid w:val="007053A6"/>
    <w:rsid w:val="0070589D"/>
    <w:rsid w:val="00705EF2"/>
    <w:rsid w:val="00706D01"/>
    <w:rsid w:val="00706ED7"/>
    <w:rsid w:val="0070712D"/>
    <w:rsid w:val="007072B0"/>
    <w:rsid w:val="007075FC"/>
    <w:rsid w:val="0070775A"/>
    <w:rsid w:val="00707A0D"/>
    <w:rsid w:val="00707D67"/>
    <w:rsid w:val="00707D95"/>
    <w:rsid w:val="00710109"/>
    <w:rsid w:val="007105D4"/>
    <w:rsid w:val="007108E7"/>
    <w:rsid w:val="00710C59"/>
    <w:rsid w:val="00710CCF"/>
    <w:rsid w:val="00711173"/>
    <w:rsid w:val="0071248E"/>
    <w:rsid w:val="00712559"/>
    <w:rsid w:val="007140F9"/>
    <w:rsid w:val="0071520B"/>
    <w:rsid w:val="0071525C"/>
    <w:rsid w:val="00715E49"/>
    <w:rsid w:val="00715F3A"/>
    <w:rsid w:val="00715F44"/>
    <w:rsid w:val="007163A8"/>
    <w:rsid w:val="007163F4"/>
    <w:rsid w:val="00716A2F"/>
    <w:rsid w:val="00716CB6"/>
    <w:rsid w:val="00717AB2"/>
    <w:rsid w:val="00717DFD"/>
    <w:rsid w:val="00720143"/>
    <w:rsid w:val="0072056F"/>
    <w:rsid w:val="0072111F"/>
    <w:rsid w:val="0072221A"/>
    <w:rsid w:val="00722A27"/>
    <w:rsid w:val="0072330F"/>
    <w:rsid w:val="00723894"/>
    <w:rsid w:val="00723CD7"/>
    <w:rsid w:val="0072462C"/>
    <w:rsid w:val="00724A9D"/>
    <w:rsid w:val="00724B73"/>
    <w:rsid w:val="0072525C"/>
    <w:rsid w:val="007253AA"/>
    <w:rsid w:val="00725D57"/>
    <w:rsid w:val="00726184"/>
    <w:rsid w:val="007267FC"/>
    <w:rsid w:val="007268F4"/>
    <w:rsid w:val="00726C7B"/>
    <w:rsid w:val="007270E4"/>
    <w:rsid w:val="00727F70"/>
    <w:rsid w:val="0073190A"/>
    <w:rsid w:val="00731C73"/>
    <w:rsid w:val="00731EFB"/>
    <w:rsid w:val="00732AE3"/>
    <w:rsid w:val="00732CB2"/>
    <w:rsid w:val="00732F59"/>
    <w:rsid w:val="0073370B"/>
    <w:rsid w:val="0073412D"/>
    <w:rsid w:val="00734F7F"/>
    <w:rsid w:val="007350EF"/>
    <w:rsid w:val="00735C92"/>
    <w:rsid w:val="00736A8B"/>
    <w:rsid w:val="00737323"/>
    <w:rsid w:val="007373C2"/>
    <w:rsid w:val="007378EC"/>
    <w:rsid w:val="00741358"/>
    <w:rsid w:val="00741CE9"/>
    <w:rsid w:val="007425FA"/>
    <w:rsid w:val="0074264A"/>
    <w:rsid w:val="00742B99"/>
    <w:rsid w:val="00743591"/>
    <w:rsid w:val="00743A83"/>
    <w:rsid w:val="00743FB9"/>
    <w:rsid w:val="0074444F"/>
    <w:rsid w:val="007446E2"/>
    <w:rsid w:val="00744889"/>
    <w:rsid w:val="00744EE3"/>
    <w:rsid w:val="00744F18"/>
    <w:rsid w:val="00745E84"/>
    <w:rsid w:val="00746946"/>
    <w:rsid w:val="007478B3"/>
    <w:rsid w:val="00751A6F"/>
    <w:rsid w:val="00751ACD"/>
    <w:rsid w:val="00751C0B"/>
    <w:rsid w:val="007520B7"/>
    <w:rsid w:val="0075238E"/>
    <w:rsid w:val="00752DAE"/>
    <w:rsid w:val="007534D6"/>
    <w:rsid w:val="00753718"/>
    <w:rsid w:val="0075396C"/>
    <w:rsid w:val="00754691"/>
    <w:rsid w:val="00755234"/>
    <w:rsid w:val="007553BC"/>
    <w:rsid w:val="00755C3E"/>
    <w:rsid w:val="00755D11"/>
    <w:rsid w:val="00755F87"/>
    <w:rsid w:val="007562A4"/>
    <w:rsid w:val="007568F2"/>
    <w:rsid w:val="00756CE4"/>
    <w:rsid w:val="00756E49"/>
    <w:rsid w:val="0075700D"/>
    <w:rsid w:val="0075729E"/>
    <w:rsid w:val="0075779A"/>
    <w:rsid w:val="00760190"/>
    <w:rsid w:val="007604C5"/>
    <w:rsid w:val="00760905"/>
    <w:rsid w:val="007612EE"/>
    <w:rsid w:val="00761471"/>
    <w:rsid w:val="00761821"/>
    <w:rsid w:val="0076187C"/>
    <w:rsid w:val="0076232F"/>
    <w:rsid w:val="00762AF2"/>
    <w:rsid w:val="00762C4F"/>
    <w:rsid w:val="00763604"/>
    <w:rsid w:val="00763C5B"/>
    <w:rsid w:val="00764A1B"/>
    <w:rsid w:val="007652F5"/>
    <w:rsid w:val="00765A0B"/>
    <w:rsid w:val="0076662A"/>
    <w:rsid w:val="00766B16"/>
    <w:rsid w:val="00767297"/>
    <w:rsid w:val="00767B29"/>
    <w:rsid w:val="00767DE8"/>
    <w:rsid w:val="00770066"/>
    <w:rsid w:val="007703FB"/>
    <w:rsid w:val="00770737"/>
    <w:rsid w:val="00770802"/>
    <w:rsid w:val="007709C7"/>
    <w:rsid w:val="0077177B"/>
    <w:rsid w:val="00771945"/>
    <w:rsid w:val="00771F9D"/>
    <w:rsid w:val="00772100"/>
    <w:rsid w:val="0077215A"/>
    <w:rsid w:val="007726C8"/>
    <w:rsid w:val="00772939"/>
    <w:rsid w:val="00772F96"/>
    <w:rsid w:val="00773088"/>
    <w:rsid w:val="00773B06"/>
    <w:rsid w:val="00774B16"/>
    <w:rsid w:val="00774CC3"/>
    <w:rsid w:val="00775969"/>
    <w:rsid w:val="00776A6E"/>
    <w:rsid w:val="00776B64"/>
    <w:rsid w:val="00776C88"/>
    <w:rsid w:val="00777867"/>
    <w:rsid w:val="0077797B"/>
    <w:rsid w:val="00780147"/>
    <w:rsid w:val="007806E3"/>
    <w:rsid w:val="00780725"/>
    <w:rsid w:val="007807D2"/>
    <w:rsid w:val="00780A49"/>
    <w:rsid w:val="00780C8C"/>
    <w:rsid w:val="007815D6"/>
    <w:rsid w:val="0078179B"/>
    <w:rsid w:val="0078196F"/>
    <w:rsid w:val="0078211B"/>
    <w:rsid w:val="007821E0"/>
    <w:rsid w:val="007822BD"/>
    <w:rsid w:val="00783580"/>
    <w:rsid w:val="0078384F"/>
    <w:rsid w:val="00783C02"/>
    <w:rsid w:val="0078442E"/>
    <w:rsid w:val="00785084"/>
    <w:rsid w:val="00785273"/>
    <w:rsid w:val="007860A9"/>
    <w:rsid w:val="007863E2"/>
    <w:rsid w:val="007864C9"/>
    <w:rsid w:val="007869E5"/>
    <w:rsid w:val="00786BC2"/>
    <w:rsid w:val="00786F51"/>
    <w:rsid w:val="0078732D"/>
    <w:rsid w:val="00787BB4"/>
    <w:rsid w:val="007900A6"/>
    <w:rsid w:val="007905ED"/>
    <w:rsid w:val="00790738"/>
    <w:rsid w:val="007907ED"/>
    <w:rsid w:val="00790AE8"/>
    <w:rsid w:val="0079285E"/>
    <w:rsid w:val="00792C01"/>
    <w:rsid w:val="00793065"/>
    <w:rsid w:val="00793540"/>
    <w:rsid w:val="00794012"/>
    <w:rsid w:val="007940F1"/>
    <w:rsid w:val="00794617"/>
    <w:rsid w:val="00794694"/>
    <w:rsid w:val="00795572"/>
    <w:rsid w:val="007958F3"/>
    <w:rsid w:val="00795E22"/>
    <w:rsid w:val="007961DC"/>
    <w:rsid w:val="0079658C"/>
    <w:rsid w:val="0079759D"/>
    <w:rsid w:val="0079775E"/>
    <w:rsid w:val="007977A7"/>
    <w:rsid w:val="007977A8"/>
    <w:rsid w:val="007A0474"/>
    <w:rsid w:val="007A0803"/>
    <w:rsid w:val="007A0809"/>
    <w:rsid w:val="007A0A2A"/>
    <w:rsid w:val="007A0B50"/>
    <w:rsid w:val="007A0D3F"/>
    <w:rsid w:val="007A14AB"/>
    <w:rsid w:val="007A19EE"/>
    <w:rsid w:val="007A1A29"/>
    <w:rsid w:val="007A1A64"/>
    <w:rsid w:val="007A2C57"/>
    <w:rsid w:val="007A323A"/>
    <w:rsid w:val="007A34AF"/>
    <w:rsid w:val="007A3810"/>
    <w:rsid w:val="007A38DB"/>
    <w:rsid w:val="007A3FB4"/>
    <w:rsid w:val="007A406F"/>
    <w:rsid w:val="007A41B8"/>
    <w:rsid w:val="007A4D3C"/>
    <w:rsid w:val="007A6507"/>
    <w:rsid w:val="007A6CE0"/>
    <w:rsid w:val="007A711A"/>
    <w:rsid w:val="007A7517"/>
    <w:rsid w:val="007B091C"/>
    <w:rsid w:val="007B0B3E"/>
    <w:rsid w:val="007B2751"/>
    <w:rsid w:val="007B3398"/>
    <w:rsid w:val="007B42C9"/>
    <w:rsid w:val="007B4DDB"/>
    <w:rsid w:val="007B5C0E"/>
    <w:rsid w:val="007B7E8F"/>
    <w:rsid w:val="007C0866"/>
    <w:rsid w:val="007C0949"/>
    <w:rsid w:val="007C0D82"/>
    <w:rsid w:val="007C0E1D"/>
    <w:rsid w:val="007C179C"/>
    <w:rsid w:val="007C1B06"/>
    <w:rsid w:val="007C1DE3"/>
    <w:rsid w:val="007C1FD1"/>
    <w:rsid w:val="007C293D"/>
    <w:rsid w:val="007C2F4B"/>
    <w:rsid w:val="007C318D"/>
    <w:rsid w:val="007C453A"/>
    <w:rsid w:val="007C4731"/>
    <w:rsid w:val="007C4D33"/>
    <w:rsid w:val="007C50C3"/>
    <w:rsid w:val="007C5AED"/>
    <w:rsid w:val="007C5F61"/>
    <w:rsid w:val="007C64BB"/>
    <w:rsid w:val="007C689A"/>
    <w:rsid w:val="007C78D1"/>
    <w:rsid w:val="007D0A71"/>
    <w:rsid w:val="007D0DFA"/>
    <w:rsid w:val="007D1185"/>
    <w:rsid w:val="007D1543"/>
    <w:rsid w:val="007D1712"/>
    <w:rsid w:val="007D22A0"/>
    <w:rsid w:val="007D2AD0"/>
    <w:rsid w:val="007D4F7F"/>
    <w:rsid w:val="007D51E9"/>
    <w:rsid w:val="007D52E2"/>
    <w:rsid w:val="007D6002"/>
    <w:rsid w:val="007D65AD"/>
    <w:rsid w:val="007D6D83"/>
    <w:rsid w:val="007D73DE"/>
    <w:rsid w:val="007D7E8F"/>
    <w:rsid w:val="007D7FB0"/>
    <w:rsid w:val="007E05D8"/>
    <w:rsid w:val="007E0785"/>
    <w:rsid w:val="007E0CD6"/>
    <w:rsid w:val="007E1ADA"/>
    <w:rsid w:val="007E1F97"/>
    <w:rsid w:val="007E2240"/>
    <w:rsid w:val="007E290E"/>
    <w:rsid w:val="007E32F2"/>
    <w:rsid w:val="007E3304"/>
    <w:rsid w:val="007E4CFB"/>
    <w:rsid w:val="007E54EF"/>
    <w:rsid w:val="007E55AA"/>
    <w:rsid w:val="007E5639"/>
    <w:rsid w:val="007E5C9E"/>
    <w:rsid w:val="007E6DC3"/>
    <w:rsid w:val="007E7502"/>
    <w:rsid w:val="007E7942"/>
    <w:rsid w:val="007E7952"/>
    <w:rsid w:val="007E7971"/>
    <w:rsid w:val="007F0C1E"/>
    <w:rsid w:val="007F10EC"/>
    <w:rsid w:val="007F11E5"/>
    <w:rsid w:val="007F12F4"/>
    <w:rsid w:val="007F2270"/>
    <w:rsid w:val="007F2B4B"/>
    <w:rsid w:val="007F2C23"/>
    <w:rsid w:val="007F32E2"/>
    <w:rsid w:val="007F33ED"/>
    <w:rsid w:val="007F34FF"/>
    <w:rsid w:val="007F4433"/>
    <w:rsid w:val="007F62A4"/>
    <w:rsid w:val="007F65AD"/>
    <w:rsid w:val="007F6AFB"/>
    <w:rsid w:val="007F6BFC"/>
    <w:rsid w:val="007F6CB7"/>
    <w:rsid w:val="007F6D57"/>
    <w:rsid w:val="007F7068"/>
    <w:rsid w:val="007F763A"/>
    <w:rsid w:val="008005E3"/>
    <w:rsid w:val="00800C59"/>
    <w:rsid w:val="0080215C"/>
    <w:rsid w:val="008024AF"/>
    <w:rsid w:val="00802D88"/>
    <w:rsid w:val="00803369"/>
    <w:rsid w:val="008035F9"/>
    <w:rsid w:val="008037AE"/>
    <w:rsid w:val="00803A54"/>
    <w:rsid w:val="008056FB"/>
    <w:rsid w:val="0080591B"/>
    <w:rsid w:val="00805946"/>
    <w:rsid w:val="00806135"/>
    <w:rsid w:val="00806742"/>
    <w:rsid w:val="008074A9"/>
    <w:rsid w:val="008077C8"/>
    <w:rsid w:val="008105A5"/>
    <w:rsid w:val="00810A3D"/>
    <w:rsid w:val="00810B55"/>
    <w:rsid w:val="00810BDA"/>
    <w:rsid w:val="008116F9"/>
    <w:rsid w:val="008118A5"/>
    <w:rsid w:val="00811DFE"/>
    <w:rsid w:val="008122B6"/>
    <w:rsid w:val="00812552"/>
    <w:rsid w:val="008151FB"/>
    <w:rsid w:val="00815743"/>
    <w:rsid w:val="00815D2F"/>
    <w:rsid w:val="00816A23"/>
    <w:rsid w:val="00817C8B"/>
    <w:rsid w:val="00820DDA"/>
    <w:rsid w:val="00821389"/>
    <w:rsid w:val="00822AA1"/>
    <w:rsid w:val="00822E4A"/>
    <w:rsid w:val="0082389A"/>
    <w:rsid w:val="00823DBA"/>
    <w:rsid w:val="00823EC6"/>
    <w:rsid w:val="0082451B"/>
    <w:rsid w:val="0082581C"/>
    <w:rsid w:val="00825A17"/>
    <w:rsid w:val="00825A2F"/>
    <w:rsid w:val="0082625D"/>
    <w:rsid w:val="008269CF"/>
    <w:rsid w:val="0082705C"/>
    <w:rsid w:val="00830C1F"/>
    <w:rsid w:val="0083136C"/>
    <w:rsid w:val="008317DC"/>
    <w:rsid w:val="00831939"/>
    <w:rsid w:val="0083330F"/>
    <w:rsid w:val="00833584"/>
    <w:rsid w:val="0083369D"/>
    <w:rsid w:val="008339AD"/>
    <w:rsid w:val="00834265"/>
    <w:rsid w:val="0083436F"/>
    <w:rsid w:val="008343FD"/>
    <w:rsid w:val="0083463A"/>
    <w:rsid w:val="00834D16"/>
    <w:rsid w:val="00834EBB"/>
    <w:rsid w:val="008356A9"/>
    <w:rsid w:val="008361A5"/>
    <w:rsid w:val="00836339"/>
    <w:rsid w:val="00836480"/>
    <w:rsid w:val="008377CC"/>
    <w:rsid w:val="008402C8"/>
    <w:rsid w:val="00841455"/>
    <w:rsid w:val="00841487"/>
    <w:rsid w:val="008415C8"/>
    <w:rsid w:val="00841EEB"/>
    <w:rsid w:val="00842331"/>
    <w:rsid w:val="00842627"/>
    <w:rsid w:val="00842D5D"/>
    <w:rsid w:val="00842FC3"/>
    <w:rsid w:val="008444B4"/>
    <w:rsid w:val="008447F5"/>
    <w:rsid w:val="00844DD2"/>
    <w:rsid w:val="00845837"/>
    <w:rsid w:val="00845B8A"/>
    <w:rsid w:val="00845E36"/>
    <w:rsid w:val="008462DE"/>
    <w:rsid w:val="00846799"/>
    <w:rsid w:val="00847343"/>
    <w:rsid w:val="00847600"/>
    <w:rsid w:val="00847BFA"/>
    <w:rsid w:val="00847C5C"/>
    <w:rsid w:val="00847FDC"/>
    <w:rsid w:val="00850364"/>
    <w:rsid w:val="00850529"/>
    <w:rsid w:val="008506F5"/>
    <w:rsid w:val="00851091"/>
    <w:rsid w:val="00851B03"/>
    <w:rsid w:val="00852015"/>
    <w:rsid w:val="00852686"/>
    <w:rsid w:val="0085269A"/>
    <w:rsid w:val="00852DD3"/>
    <w:rsid w:val="00853267"/>
    <w:rsid w:val="008539EA"/>
    <w:rsid w:val="00853A1E"/>
    <w:rsid w:val="00854041"/>
    <w:rsid w:val="00854069"/>
    <w:rsid w:val="008540DA"/>
    <w:rsid w:val="00854D49"/>
    <w:rsid w:val="00855865"/>
    <w:rsid w:val="008573AF"/>
    <w:rsid w:val="00857830"/>
    <w:rsid w:val="008579F7"/>
    <w:rsid w:val="00857A19"/>
    <w:rsid w:val="00857A60"/>
    <w:rsid w:val="00860722"/>
    <w:rsid w:val="0086092C"/>
    <w:rsid w:val="008610AC"/>
    <w:rsid w:val="00861D74"/>
    <w:rsid w:val="00862638"/>
    <w:rsid w:val="00862AA9"/>
    <w:rsid w:val="00863309"/>
    <w:rsid w:val="00863A06"/>
    <w:rsid w:val="00863D5A"/>
    <w:rsid w:val="008643A2"/>
    <w:rsid w:val="00864CAE"/>
    <w:rsid w:val="00864EBA"/>
    <w:rsid w:val="008656FF"/>
    <w:rsid w:val="00865CDE"/>
    <w:rsid w:val="00865F04"/>
    <w:rsid w:val="00866115"/>
    <w:rsid w:val="00866C90"/>
    <w:rsid w:val="00866CE5"/>
    <w:rsid w:val="008674C5"/>
    <w:rsid w:val="00867DF0"/>
    <w:rsid w:val="008709CA"/>
    <w:rsid w:val="008713AD"/>
    <w:rsid w:val="00871F00"/>
    <w:rsid w:val="00872366"/>
    <w:rsid w:val="00872752"/>
    <w:rsid w:val="0087297F"/>
    <w:rsid w:val="00873348"/>
    <w:rsid w:val="00873F1D"/>
    <w:rsid w:val="00874334"/>
    <w:rsid w:val="008744AE"/>
    <w:rsid w:val="00874ADE"/>
    <w:rsid w:val="00874F07"/>
    <w:rsid w:val="00875E40"/>
    <w:rsid w:val="00875FBB"/>
    <w:rsid w:val="008769E9"/>
    <w:rsid w:val="00876AAB"/>
    <w:rsid w:val="00876E07"/>
    <w:rsid w:val="00876E08"/>
    <w:rsid w:val="00876F34"/>
    <w:rsid w:val="00877330"/>
    <w:rsid w:val="00877B77"/>
    <w:rsid w:val="008802A3"/>
    <w:rsid w:val="00880BE5"/>
    <w:rsid w:val="0088192D"/>
    <w:rsid w:val="00881E34"/>
    <w:rsid w:val="00881F05"/>
    <w:rsid w:val="0088273E"/>
    <w:rsid w:val="00882A41"/>
    <w:rsid w:val="0088317C"/>
    <w:rsid w:val="008845E2"/>
    <w:rsid w:val="008849C5"/>
    <w:rsid w:val="0088554A"/>
    <w:rsid w:val="00885C1C"/>
    <w:rsid w:val="0088602C"/>
    <w:rsid w:val="00887289"/>
    <w:rsid w:val="00887383"/>
    <w:rsid w:val="0089031A"/>
    <w:rsid w:val="00890C37"/>
    <w:rsid w:val="0089133D"/>
    <w:rsid w:val="00891C31"/>
    <w:rsid w:val="008921E7"/>
    <w:rsid w:val="008925F1"/>
    <w:rsid w:val="00892B91"/>
    <w:rsid w:val="008930C4"/>
    <w:rsid w:val="0089351A"/>
    <w:rsid w:val="00893E37"/>
    <w:rsid w:val="00895D21"/>
    <w:rsid w:val="00895F7D"/>
    <w:rsid w:val="00897886"/>
    <w:rsid w:val="00897A1D"/>
    <w:rsid w:val="00897A24"/>
    <w:rsid w:val="00897EE1"/>
    <w:rsid w:val="008A08F9"/>
    <w:rsid w:val="008A0CD9"/>
    <w:rsid w:val="008A0CDC"/>
    <w:rsid w:val="008A11B5"/>
    <w:rsid w:val="008A15ED"/>
    <w:rsid w:val="008A3820"/>
    <w:rsid w:val="008A3C34"/>
    <w:rsid w:val="008A42B1"/>
    <w:rsid w:val="008A4BEA"/>
    <w:rsid w:val="008A5154"/>
    <w:rsid w:val="008A5ECA"/>
    <w:rsid w:val="008A6742"/>
    <w:rsid w:val="008A6867"/>
    <w:rsid w:val="008A71C1"/>
    <w:rsid w:val="008A7433"/>
    <w:rsid w:val="008A75E0"/>
    <w:rsid w:val="008A7EEC"/>
    <w:rsid w:val="008B035D"/>
    <w:rsid w:val="008B18BA"/>
    <w:rsid w:val="008B1FBE"/>
    <w:rsid w:val="008B2563"/>
    <w:rsid w:val="008B2957"/>
    <w:rsid w:val="008B3586"/>
    <w:rsid w:val="008B4530"/>
    <w:rsid w:val="008B45B0"/>
    <w:rsid w:val="008B4791"/>
    <w:rsid w:val="008B4CC8"/>
    <w:rsid w:val="008B58C0"/>
    <w:rsid w:val="008B6B7E"/>
    <w:rsid w:val="008B717D"/>
    <w:rsid w:val="008B7475"/>
    <w:rsid w:val="008B78CC"/>
    <w:rsid w:val="008B7E42"/>
    <w:rsid w:val="008C0405"/>
    <w:rsid w:val="008C0F1B"/>
    <w:rsid w:val="008C1A1F"/>
    <w:rsid w:val="008C1A22"/>
    <w:rsid w:val="008C1BE8"/>
    <w:rsid w:val="008C21C3"/>
    <w:rsid w:val="008C2EEA"/>
    <w:rsid w:val="008C3BC1"/>
    <w:rsid w:val="008C4338"/>
    <w:rsid w:val="008C4B3D"/>
    <w:rsid w:val="008C53A7"/>
    <w:rsid w:val="008C56FF"/>
    <w:rsid w:val="008C5A3D"/>
    <w:rsid w:val="008C641E"/>
    <w:rsid w:val="008C73BC"/>
    <w:rsid w:val="008C75A8"/>
    <w:rsid w:val="008C7A10"/>
    <w:rsid w:val="008D0C12"/>
    <w:rsid w:val="008D0DFE"/>
    <w:rsid w:val="008D0E2F"/>
    <w:rsid w:val="008D1954"/>
    <w:rsid w:val="008D1AC8"/>
    <w:rsid w:val="008D1B63"/>
    <w:rsid w:val="008D26B0"/>
    <w:rsid w:val="008D2992"/>
    <w:rsid w:val="008D29B7"/>
    <w:rsid w:val="008D2E2F"/>
    <w:rsid w:val="008D2E4D"/>
    <w:rsid w:val="008D2F40"/>
    <w:rsid w:val="008D2F55"/>
    <w:rsid w:val="008D349A"/>
    <w:rsid w:val="008D4289"/>
    <w:rsid w:val="008D46FC"/>
    <w:rsid w:val="008D54F7"/>
    <w:rsid w:val="008D5CBD"/>
    <w:rsid w:val="008D663C"/>
    <w:rsid w:val="008D67CC"/>
    <w:rsid w:val="008D72B9"/>
    <w:rsid w:val="008D7496"/>
    <w:rsid w:val="008D7836"/>
    <w:rsid w:val="008D7C91"/>
    <w:rsid w:val="008E00F1"/>
    <w:rsid w:val="008E05EC"/>
    <w:rsid w:val="008E0715"/>
    <w:rsid w:val="008E0960"/>
    <w:rsid w:val="008E1564"/>
    <w:rsid w:val="008E1886"/>
    <w:rsid w:val="008E1B2F"/>
    <w:rsid w:val="008E2C7A"/>
    <w:rsid w:val="008E3D51"/>
    <w:rsid w:val="008E4883"/>
    <w:rsid w:val="008E4A3F"/>
    <w:rsid w:val="008E4E91"/>
    <w:rsid w:val="008E5164"/>
    <w:rsid w:val="008E6313"/>
    <w:rsid w:val="008E6C56"/>
    <w:rsid w:val="008E7AB6"/>
    <w:rsid w:val="008E7DA2"/>
    <w:rsid w:val="008F00E0"/>
    <w:rsid w:val="008F133A"/>
    <w:rsid w:val="008F2B3C"/>
    <w:rsid w:val="008F2B4A"/>
    <w:rsid w:val="008F3B79"/>
    <w:rsid w:val="008F3DEC"/>
    <w:rsid w:val="008F4190"/>
    <w:rsid w:val="008F481A"/>
    <w:rsid w:val="008F4ED8"/>
    <w:rsid w:val="008F63D9"/>
    <w:rsid w:val="008F689A"/>
    <w:rsid w:val="009000E4"/>
    <w:rsid w:val="0090015A"/>
    <w:rsid w:val="0090072C"/>
    <w:rsid w:val="00900CA3"/>
    <w:rsid w:val="009011AA"/>
    <w:rsid w:val="009011E2"/>
    <w:rsid w:val="00901659"/>
    <w:rsid w:val="009017C1"/>
    <w:rsid w:val="009017C7"/>
    <w:rsid w:val="00902AC0"/>
    <w:rsid w:val="00903373"/>
    <w:rsid w:val="00903AB1"/>
    <w:rsid w:val="00903C8A"/>
    <w:rsid w:val="0090401A"/>
    <w:rsid w:val="0090457F"/>
    <w:rsid w:val="009048CE"/>
    <w:rsid w:val="00904B12"/>
    <w:rsid w:val="00904F95"/>
    <w:rsid w:val="009053AE"/>
    <w:rsid w:val="00907118"/>
    <w:rsid w:val="00910701"/>
    <w:rsid w:val="00911837"/>
    <w:rsid w:val="00911DBF"/>
    <w:rsid w:val="00913070"/>
    <w:rsid w:val="009132C6"/>
    <w:rsid w:val="009133B9"/>
    <w:rsid w:val="00913835"/>
    <w:rsid w:val="009141D6"/>
    <w:rsid w:val="009142DF"/>
    <w:rsid w:val="00914AF5"/>
    <w:rsid w:val="00915954"/>
    <w:rsid w:val="0091635A"/>
    <w:rsid w:val="0091652A"/>
    <w:rsid w:val="00916846"/>
    <w:rsid w:val="00916E69"/>
    <w:rsid w:val="0091782D"/>
    <w:rsid w:val="00917A80"/>
    <w:rsid w:val="00917BD3"/>
    <w:rsid w:val="00917DBE"/>
    <w:rsid w:val="009200CB"/>
    <w:rsid w:val="00920986"/>
    <w:rsid w:val="009212A8"/>
    <w:rsid w:val="00921411"/>
    <w:rsid w:val="0092159F"/>
    <w:rsid w:val="009216B5"/>
    <w:rsid w:val="00921AAA"/>
    <w:rsid w:val="00921E97"/>
    <w:rsid w:val="00922017"/>
    <w:rsid w:val="009226E8"/>
    <w:rsid w:val="00923199"/>
    <w:rsid w:val="00923530"/>
    <w:rsid w:val="00923D52"/>
    <w:rsid w:val="00924230"/>
    <w:rsid w:val="00924886"/>
    <w:rsid w:val="00924B2D"/>
    <w:rsid w:val="00924C48"/>
    <w:rsid w:val="00924EBF"/>
    <w:rsid w:val="0092505A"/>
    <w:rsid w:val="00925E58"/>
    <w:rsid w:val="00925E8F"/>
    <w:rsid w:val="00926010"/>
    <w:rsid w:val="009262FD"/>
    <w:rsid w:val="0092656D"/>
    <w:rsid w:val="0092727A"/>
    <w:rsid w:val="0092790A"/>
    <w:rsid w:val="00930538"/>
    <w:rsid w:val="00930DA7"/>
    <w:rsid w:val="009312A1"/>
    <w:rsid w:val="0093174D"/>
    <w:rsid w:val="00931C12"/>
    <w:rsid w:val="0093233D"/>
    <w:rsid w:val="00932855"/>
    <w:rsid w:val="009328BC"/>
    <w:rsid w:val="00932F12"/>
    <w:rsid w:val="00933117"/>
    <w:rsid w:val="009331E2"/>
    <w:rsid w:val="009332AB"/>
    <w:rsid w:val="0093346C"/>
    <w:rsid w:val="009334E5"/>
    <w:rsid w:val="009335F4"/>
    <w:rsid w:val="00933E8E"/>
    <w:rsid w:val="00934713"/>
    <w:rsid w:val="00935443"/>
    <w:rsid w:val="00935A00"/>
    <w:rsid w:val="00936020"/>
    <w:rsid w:val="00936352"/>
    <w:rsid w:val="00936CB0"/>
    <w:rsid w:val="00936FF5"/>
    <w:rsid w:val="009370E4"/>
    <w:rsid w:val="009376DD"/>
    <w:rsid w:val="009378E0"/>
    <w:rsid w:val="00940478"/>
    <w:rsid w:val="0094072B"/>
    <w:rsid w:val="009409ED"/>
    <w:rsid w:val="009415EC"/>
    <w:rsid w:val="00941A12"/>
    <w:rsid w:val="00941E76"/>
    <w:rsid w:val="0094223B"/>
    <w:rsid w:val="00942312"/>
    <w:rsid w:val="009432C1"/>
    <w:rsid w:val="00944ABE"/>
    <w:rsid w:val="00944DC6"/>
    <w:rsid w:val="00945757"/>
    <w:rsid w:val="00945C2C"/>
    <w:rsid w:val="00946804"/>
    <w:rsid w:val="00946AF6"/>
    <w:rsid w:val="00946DC6"/>
    <w:rsid w:val="00947490"/>
    <w:rsid w:val="00947EFE"/>
    <w:rsid w:val="0095174A"/>
    <w:rsid w:val="0095188E"/>
    <w:rsid w:val="00952346"/>
    <w:rsid w:val="00952AD9"/>
    <w:rsid w:val="009533DC"/>
    <w:rsid w:val="009541B5"/>
    <w:rsid w:val="00954408"/>
    <w:rsid w:val="00954813"/>
    <w:rsid w:val="00954B3C"/>
    <w:rsid w:val="00954CE8"/>
    <w:rsid w:val="009557C4"/>
    <w:rsid w:val="009569B1"/>
    <w:rsid w:val="009571AE"/>
    <w:rsid w:val="00957A6E"/>
    <w:rsid w:val="00957F5C"/>
    <w:rsid w:val="00957FE1"/>
    <w:rsid w:val="009603B5"/>
    <w:rsid w:val="009603B7"/>
    <w:rsid w:val="009609CA"/>
    <w:rsid w:val="009610D3"/>
    <w:rsid w:val="00961A98"/>
    <w:rsid w:val="00961FD6"/>
    <w:rsid w:val="00962C45"/>
    <w:rsid w:val="00963181"/>
    <w:rsid w:val="00964055"/>
    <w:rsid w:val="009648F4"/>
    <w:rsid w:val="00964BE1"/>
    <w:rsid w:val="00964D29"/>
    <w:rsid w:val="00965695"/>
    <w:rsid w:val="00965AAF"/>
    <w:rsid w:val="00966B4C"/>
    <w:rsid w:val="00966F1F"/>
    <w:rsid w:val="00967A47"/>
    <w:rsid w:val="00970A0C"/>
    <w:rsid w:val="0097145B"/>
    <w:rsid w:val="00971778"/>
    <w:rsid w:val="00971975"/>
    <w:rsid w:val="00971C15"/>
    <w:rsid w:val="00971D5F"/>
    <w:rsid w:val="009721B3"/>
    <w:rsid w:val="0097236D"/>
    <w:rsid w:val="00972C02"/>
    <w:rsid w:val="00973051"/>
    <w:rsid w:val="009732C1"/>
    <w:rsid w:val="009743D8"/>
    <w:rsid w:val="00974CC6"/>
    <w:rsid w:val="00975113"/>
    <w:rsid w:val="00975790"/>
    <w:rsid w:val="009759AD"/>
    <w:rsid w:val="00975BAE"/>
    <w:rsid w:val="00975C1D"/>
    <w:rsid w:val="00975FC4"/>
    <w:rsid w:val="009760EC"/>
    <w:rsid w:val="009763DA"/>
    <w:rsid w:val="00976D7D"/>
    <w:rsid w:val="00976E97"/>
    <w:rsid w:val="009771D4"/>
    <w:rsid w:val="009777C5"/>
    <w:rsid w:val="00977ECA"/>
    <w:rsid w:val="00980091"/>
    <w:rsid w:val="009807CB"/>
    <w:rsid w:val="00980E0B"/>
    <w:rsid w:val="00981788"/>
    <w:rsid w:val="00982CCB"/>
    <w:rsid w:val="00982DE5"/>
    <w:rsid w:val="00982F25"/>
    <w:rsid w:val="00983262"/>
    <w:rsid w:val="009834A0"/>
    <w:rsid w:val="0098526E"/>
    <w:rsid w:val="00985A9F"/>
    <w:rsid w:val="00985E9B"/>
    <w:rsid w:val="00986168"/>
    <w:rsid w:val="0098665A"/>
    <w:rsid w:val="009866E1"/>
    <w:rsid w:val="0098725B"/>
    <w:rsid w:val="00987B3D"/>
    <w:rsid w:val="00987BF7"/>
    <w:rsid w:val="0099006F"/>
    <w:rsid w:val="009906A7"/>
    <w:rsid w:val="009906D2"/>
    <w:rsid w:val="009906D5"/>
    <w:rsid w:val="00990E7D"/>
    <w:rsid w:val="00991057"/>
    <w:rsid w:val="009911B4"/>
    <w:rsid w:val="009911D0"/>
    <w:rsid w:val="00992027"/>
    <w:rsid w:val="00992296"/>
    <w:rsid w:val="009926FA"/>
    <w:rsid w:val="009927EA"/>
    <w:rsid w:val="009938FB"/>
    <w:rsid w:val="00993A14"/>
    <w:rsid w:val="00993F7E"/>
    <w:rsid w:val="00994920"/>
    <w:rsid w:val="009953B0"/>
    <w:rsid w:val="00995812"/>
    <w:rsid w:val="009962B0"/>
    <w:rsid w:val="00996314"/>
    <w:rsid w:val="00996468"/>
    <w:rsid w:val="00996B4B"/>
    <w:rsid w:val="00996D72"/>
    <w:rsid w:val="009974E2"/>
    <w:rsid w:val="0099766E"/>
    <w:rsid w:val="009A04BD"/>
    <w:rsid w:val="009A06F0"/>
    <w:rsid w:val="009A0764"/>
    <w:rsid w:val="009A12DE"/>
    <w:rsid w:val="009A1760"/>
    <w:rsid w:val="009A1B06"/>
    <w:rsid w:val="009A1DCC"/>
    <w:rsid w:val="009A30B9"/>
    <w:rsid w:val="009A3596"/>
    <w:rsid w:val="009A421D"/>
    <w:rsid w:val="009A5723"/>
    <w:rsid w:val="009A5893"/>
    <w:rsid w:val="009A5BEE"/>
    <w:rsid w:val="009A5FA2"/>
    <w:rsid w:val="009A6D6B"/>
    <w:rsid w:val="009A6E24"/>
    <w:rsid w:val="009A70A2"/>
    <w:rsid w:val="009B02DD"/>
    <w:rsid w:val="009B040C"/>
    <w:rsid w:val="009B04C3"/>
    <w:rsid w:val="009B07EF"/>
    <w:rsid w:val="009B0DA5"/>
    <w:rsid w:val="009B1B2F"/>
    <w:rsid w:val="009B29B4"/>
    <w:rsid w:val="009B31F0"/>
    <w:rsid w:val="009B371E"/>
    <w:rsid w:val="009B41D8"/>
    <w:rsid w:val="009B46A7"/>
    <w:rsid w:val="009B4D6C"/>
    <w:rsid w:val="009B6058"/>
    <w:rsid w:val="009B62EE"/>
    <w:rsid w:val="009B6463"/>
    <w:rsid w:val="009B67D1"/>
    <w:rsid w:val="009B7065"/>
    <w:rsid w:val="009B77B7"/>
    <w:rsid w:val="009B7A9E"/>
    <w:rsid w:val="009B7EAB"/>
    <w:rsid w:val="009C146C"/>
    <w:rsid w:val="009C1ADA"/>
    <w:rsid w:val="009C21BB"/>
    <w:rsid w:val="009C2B2A"/>
    <w:rsid w:val="009C33E8"/>
    <w:rsid w:val="009C35AD"/>
    <w:rsid w:val="009C39C9"/>
    <w:rsid w:val="009C417B"/>
    <w:rsid w:val="009C4568"/>
    <w:rsid w:val="009C61E3"/>
    <w:rsid w:val="009C6564"/>
    <w:rsid w:val="009C67CB"/>
    <w:rsid w:val="009C6B61"/>
    <w:rsid w:val="009C710E"/>
    <w:rsid w:val="009D1398"/>
    <w:rsid w:val="009D15E5"/>
    <w:rsid w:val="009D1798"/>
    <w:rsid w:val="009D1F3C"/>
    <w:rsid w:val="009D2207"/>
    <w:rsid w:val="009D250F"/>
    <w:rsid w:val="009D2539"/>
    <w:rsid w:val="009D2748"/>
    <w:rsid w:val="009D2A48"/>
    <w:rsid w:val="009D2B9E"/>
    <w:rsid w:val="009D2EBF"/>
    <w:rsid w:val="009D3209"/>
    <w:rsid w:val="009D3445"/>
    <w:rsid w:val="009D3C95"/>
    <w:rsid w:val="009D4945"/>
    <w:rsid w:val="009D4EF0"/>
    <w:rsid w:val="009D4FC6"/>
    <w:rsid w:val="009D603F"/>
    <w:rsid w:val="009D64DE"/>
    <w:rsid w:val="009D73CC"/>
    <w:rsid w:val="009D77E4"/>
    <w:rsid w:val="009E0164"/>
    <w:rsid w:val="009E032B"/>
    <w:rsid w:val="009E0E4A"/>
    <w:rsid w:val="009E103A"/>
    <w:rsid w:val="009E1293"/>
    <w:rsid w:val="009E1497"/>
    <w:rsid w:val="009E21A7"/>
    <w:rsid w:val="009E2DF0"/>
    <w:rsid w:val="009E37D0"/>
    <w:rsid w:val="009E5145"/>
    <w:rsid w:val="009E5512"/>
    <w:rsid w:val="009E6284"/>
    <w:rsid w:val="009E695B"/>
    <w:rsid w:val="009E7BF9"/>
    <w:rsid w:val="009E7C1F"/>
    <w:rsid w:val="009F0227"/>
    <w:rsid w:val="009F1802"/>
    <w:rsid w:val="009F19AA"/>
    <w:rsid w:val="009F19FB"/>
    <w:rsid w:val="009F20E2"/>
    <w:rsid w:val="009F20FF"/>
    <w:rsid w:val="009F2AEC"/>
    <w:rsid w:val="009F2B9A"/>
    <w:rsid w:val="009F2DF2"/>
    <w:rsid w:val="009F368E"/>
    <w:rsid w:val="009F39D8"/>
    <w:rsid w:val="009F41A4"/>
    <w:rsid w:val="009F48AA"/>
    <w:rsid w:val="009F4B7E"/>
    <w:rsid w:val="009F4BBC"/>
    <w:rsid w:val="009F4C83"/>
    <w:rsid w:val="009F4D60"/>
    <w:rsid w:val="009F4DA8"/>
    <w:rsid w:val="009F4F76"/>
    <w:rsid w:val="009F52D3"/>
    <w:rsid w:val="009F5ADF"/>
    <w:rsid w:val="009F6D32"/>
    <w:rsid w:val="009F6E4C"/>
    <w:rsid w:val="009F7BA5"/>
    <w:rsid w:val="00A00601"/>
    <w:rsid w:val="00A0081E"/>
    <w:rsid w:val="00A02277"/>
    <w:rsid w:val="00A02BA8"/>
    <w:rsid w:val="00A036FA"/>
    <w:rsid w:val="00A03D32"/>
    <w:rsid w:val="00A03F53"/>
    <w:rsid w:val="00A040CE"/>
    <w:rsid w:val="00A04322"/>
    <w:rsid w:val="00A05307"/>
    <w:rsid w:val="00A05489"/>
    <w:rsid w:val="00A05D9B"/>
    <w:rsid w:val="00A05E2C"/>
    <w:rsid w:val="00A06047"/>
    <w:rsid w:val="00A0670E"/>
    <w:rsid w:val="00A075F6"/>
    <w:rsid w:val="00A07FB6"/>
    <w:rsid w:val="00A10ACB"/>
    <w:rsid w:val="00A10BA4"/>
    <w:rsid w:val="00A10E9C"/>
    <w:rsid w:val="00A1121F"/>
    <w:rsid w:val="00A119CE"/>
    <w:rsid w:val="00A11A4F"/>
    <w:rsid w:val="00A11A63"/>
    <w:rsid w:val="00A126A9"/>
    <w:rsid w:val="00A12816"/>
    <w:rsid w:val="00A13265"/>
    <w:rsid w:val="00A13F34"/>
    <w:rsid w:val="00A14788"/>
    <w:rsid w:val="00A14C90"/>
    <w:rsid w:val="00A15A52"/>
    <w:rsid w:val="00A15F0A"/>
    <w:rsid w:val="00A16A0C"/>
    <w:rsid w:val="00A16AD0"/>
    <w:rsid w:val="00A179DA"/>
    <w:rsid w:val="00A2156B"/>
    <w:rsid w:val="00A21E2A"/>
    <w:rsid w:val="00A22055"/>
    <w:rsid w:val="00A2252F"/>
    <w:rsid w:val="00A22860"/>
    <w:rsid w:val="00A22F75"/>
    <w:rsid w:val="00A22FAF"/>
    <w:rsid w:val="00A2345F"/>
    <w:rsid w:val="00A23536"/>
    <w:rsid w:val="00A23C48"/>
    <w:rsid w:val="00A24484"/>
    <w:rsid w:val="00A24B2D"/>
    <w:rsid w:val="00A24E4C"/>
    <w:rsid w:val="00A258C4"/>
    <w:rsid w:val="00A25B18"/>
    <w:rsid w:val="00A25E4B"/>
    <w:rsid w:val="00A26D05"/>
    <w:rsid w:val="00A27268"/>
    <w:rsid w:val="00A27BAD"/>
    <w:rsid w:val="00A30F88"/>
    <w:rsid w:val="00A3154A"/>
    <w:rsid w:val="00A3186A"/>
    <w:rsid w:val="00A3193B"/>
    <w:rsid w:val="00A31E88"/>
    <w:rsid w:val="00A3278D"/>
    <w:rsid w:val="00A32B0B"/>
    <w:rsid w:val="00A32B1E"/>
    <w:rsid w:val="00A340A5"/>
    <w:rsid w:val="00A34139"/>
    <w:rsid w:val="00A3479B"/>
    <w:rsid w:val="00A34F24"/>
    <w:rsid w:val="00A35288"/>
    <w:rsid w:val="00A355BE"/>
    <w:rsid w:val="00A35603"/>
    <w:rsid w:val="00A35924"/>
    <w:rsid w:val="00A35F9F"/>
    <w:rsid w:val="00A3640F"/>
    <w:rsid w:val="00A36869"/>
    <w:rsid w:val="00A37387"/>
    <w:rsid w:val="00A409F1"/>
    <w:rsid w:val="00A40DDF"/>
    <w:rsid w:val="00A41497"/>
    <w:rsid w:val="00A41722"/>
    <w:rsid w:val="00A41949"/>
    <w:rsid w:val="00A41B13"/>
    <w:rsid w:val="00A41F0F"/>
    <w:rsid w:val="00A424B6"/>
    <w:rsid w:val="00A43D6D"/>
    <w:rsid w:val="00A44414"/>
    <w:rsid w:val="00A446D8"/>
    <w:rsid w:val="00A45B3F"/>
    <w:rsid w:val="00A45FB3"/>
    <w:rsid w:val="00A46702"/>
    <w:rsid w:val="00A46BDD"/>
    <w:rsid w:val="00A46D81"/>
    <w:rsid w:val="00A47561"/>
    <w:rsid w:val="00A50091"/>
    <w:rsid w:val="00A5056B"/>
    <w:rsid w:val="00A50686"/>
    <w:rsid w:val="00A50B92"/>
    <w:rsid w:val="00A51873"/>
    <w:rsid w:val="00A51B48"/>
    <w:rsid w:val="00A51F10"/>
    <w:rsid w:val="00A521E6"/>
    <w:rsid w:val="00A536ED"/>
    <w:rsid w:val="00A53B07"/>
    <w:rsid w:val="00A541C1"/>
    <w:rsid w:val="00A54E7D"/>
    <w:rsid w:val="00A54F9C"/>
    <w:rsid w:val="00A55351"/>
    <w:rsid w:val="00A561BD"/>
    <w:rsid w:val="00A56BA8"/>
    <w:rsid w:val="00A57269"/>
    <w:rsid w:val="00A572D6"/>
    <w:rsid w:val="00A57693"/>
    <w:rsid w:val="00A6059F"/>
    <w:rsid w:val="00A60720"/>
    <w:rsid w:val="00A61FDE"/>
    <w:rsid w:val="00A62068"/>
    <w:rsid w:val="00A6343C"/>
    <w:rsid w:val="00A636BF"/>
    <w:rsid w:val="00A63CDB"/>
    <w:rsid w:val="00A6509E"/>
    <w:rsid w:val="00A650BE"/>
    <w:rsid w:val="00A6617C"/>
    <w:rsid w:val="00A669A9"/>
    <w:rsid w:val="00A673E8"/>
    <w:rsid w:val="00A67EBA"/>
    <w:rsid w:val="00A7074A"/>
    <w:rsid w:val="00A70F02"/>
    <w:rsid w:val="00A71AA0"/>
    <w:rsid w:val="00A72433"/>
    <w:rsid w:val="00A725DD"/>
    <w:rsid w:val="00A72BEF"/>
    <w:rsid w:val="00A7304D"/>
    <w:rsid w:val="00A74059"/>
    <w:rsid w:val="00A7450A"/>
    <w:rsid w:val="00A74F31"/>
    <w:rsid w:val="00A754F3"/>
    <w:rsid w:val="00A756F6"/>
    <w:rsid w:val="00A76042"/>
    <w:rsid w:val="00A777F1"/>
    <w:rsid w:val="00A77B01"/>
    <w:rsid w:val="00A80070"/>
    <w:rsid w:val="00A802E0"/>
    <w:rsid w:val="00A806C5"/>
    <w:rsid w:val="00A81025"/>
    <w:rsid w:val="00A812FA"/>
    <w:rsid w:val="00A81314"/>
    <w:rsid w:val="00A8146D"/>
    <w:rsid w:val="00A8166B"/>
    <w:rsid w:val="00A82227"/>
    <w:rsid w:val="00A82780"/>
    <w:rsid w:val="00A82877"/>
    <w:rsid w:val="00A8379F"/>
    <w:rsid w:val="00A837CF"/>
    <w:rsid w:val="00A839C1"/>
    <w:rsid w:val="00A83EF0"/>
    <w:rsid w:val="00A83FFE"/>
    <w:rsid w:val="00A84D99"/>
    <w:rsid w:val="00A85571"/>
    <w:rsid w:val="00A85F71"/>
    <w:rsid w:val="00A862DA"/>
    <w:rsid w:val="00A86C05"/>
    <w:rsid w:val="00A86FF7"/>
    <w:rsid w:val="00A87075"/>
    <w:rsid w:val="00A87D57"/>
    <w:rsid w:val="00A9115E"/>
    <w:rsid w:val="00A91B75"/>
    <w:rsid w:val="00A92512"/>
    <w:rsid w:val="00A925C5"/>
    <w:rsid w:val="00A92741"/>
    <w:rsid w:val="00A92AA8"/>
    <w:rsid w:val="00A939D0"/>
    <w:rsid w:val="00A95654"/>
    <w:rsid w:val="00A9580B"/>
    <w:rsid w:val="00A95C77"/>
    <w:rsid w:val="00A95F15"/>
    <w:rsid w:val="00A9673A"/>
    <w:rsid w:val="00A96931"/>
    <w:rsid w:val="00A96941"/>
    <w:rsid w:val="00A97621"/>
    <w:rsid w:val="00A97B45"/>
    <w:rsid w:val="00AA0394"/>
    <w:rsid w:val="00AA0577"/>
    <w:rsid w:val="00AA09BE"/>
    <w:rsid w:val="00AA0A21"/>
    <w:rsid w:val="00AA1681"/>
    <w:rsid w:val="00AA1AC2"/>
    <w:rsid w:val="00AA1E9E"/>
    <w:rsid w:val="00AA1F2E"/>
    <w:rsid w:val="00AA21C2"/>
    <w:rsid w:val="00AA266E"/>
    <w:rsid w:val="00AA2A3C"/>
    <w:rsid w:val="00AA31C3"/>
    <w:rsid w:val="00AA3238"/>
    <w:rsid w:val="00AA3247"/>
    <w:rsid w:val="00AA366B"/>
    <w:rsid w:val="00AA41ED"/>
    <w:rsid w:val="00AA4570"/>
    <w:rsid w:val="00AA4D37"/>
    <w:rsid w:val="00AA6102"/>
    <w:rsid w:val="00AA6ACF"/>
    <w:rsid w:val="00AA6DDF"/>
    <w:rsid w:val="00AA7902"/>
    <w:rsid w:val="00AA7ED1"/>
    <w:rsid w:val="00AA7FFD"/>
    <w:rsid w:val="00AB0F9E"/>
    <w:rsid w:val="00AB17A4"/>
    <w:rsid w:val="00AB239A"/>
    <w:rsid w:val="00AB2FCF"/>
    <w:rsid w:val="00AB428E"/>
    <w:rsid w:val="00AB4868"/>
    <w:rsid w:val="00AB4A92"/>
    <w:rsid w:val="00AB4AA0"/>
    <w:rsid w:val="00AB4C85"/>
    <w:rsid w:val="00AB51A1"/>
    <w:rsid w:val="00AB5D8D"/>
    <w:rsid w:val="00AB5E47"/>
    <w:rsid w:val="00AB7BA3"/>
    <w:rsid w:val="00AB7BF4"/>
    <w:rsid w:val="00AB7D06"/>
    <w:rsid w:val="00AC0233"/>
    <w:rsid w:val="00AC06C9"/>
    <w:rsid w:val="00AC0D86"/>
    <w:rsid w:val="00AC152D"/>
    <w:rsid w:val="00AC17BA"/>
    <w:rsid w:val="00AC1B9C"/>
    <w:rsid w:val="00AC2388"/>
    <w:rsid w:val="00AC23E8"/>
    <w:rsid w:val="00AC2415"/>
    <w:rsid w:val="00AC39E4"/>
    <w:rsid w:val="00AC3CB8"/>
    <w:rsid w:val="00AC3EE3"/>
    <w:rsid w:val="00AC4273"/>
    <w:rsid w:val="00AC42E6"/>
    <w:rsid w:val="00AC43D8"/>
    <w:rsid w:val="00AC465C"/>
    <w:rsid w:val="00AC4AF2"/>
    <w:rsid w:val="00AC5250"/>
    <w:rsid w:val="00AC548A"/>
    <w:rsid w:val="00AC5495"/>
    <w:rsid w:val="00AC5910"/>
    <w:rsid w:val="00AC5A77"/>
    <w:rsid w:val="00AC6379"/>
    <w:rsid w:val="00AC67DE"/>
    <w:rsid w:val="00AC68DA"/>
    <w:rsid w:val="00AC6B6F"/>
    <w:rsid w:val="00AC788F"/>
    <w:rsid w:val="00AC7A28"/>
    <w:rsid w:val="00AC7C36"/>
    <w:rsid w:val="00AC7D71"/>
    <w:rsid w:val="00AD0056"/>
    <w:rsid w:val="00AD092C"/>
    <w:rsid w:val="00AD0E02"/>
    <w:rsid w:val="00AD12BE"/>
    <w:rsid w:val="00AD14EA"/>
    <w:rsid w:val="00AD2039"/>
    <w:rsid w:val="00AD3EAF"/>
    <w:rsid w:val="00AD554C"/>
    <w:rsid w:val="00AD574D"/>
    <w:rsid w:val="00AD59AF"/>
    <w:rsid w:val="00AD5ABD"/>
    <w:rsid w:val="00AD702A"/>
    <w:rsid w:val="00AD7184"/>
    <w:rsid w:val="00AD7864"/>
    <w:rsid w:val="00AD7C5A"/>
    <w:rsid w:val="00AE0A17"/>
    <w:rsid w:val="00AE1C11"/>
    <w:rsid w:val="00AE2371"/>
    <w:rsid w:val="00AE23AB"/>
    <w:rsid w:val="00AE2B96"/>
    <w:rsid w:val="00AE2D47"/>
    <w:rsid w:val="00AE2DEC"/>
    <w:rsid w:val="00AE36E0"/>
    <w:rsid w:val="00AE38BD"/>
    <w:rsid w:val="00AE3BDA"/>
    <w:rsid w:val="00AE3C2F"/>
    <w:rsid w:val="00AE443C"/>
    <w:rsid w:val="00AE5180"/>
    <w:rsid w:val="00AE5496"/>
    <w:rsid w:val="00AE54C5"/>
    <w:rsid w:val="00AE5B53"/>
    <w:rsid w:val="00AE66D2"/>
    <w:rsid w:val="00AE6A8D"/>
    <w:rsid w:val="00AE73C7"/>
    <w:rsid w:val="00AF0A2C"/>
    <w:rsid w:val="00AF1B95"/>
    <w:rsid w:val="00AF3777"/>
    <w:rsid w:val="00AF39B0"/>
    <w:rsid w:val="00AF40ED"/>
    <w:rsid w:val="00AF5061"/>
    <w:rsid w:val="00AF5D70"/>
    <w:rsid w:val="00AF6785"/>
    <w:rsid w:val="00AF720D"/>
    <w:rsid w:val="00AF7605"/>
    <w:rsid w:val="00AF784F"/>
    <w:rsid w:val="00AF7BC6"/>
    <w:rsid w:val="00B009F3"/>
    <w:rsid w:val="00B00AFF"/>
    <w:rsid w:val="00B00C62"/>
    <w:rsid w:val="00B0153B"/>
    <w:rsid w:val="00B0154E"/>
    <w:rsid w:val="00B01D6A"/>
    <w:rsid w:val="00B01FD2"/>
    <w:rsid w:val="00B02420"/>
    <w:rsid w:val="00B0339E"/>
    <w:rsid w:val="00B03CB7"/>
    <w:rsid w:val="00B03D32"/>
    <w:rsid w:val="00B03D6A"/>
    <w:rsid w:val="00B0487E"/>
    <w:rsid w:val="00B0554E"/>
    <w:rsid w:val="00B05E43"/>
    <w:rsid w:val="00B06584"/>
    <w:rsid w:val="00B0696C"/>
    <w:rsid w:val="00B06C4D"/>
    <w:rsid w:val="00B07134"/>
    <w:rsid w:val="00B07A0A"/>
    <w:rsid w:val="00B07B75"/>
    <w:rsid w:val="00B07DF6"/>
    <w:rsid w:val="00B1093D"/>
    <w:rsid w:val="00B11A1C"/>
    <w:rsid w:val="00B12AE8"/>
    <w:rsid w:val="00B12B6D"/>
    <w:rsid w:val="00B12F7A"/>
    <w:rsid w:val="00B13AC0"/>
    <w:rsid w:val="00B13C95"/>
    <w:rsid w:val="00B13F03"/>
    <w:rsid w:val="00B14455"/>
    <w:rsid w:val="00B14ACA"/>
    <w:rsid w:val="00B14D62"/>
    <w:rsid w:val="00B1525C"/>
    <w:rsid w:val="00B15BA1"/>
    <w:rsid w:val="00B15DE4"/>
    <w:rsid w:val="00B162D4"/>
    <w:rsid w:val="00B16818"/>
    <w:rsid w:val="00B16F0C"/>
    <w:rsid w:val="00B17661"/>
    <w:rsid w:val="00B17F39"/>
    <w:rsid w:val="00B2010B"/>
    <w:rsid w:val="00B202BF"/>
    <w:rsid w:val="00B20B94"/>
    <w:rsid w:val="00B2130E"/>
    <w:rsid w:val="00B21653"/>
    <w:rsid w:val="00B21B64"/>
    <w:rsid w:val="00B23A65"/>
    <w:rsid w:val="00B24726"/>
    <w:rsid w:val="00B24A1B"/>
    <w:rsid w:val="00B24BEA"/>
    <w:rsid w:val="00B24CE3"/>
    <w:rsid w:val="00B25045"/>
    <w:rsid w:val="00B2541D"/>
    <w:rsid w:val="00B2593A"/>
    <w:rsid w:val="00B2620A"/>
    <w:rsid w:val="00B26692"/>
    <w:rsid w:val="00B2670A"/>
    <w:rsid w:val="00B26E30"/>
    <w:rsid w:val="00B30157"/>
    <w:rsid w:val="00B30A8C"/>
    <w:rsid w:val="00B30CD1"/>
    <w:rsid w:val="00B30DF5"/>
    <w:rsid w:val="00B315D6"/>
    <w:rsid w:val="00B322CF"/>
    <w:rsid w:val="00B33747"/>
    <w:rsid w:val="00B33A30"/>
    <w:rsid w:val="00B34038"/>
    <w:rsid w:val="00B341F2"/>
    <w:rsid w:val="00B343D8"/>
    <w:rsid w:val="00B34694"/>
    <w:rsid w:val="00B3494A"/>
    <w:rsid w:val="00B34B06"/>
    <w:rsid w:val="00B35462"/>
    <w:rsid w:val="00B35D98"/>
    <w:rsid w:val="00B3650B"/>
    <w:rsid w:val="00B36BCA"/>
    <w:rsid w:val="00B36BE6"/>
    <w:rsid w:val="00B36C3F"/>
    <w:rsid w:val="00B36CD6"/>
    <w:rsid w:val="00B37383"/>
    <w:rsid w:val="00B3772B"/>
    <w:rsid w:val="00B37C9E"/>
    <w:rsid w:val="00B37D91"/>
    <w:rsid w:val="00B40174"/>
    <w:rsid w:val="00B403FE"/>
    <w:rsid w:val="00B40F1F"/>
    <w:rsid w:val="00B40FF6"/>
    <w:rsid w:val="00B41126"/>
    <w:rsid w:val="00B41392"/>
    <w:rsid w:val="00B431C8"/>
    <w:rsid w:val="00B438F6"/>
    <w:rsid w:val="00B439E3"/>
    <w:rsid w:val="00B43A01"/>
    <w:rsid w:val="00B44066"/>
    <w:rsid w:val="00B44334"/>
    <w:rsid w:val="00B44502"/>
    <w:rsid w:val="00B4460F"/>
    <w:rsid w:val="00B45482"/>
    <w:rsid w:val="00B4657E"/>
    <w:rsid w:val="00B4669F"/>
    <w:rsid w:val="00B470ED"/>
    <w:rsid w:val="00B47100"/>
    <w:rsid w:val="00B47255"/>
    <w:rsid w:val="00B47357"/>
    <w:rsid w:val="00B47C5F"/>
    <w:rsid w:val="00B50D5F"/>
    <w:rsid w:val="00B5222D"/>
    <w:rsid w:val="00B529B1"/>
    <w:rsid w:val="00B52A8D"/>
    <w:rsid w:val="00B52C20"/>
    <w:rsid w:val="00B52E2E"/>
    <w:rsid w:val="00B53EDA"/>
    <w:rsid w:val="00B5431C"/>
    <w:rsid w:val="00B543BB"/>
    <w:rsid w:val="00B5454C"/>
    <w:rsid w:val="00B548D7"/>
    <w:rsid w:val="00B5495C"/>
    <w:rsid w:val="00B55431"/>
    <w:rsid w:val="00B5553A"/>
    <w:rsid w:val="00B55C59"/>
    <w:rsid w:val="00B55DB7"/>
    <w:rsid w:val="00B56428"/>
    <w:rsid w:val="00B566F7"/>
    <w:rsid w:val="00B569CB"/>
    <w:rsid w:val="00B56A83"/>
    <w:rsid w:val="00B56C8D"/>
    <w:rsid w:val="00B57986"/>
    <w:rsid w:val="00B61597"/>
    <w:rsid w:val="00B615A9"/>
    <w:rsid w:val="00B61C80"/>
    <w:rsid w:val="00B61E86"/>
    <w:rsid w:val="00B61F96"/>
    <w:rsid w:val="00B62725"/>
    <w:rsid w:val="00B63B1D"/>
    <w:rsid w:val="00B6513E"/>
    <w:rsid w:val="00B65447"/>
    <w:rsid w:val="00B66E18"/>
    <w:rsid w:val="00B67174"/>
    <w:rsid w:val="00B671A3"/>
    <w:rsid w:val="00B67A33"/>
    <w:rsid w:val="00B67A65"/>
    <w:rsid w:val="00B67B4D"/>
    <w:rsid w:val="00B70AAF"/>
    <w:rsid w:val="00B7131C"/>
    <w:rsid w:val="00B7140E"/>
    <w:rsid w:val="00B7159D"/>
    <w:rsid w:val="00B71629"/>
    <w:rsid w:val="00B7198E"/>
    <w:rsid w:val="00B72138"/>
    <w:rsid w:val="00B72233"/>
    <w:rsid w:val="00B72574"/>
    <w:rsid w:val="00B72A41"/>
    <w:rsid w:val="00B72D4A"/>
    <w:rsid w:val="00B7344D"/>
    <w:rsid w:val="00B73633"/>
    <w:rsid w:val="00B73E6A"/>
    <w:rsid w:val="00B7462B"/>
    <w:rsid w:val="00B750A3"/>
    <w:rsid w:val="00B75281"/>
    <w:rsid w:val="00B75D3C"/>
    <w:rsid w:val="00B75ECF"/>
    <w:rsid w:val="00B7647C"/>
    <w:rsid w:val="00B768F7"/>
    <w:rsid w:val="00B76A65"/>
    <w:rsid w:val="00B76AAE"/>
    <w:rsid w:val="00B770FD"/>
    <w:rsid w:val="00B77556"/>
    <w:rsid w:val="00B77AF4"/>
    <w:rsid w:val="00B77CE8"/>
    <w:rsid w:val="00B77D50"/>
    <w:rsid w:val="00B77E0D"/>
    <w:rsid w:val="00B80AD0"/>
    <w:rsid w:val="00B80CC6"/>
    <w:rsid w:val="00B81CAD"/>
    <w:rsid w:val="00B81E66"/>
    <w:rsid w:val="00B8225A"/>
    <w:rsid w:val="00B82468"/>
    <w:rsid w:val="00B825FB"/>
    <w:rsid w:val="00B82815"/>
    <w:rsid w:val="00B82F77"/>
    <w:rsid w:val="00B8380D"/>
    <w:rsid w:val="00B83BD8"/>
    <w:rsid w:val="00B83DE5"/>
    <w:rsid w:val="00B83F96"/>
    <w:rsid w:val="00B84E83"/>
    <w:rsid w:val="00B858B9"/>
    <w:rsid w:val="00B85FA1"/>
    <w:rsid w:val="00B862E5"/>
    <w:rsid w:val="00B87817"/>
    <w:rsid w:val="00B87BB3"/>
    <w:rsid w:val="00B9031F"/>
    <w:rsid w:val="00B90603"/>
    <w:rsid w:val="00B90A89"/>
    <w:rsid w:val="00B90CBF"/>
    <w:rsid w:val="00B9106A"/>
    <w:rsid w:val="00B91529"/>
    <w:rsid w:val="00B91A00"/>
    <w:rsid w:val="00B91D53"/>
    <w:rsid w:val="00B92BB9"/>
    <w:rsid w:val="00B92CB9"/>
    <w:rsid w:val="00B93125"/>
    <w:rsid w:val="00B933EB"/>
    <w:rsid w:val="00B93A7B"/>
    <w:rsid w:val="00B946BC"/>
    <w:rsid w:val="00B950AE"/>
    <w:rsid w:val="00B95BA2"/>
    <w:rsid w:val="00B95D03"/>
    <w:rsid w:val="00B9709E"/>
    <w:rsid w:val="00B974E9"/>
    <w:rsid w:val="00B97B2D"/>
    <w:rsid w:val="00B97E5F"/>
    <w:rsid w:val="00B97FDC"/>
    <w:rsid w:val="00BA0C17"/>
    <w:rsid w:val="00BA0E23"/>
    <w:rsid w:val="00BA24DD"/>
    <w:rsid w:val="00BA2CCC"/>
    <w:rsid w:val="00BA2E05"/>
    <w:rsid w:val="00BA32C6"/>
    <w:rsid w:val="00BA36FD"/>
    <w:rsid w:val="00BA3BC3"/>
    <w:rsid w:val="00BA4277"/>
    <w:rsid w:val="00BA49F0"/>
    <w:rsid w:val="00BA51BE"/>
    <w:rsid w:val="00BA6080"/>
    <w:rsid w:val="00BA6444"/>
    <w:rsid w:val="00BA6B2B"/>
    <w:rsid w:val="00BA6F65"/>
    <w:rsid w:val="00BA6F86"/>
    <w:rsid w:val="00BA7222"/>
    <w:rsid w:val="00BA7743"/>
    <w:rsid w:val="00BA798E"/>
    <w:rsid w:val="00BB04F4"/>
    <w:rsid w:val="00BB1088"/>
    <w:rsid w:val="00BB1228"/>
    <w:rsid w:val="00BB17E8"/>
    <w:rsid w:val="00BB18C9"/>
    <w:rsid w:val="00BB359F"/>
    <w:rsid w:val="00BB3956"/>
    <w:rsid w:val="00BB3CA8"/>
    <w:rsid w:val="00BB44FD"/>
    <w:rsid w:val="00BB4997"/>
    <w:rsid w:val="00BB6484"/>
    <w:rsid w:val="00BB693B"/>
    <w:rsid w:val="00BB6A7B"/>
    <w:rsid w:val="00BB6D91"/>
    <w:rsid w:val="00BB77FE"/>
    <w:rsid w:val="00BB7CD2"/>
    <w:rsid w:val="00BB7D75"/>
    <w:rsid w:val="00BC02DF"/>
    <w:rsid w:val="00BC11C9"/>
    <w:rsid w:val="00BC1A16"/>
    <w:rsid w:val="00BC1E48"/>
    <w:rsid w:val="00BC2714"/>
    <w:rsid w:val="00BC39D5"/>
    <w:rsid w:val="00BC3E67"/>
    <w:rsid w:val="00BC447E"/>
    <w:rsid w:val="00BC5403"/>
    <w:rsid w:val="00BC5A9D"/>
    <w:rsid w:val="00BC6132"/>
    <w:rsid w:val="00BC6469"/>
    <w:rsid w:val="00BC66D9"/>
    <w:rsid w:val="00BC69B1"/>
    <w:rsid w:val="00BC7565"/>
    <w:rsid w:val="00BC77B2"/>
    <w:rsid w:val="00BC77C7"/>
    <w:rsid w:val="00BC7A04"/>
    <w:rsid w:val="00BD1DE8"/>
    <w:rsid w:val="00BD1E0D"/>
    <w:rsid w:val="00BD1E2F"/>
    <w:rsid w:val="00BD2429"/>
    <w:rsid w:val="00BD2FA4"/>
    <w:rsid w:val="00BD4BBA"/>
    <w:rsid w:val="00BD4CFA"/>
    <w:rsid w:val="00BD4DDA"/>
    <w:rsid w:val="00BD4F98"/>
    <w:rsid w:val="00BD6431"/>
    <w:rsid w:val="00BD68C2"/>
    <w:rsid w:val="00BD6E52"/>
    <w:rsid w:val="00BD7AAA"/>
    <w:rsid w:val="00BD7C13"/>
    <w:rsid w:val="00BD7E5C"/>
    <w:rsid w:val="00BE02B5"/>
    <w:rsid w:val="00BE05E9"/>
    <w:rsid w:val="00BE0C1A"/>
    <w:rsid w:val="00BE0CC6"/>
    <w:rsid w:val="00BE1453"/>
    <w:rsid w:val="00BE1711"/>
    <w:rsid w:val="00BE2253"/>
    <w:rsid w:val="00BE27BF"/>
    <w:rsid w:val="00BE27D9"/>
    <w:rsid w:val="00BE2A40"/>
    <w:rsid w:val="00BE4884"/>
    <w:rsid w:val="00BE49B9"/>
    <w:rsid w:val="00BE4DE0"/>
    <w:rsid w:val="00BE5ACA"/>
    <w:rsid w:val="00BE5D8E"/>
    <w:rsid w:val="00BE6050"/>
    <w:rsid w:val="00BE667C"/>
    <w:rsid w:val="00BE6B5C"/>
    <w:rsid w:val="00BE6C17"/>
    <w:rsid w:val="00BE7051"/>
    <w:rsid w:val="00BE7512"/>
    <w:rsid w:val="00BE7A0F"/>
    <w:rsid w:val="00BE7E84"/>
    <w:rsid w:val="00BF04D1"/>
    <w:rsid w:val="00BF0D65"/>
    <w:rsid w:val="00BF1357"/>
    <w:rsid w:val="00BF1959"/>
    <w:rsid w:val="00BF1BD1"/>
    <w:rsid w:val="00BF2144"/>
    <w:rsid w:val="00BF3929"/>
    <w:rsid w:val="00BF49BB"/>
    <w:rsid w:val="00BF5193"/>
    <w:rsid w:val="00BF51C7"/>
    <w:rsid w:val="00BF53DE"/>
    <w:rsid w:val="00BF552B"/>
    <w:rsid w:val="00BF6979"/>
    <w:rsid w:val="00BF75E1"/>
    <w:rsid w:val="00BF762E"/>
    <w:rsid w:val="00BF7823"/>
    <w:rsid w:val="00C00E49"/>
    <w:rsid w:val="00C01507"/>
    <w:rsid w:val="00C01612"/>
    <w:rsid w:val="00C025BD"/>
    <w:rsid w:val="00C03029"/>
    <w:rsid w:val="00C037CB"/>
    <w:rsid w:val="00C03AA7"/>
    <w:rsid w:val="00C03FB7"/>
    <w:rsid w:val="00C04608"/>
    <w:rsid w:val="00C0492D"/>
    <w:rsid w:val="00C06CF9"/>
    <w:rsid w:val="00C06D7C"/>
    <w:rsid w:val="00C075ED"/>
    <w:rsid w:val="00C07788"/>
    <w:rsid w:val="00C07CDD"/>
    <w:rsid w:val="00C07E38"/>
    <w:rsid w:val="00C07E3F"/>
    <w:rsid w:val="00C1014D"/>
    <w:rsid w:val="00C103CC"/>
    <w:rsid w:val="00C11687"/>
    <w:rsid w:val="00C11882"/>
    <w:rsid w:val="00C11A59"/>
    <w:rsid w:val="00C11DD2"/>
    <w:rsid w:val="00C1307E"/>
    <w:rsid w:val="00C13345"/>
    <w:rsid w:val="00C13858"/>
    <w:rsid w:val="00C14195"/>
    <w:rsid w:val="00C15237"/>
    <w:rsid w:val="00C15E82"/>
    <w:rsid w:val="00C15F7C"/>
    <w:rsid w:val="00C160C7"/>
    <w:rsid w:val="00C162A5"/>
    <w:rsid w:val="00C175CB"/>
    <w:rsid w:val="00C17737"/>
    <w:rsid w:val="00C17998"/>
    <w:rsid w:val="00C201B5"/>
    <w:rsid w:val="00C2060F"/>
    <w:rsid w:val="00C20786"/>
    <w:rsid w:val="00C20909"/>
    <w:rsid w:val="00C209C9"/>
    <w:rsid w:val="00C21741"/>
    <w:rsid w:val="00C22023"/>
    <w:rsid w:val="00C22430"/>
    <w:rsid w:val="00C22969"/>
    <w:rsid w:val="00C23100"/>
    <w:rsid w:val="00C244C9"/>
    <w:rsid w:val="00C258ED"/>
    <w:rsid w:val="00C25CC4"/>
    <w:rsid w:val="00C26C2D"/>
    <w:rsid w:val="00C27461"/>
    <w:rsid w:val="00C27A73"/>
    <w:rsid w:val="00C30028"/>
    <w:rsid w:val="00C30723"/>
    <w:rsid w:val="00C31E3C"/>
    <w:rsid w:val="00C32ABD"/>
    <w:rsid w:val="00C33694"/>
    <w:rsid w:val="00C3379B"/>
    <w:rsid w:val="00C3436D"/>
    <w:rsid w:val="00C3469D"/>
    <w:rsid w:val="00C34871"/>
    <w:rsid w:val="00C3498B"/>
    <w:rsid w:val="00C3542A"/>
    <w:rsid w:val="00C36B86"/>
    <w:rsid w:val="00C36C1F"/>
    <w:rsid w:val="00C375BB"/>
    <w:rsid w:val="00C37B20"/>
    <w:rsid w:val="00C37F9F"/>
    <w:rsid w:val="00C40428"/>
    <w:rsid w:val="00C40B1B"/>
    <w:rsid w:val="00C419B0"/>
    <w:rsid w:val="00C42064"/>
    <w:rsid w:val="00C42299"/>
    <w:rsid w:val="00C424FC"/>
    <w:rsid w:val="00C42C99"/>
    <w:rsid w:val="00C4311F"/>
    <w:rsid w:val="00C431B3"/>
    <w:rsid w:val="00C43F67"/>
    <w:rsid w:val="00C44F57"/>
    <w:rsid w:val="00C44FFE"/>
    <w:rsid w:val="00C45025"/>
    <w:rsid w:val="00C46108"/>
    <w:rsid w:val="00C4681F"/>
    <w:rsid w:val="00C46CA5"/>
    <w:rsid w:val="00C47197"/>
    <w:rsid w:val="00C479EA"/>
    <w:rsid w:val="00C47CE6"/>
    <w:rsid w:val="00C47DBC"/>
    <w:rsid w:val="00C47E1F"/>
    <w:rsid w:val="00C50D31"/>
    <w:rsid w:val="00C51A79"/>
    <w:rsid w:val="00C51C5B"/>
    <w:rsid w:val="00C52CFD"/>
    <w:rsid w:val="00C531E2"/>
    <w:rsid w:val="00C538CA"/>
    <w:rsid w:val="00C53F03"/>
    <w:rsid w:val="00C546DE"/>
    <w:rsid w:val="00C548A0"/>
    <w:rsid w:val="00C55126"/>
    <w:rsid w:val="00C55458"/>
    <w:rsid w:val="00C55CCA"/>
    <w:rsid w:val="00C560E0"/>
    <w:rsid w:val="00C57269"/>
    <w:rsid w:val="00C575F2"/>
    <w:rsid w:val="00C57A7F"/>
    <w:rsid w:val="00C57D4D"/>
    <w:rsid w:val="00C60721"/>
    <w:rsid w:val="00C60CB1"/>
    <w:rsid w:val="00C60EA4"/>
    <w:rsid w:val="00C60F11"/>
    <w:rsid w:val="00C6166D"/>
    <w:rsid w:val="00C625C5"/>
    <w:rsid w:val="00C628E5"/>
    <w:rsid w:val="00C63C80"/>
    <w:rsid w:val="00C64172"/>
    <w:rsid w:val="00C65A8E"/>
    <w:rsid w:val="00C6665C"/>
    <w:rsid w:val="00C66FB1"/>
    <w:rsid w:val="00C67233"/>
    <w:rsid w:val="00C67342"/>
    <w:rsid w:val="00C67784"/>
    <w:rsid w:val="00C7020D"/>
    <w:rsid w:val="00C71B08"/>
    <w:rsid w:val="00C71CB7"/>
    <w:rsid w:val="00C72CDD"/>
    <w:rsid w:val="00C72EFD"/>
    <w:rsid w:val="00C73406"/>
    <w:rsid w:val="00C74B6E"/>
    <w:rsid w:val="00C74D43"/>
    <w:rsid w:val="00C75A45"/>
    <w:rsid w:val="00C76EDF"/>
    <w:rsid w:val="00C77128"/>
    <w:rsid w:val="00C80B49"/>
    <w:rsid w:val="00C81DA5"/>
    <w:rsid w:val="00C8207B"/>
    <w:rsid w:val="00C821AE"/>
    <w:rsid w:val="00C82BD5"/>
    <w:rsid w:val="00C82E23"/>
    <w:rsid w:val="00C84464"/>
    <w:rsid w:val="00C85111"/>
    <w:rsid w:val="00C851E6"/>
    <w:rsid w:val="00C853B2"/>
    <w:rsid w:val="00C86074"/>
    <w:rsid w:val="00C86189"/>
    <w:rsid w:val="00C8639D"/>
    <w:rsid w:val="00C86878"/>
    <w:rsid w:val="00C86973"/>
    <w:rsid w:val="00C86E75"/>
    <w:rsid w:val="00C86F2A"/>
    <w:rsid w:val="00C8774B"/>
    <w:rsid w:val="00C87AF6"/>
    <w:rsid w:val="00C900E2"/>
    <w:rsid w:val="00C901E7"/>
    <w:rsid w:val="00C9043B"/>
    <w:rsid w:val="00C90489"/>
    <w:rsid w:val="00C90A25"/>
    <w:rsid w:val="00C90B01"/>
    <w:rsid w:val="00C90B9E"/>
    <w:rsid w:val="00C90D44"/>
    <w:rsid w:val="00C911DF"/>
    <w:rsid w:val="00C914E9"/>
    <w:rsid w:val="00C91F24"/>
    <w:rsid w:val="00C934F9"/>
    <w:rsid w:val="00C93A5F"/>
    <w:rsid w:val="00C946CF"/>
    <w:rsid w:val="00C949CC"/>
    <w:rsid w:val="00C94E4B"/>
    <w:rsid w:val="00C95D4A"/>
    <w:rsid w:val="00C96C2B"/>
    <w:rsid w:val="00C96C62"/>
    <w:rsid w:val="00C97A4D"/>
    <w:rsid w:val="00CA03F7"/>
    <w:rsid w:val="00CA094A"/>
    <w:rsid w:val="00CA1003"/>
    <w:rsid w:val="00CA1F52"/>
    <w:rsid w:val="00CA215D"/>
    <w:rsid w:val="00CA2851"/>
    <w:rsid w:val="00CA2FD2"/>
    <w:rsid w:val="00CA38D0"/>
    <w:rsid w:val="00CA3901"/>
    <w:rsid w:val="00CA3C3F"/>
    <w:rsid w:val="00CA3D77"/>
    <w:rsid w:val="00CA431D"/>
    <w:rsid w:val="00CA486A"/>
    <w:rsid w:val="00CA4BB2"/>
    <w:rsid w:val="00CA5A33"/>
    <w:rsid w:val="00CA5B1D"/>
    <w:rsid w:val="00CA5C2C"/>
    <w:rsid w:val="00CA5CA9"/>
    <w:rsid w:val="00CA5D30"/>
    <w:rsid w:val="00CA657F"/>
    <w:rsid w:val="00CA737D"/>
    <w:rsid w:val="00CA750B"/>
    <w:rsid w:val="00CA7963"/>
    <w:rsid w:val="00CB0A1C"/>
    <w:rsid w:val="00CB10B8"/>
    <w:rsid w:val="00CB12E5"/>
    <w:rsid w:val="00CB17B4"/>
    <w:rsid w:val="00CB2089"/>
    <w:rsid w:val="00CB25DD"/>
    <w:rsid w:val="00CB28D2"/>
    <w:rsid w:val="00CB3DB1"/>
    <w:rsid w:val="00CB4415"/>
    <w:rsid w:val="00CB471F"/>
    <w:rsid w:val="00CB4CA5"/>
    <w:rsid w:val="00CB58FD"/>
    <w:rsid w:val="00CB663B"/>
    <w:rsid w:val="00CB690E"/>
    <w:rsid w:val="00CB6B81"/>
    <w:rsid w:val="00CB6ECC"/>
    <w:rsid w:val="00CB75F0"/>
    <w:rsid w:val="00CB7F69"/>
    <w:rsid w:val="00CC0790"/>
    <w:rsid w:val="00CC0F65"/>
    <w:rsid w:val="00CC1033"/>
    <w:rsid w:val="00CC10FC"/>
    <w:rsid w:val="00CC1385"/>
    <w:rsid w:val="00CC13A2"/>
    <w:rsid w:val="00CC175D"/>
    <w:rsid w:val="00CC1DF2"/>
    <w:rsid w:val="00CC297C"/>
    <w:rsid w:val="00CC2CED"/>
    <w:rsid w:val="00CC2F91"/>
    <w:rsid w:val="00CC38D4"/>
    <w:rsid w:val="00CC3BD4"/>
    <w:rsid w:val="00CC46CD"/>
    <w:rsid w:val="00CC5489"/>
    <w:rsid w:val="00CC6540"/>
    <w:rsid w:val="00CC6632"/>
    <w:rsid w:val="00CC694C"/>
    <w:rsid w:val="00CC7353"/>
    <w:rsid w:val="00CC7472"/>
    <w:rsid w:val="00CC76FB"/>
    <w:rsid w:val="00CC7B43"/>
    <w:rsid w:val="00CD0C6C"/>
    <w:rsid w:val="00CD0D96"/>
    <w:rsid w:val="00CD16F9"/>
    <w:rsid w:val="00CD1912"/>
    <w:rsid w:val="00CD2EDC"/>
    <w:rsid w:val="00CD37F6"/>
    <w:rsid w:val="00CD3FD4"/>
    <w:rsid w:val="00CD4716"/>
    <w:rsid w:val="00CD4ADA"/>
    <w:rsid w:val="00CD4E05"/>
    <w:rsid w:val="00CD57F0"/>
    <w:rsid w:val="00CD6B43"/>
    <w:rsid w:val="00CD70AA"/>
    <w:rsid w:val="00CD7166"/>
    <w:rsid w:val="00CD7262"/>
    <w:rsid w:val="00CD73F6"/>
    <w:rsid w:val="00CD7863"/>
    <w:rsid w:val="00CD79CE"/>
    <w:rsid w:val="00CD7AED"/>
    <w:rsid w:val="00CD7CA3"/>
    <w:rsid w:val="00CE0830"/>
    <w:rsid w:val="00CE0EB2"/>
    <w:rsid w:val="00CE113B"/>
    <w:rsid w:val="00CE175E"/>
    <w:rsid w:val="00CE2CD1"/>
    <w:rsid w:val="00CE3022"/>
    <w:rsid w:val="00CE3331"/>
    <w:rsid w:val="00CE3541"/>
    <w:rsid w:val="00CE382B"/>
    <w:rsid w:val="00CE468F"/>
    <w:rsid w:val="00CE4BC2"/>
    <w:rsid w:val="00CE5E13"/>
    <w:rsid w:val="00CE648C"/>
    <w:rsid w:val="00CE686B"/>
    <w:rsid w:val="00CE6A53"/>
    <w:rsid w:val="00CE6BEC"/>
    <w:rsid w:val="00CE73B9"/>
    <w:rsid w:val="00CE75EA"/>
    <w:rsid w:val="00CE7DC5"/>
    <w:rsid w:val="00CF006A"/>
    <w:rsid w:val="00CF15F9"/>
    <w:rsid w:val="00CF1CC3"/>
    <w:rsid w:val="00CF22E6"/>
    <w:rsid w:val="00CF2912"/>
    <w:rsid w:val="00CF2ABA"/>
    <w:rsid w:val="00CF2BE9"/>
    <w:rsid w:val="00CF2D51"/>
    <w:rsid w:val="00CF2E66"/>
    <w:rsid w:val="00CF3535"/>
    <w:rsid w:val="00CF37B4"/>
    <w:rsid w:val="00CF3977"/>
    <w:rsid w:val="00CF3A22"/>
    <w:rsid w:val="00CF434D"/>
    <w:rsid w:val="00CF48BB"/>
    <w:rsid w:val="00CF4D1B"/>
    <w:rsid w:val="00CF54FD"/>
    <w:rsid w:val="00CF568F"/>
    <w:rsid w:val="00CF5959"/>
    <w:rsid w:val="00CF5CB5"/>
    <w:rsid w:val="00CF6417"/>
    <w:rsid w:val="00CF6AD1"/>
    <w:rsid w:val="00CF6FEC"/>
    <w:rsid w:val="00CF700C"/>
    <w:rsid w:val="00CF722C"/>
    <w:rsid w:val="00CF72FD"/>
    <w:rsid w:val="00D00370"/>
    <w:rsid w:val="00D007A9"/>
    <w:rsid w:val="00D014C6"/>
    <w:rsid w:val="00D01F13"/>
    <w:rsid w:val="00D03269"/>
    <w:rsid w:val="00D03B66"/>
    <w:rsid w:val="00D03D65"/>
    <w:rsid w:val="00D03E20"/>
    <w:rsid w:val="00D04271"/>
    <w:rsid w:val="00D055DA"/>
    <w:rsid w:val="00D0630C"/>
    <w:rsid w:val="00D07235"/>
    <w:rsid w:val="00D07C4B"/>
    <w:rsid w:val="00D07DA3"/>
    <w:rsid w:val="00D101FC"/>
    <w:rsid w:val="00D10545"/>
    <w:rsid w:val="00D105DE"/>
    <w:rsid w:val="00D105FB"/>
    <w:rsid w:val="00D106D5"/>
    <w:rsid w:val="00D1091E"/>
    <w:rsid w:val="00D11127"/>
    <w:rsid w:val="00D11ADB"/>
    <w:rsid w:val="00D11C99"/>
    <w:rsid w:val="00D139A9"/>
    <w:rsid w:val="00D139DF"/>
    <w:rsid w:val="00D14824"/>
    <w:rsid w:val="00D1504C"/>
    <w:rsid w:val="00D15554"/>
    <w:rsid w:val="00D15ACD"/>
    <w:rsid w:val="00D15E2B"/>
    <w:rsid w:val="00D16130"/>
    <w:rsid w:val="00D1663F"/>
    <w:rsid w:val="00D172D0"/>
    <w:rsid w:val="00D179A9"/>
    <w:rsid w:val="00D17AE3"/>
    <w:rsid w:val="00D2024E"/>
    <w:rsid w:val="00D21181"/>
    <w:rsid w:val="00D21C9F"/>
    <w:rsid w:val="00D21EEB"/>
    <w:rsid w:val="00D21FDB"/>
    <w:rsid w:val="00D228C9"/>
    <w:rsid w:val="00D22A45"/>
    <w:rsid w:val="00D22F8A"/>
    <w:rsid w:val="00D233FF"/>
    <w:rsid w:val="00D240E7"/>
    <w:rsid w:val="00D2446C"/>
    <w:rsid w:val="00D24B4C"/>
    <w:rsid w:val="00D255DF"/>
    <w:rsid w:val="00D25D09"/>
    <w:rsid w:val="00D301E9"/>
    <w:rsid w:val="00D3189E"/>
    <w:rsid w:val="00D328C2"/>
    <w:rsid w:val="00D32BCF"/>
    <w:rsid w:val="00D333A6"/>
    <w:rsid w:val="00D333D4"/>
    <w:rsid w:val="00D33EE6"/>
    <w:rsid w:val="00D33FD1"/>
    <w:rsid w:val="00D344FC"/>
    <w:rsid w:val="00D34933"/>
    <w:rsid w:val="00D34E02"/>
    <w:rsid w:val="00D360F0"/>
    <w:rsid w:val="00D3674F"/>
    <w:rsid w:val="00D36A8B"/>
    <w:rsid w:val="00D36BE9"/>
    <w:rsid w:val="00D372B9"/>
    <w:rsid w:val="00D37D7E"/>
    <w:rsid w:val="00D402E5"/>
    <w:rsid w:val="00D40598"/>
    <w:rsid w:val="00D40D96"/>
    <w:rsid w:val="00D41F08"/>
    <w:rsid w:val="00D42124"/>
    <w:rsid w:val="00D42E69"/>
    <w:rsid w:val="00D43365"/>
    <w:rsid w:val="00D44391"/>
    <w:rsid w:val="00D44772"/>
    <w:rsid w:val="00D44E8A"/>
    <w:rsid w:val="00D451BC"/>
    <w:rsid w:val="00D45535"/>
    <w:rsid w:val="00D45934"/>
    <w:rsid w:val="00D45DA1"/>
    <w:rsid w:val="00D45EBE"/>
    <w:rsid w:val="00D45F2B"/>
    <w:rsid w:val="00D465FF"/>
    <w:rsid w:val="00D4703A"/>
    <w:rsid w:val="00D476B4"/>
    <w:rsid w:val="00D47AC7"/>
    <w:rsid w:val="00D5052F"/>
    <w:rsid w:val="00D505BD"/>
    <w:rsid w:val="00D50AF4"/>
    <w:rsid w:val="00D50BAB"/>
    <w:rsid w:val="00D50EC8"/>
    <w:rsid w:val="00D510FE"/>
    <w:rsid w:val="00D51100"/>
    <w:rsid w:val="00D51237"/>
    <w:rsid w:val="00D519B9"/>
    <w:rsid w:val="00D525B2"/>
    <w:rsid w:val="00D528F6"/>
    <w:rsid w:val="00D52F1E"/>
    <w:rsid w:val="00D532A5"/>
    <w:rsid w:val="00D5474B"/>
    <w:rsid w:val="00D54B45"/>
    <w:rsid w:val="00D54D29"/>
    <w:rsid w:val="00D55853"/>
    <w:rsid w:val="00D55A22"/>
    <w:rsid w:val="00D563CC"/>
    <w:rsid w:val="00D56F9D"/>
    <w:rsid w:val="00D56FDE"/>
    <w:rsid w:val="00D574B5"/>
    <w:rsid w:val="00D575A8"/>
    <w:rsid w:val="00D60798"/>
    <w:rsid w:val="00D613E6"/>
    <w:rsid w:val="00D6166B"/>
    <w:rsid w:val="00D61816"/>
    <w:rsid w:val="00D61840"/>
    <w:rsid w:val="00D61961"/>
    <w:rsid w:val="00D61B85"/>
    <w:rsid w:val="00D61CB5"/>
    <w:rsid w:val="00D6283F"/>
    <w:rsid w:val="00D62871"/>
    <w:rsid w:val="00D63094"/>
    <w:rsid w:val="00D63C94"/>
    <w:rsid w:val="00D63DC3"/>
    <w:rsid w:val="00D63F90"/>
    <w:rsid w:val="00D64E6B"/>
    <w:rsid w:val="00D64E83"/>
    <w:rsid w:val="00D655E6"/>
    <w:rsid w:val="00D657C7"/>
    <w:rsid w:val="00D65882"/>
    <w:rsid w:val="00D65907"/>
    <w:rsid w:val="00D65972"/>
    <w:rsid w:val="00D65BD6"/>
    <w:rsid w:val="00D6645A"/>
    <w:rsid w:val="00D66ADB"/>
    <w:rsid w:val="00D670B4"/>
    <w:rsid w:val="00D6731D"/>
    <w:rsid w:val="00D67334"/>
    <w:rsid w:val="00D6767E"/>
    <w:rsid w:val="00D678B4"/>
    <w:rsid w:val="00D67AC3"/>
    <w:rsid w:val="00D700F4"/>
    <w:rsid w:val="00D70ACB"/>
    <w:rsid w:val="00D70C9F"/>
    <w:rsid w:val="00D70DB6"/>
    <w:rsid w:val="00D71650"/>
    <w:rsid w:val="00D73319"/>
    <w:rsid w:val="00D73862"/>
    <w:rsid w:val="00D73D2C"/>
    <w:rsid w:val="00D7470E"/>
    <w:rsid w:val="00D7480E"/>
    <w:rsid w:val="00D74DD1"/>
    <w:rsid w:val="00D7623D"/>
    <w:rsid w:val="00D77145"/>
    <w:rsid w:val="00D77B8E"/>
    <w:rsid w:val="00D80530"/>
    <w:rsid w:val="00D8099B"/>
    <w:rsid w:val="00D80AA7"/>
    <w:rsid w:val="00D8150D"/>
    <w:rsid w:val="00D82AD1"/>
    <w:rsid w:val="00D85256"/>
    <w:rsid w:val="00D85380"/>
    <w:rsid w:val="00D85A66"/>
    <w:rsid w:val="00D85C8A"/>
    <w:rsid w:val="00D860B4"/>
    <w:rsid w:val="00D86476"/>
    <w:rsid w:val="00D864CB"/>
    <w:rsid w:val="00D8701F"/>
    <w:rsid w:val="00D8757F"/>
    <w:rsid w:val="00D87659"/>
    <w:rsid w:val="00D87917"/>
    <w:rsid w:val="00D87B3D"/>
    <w:rsid w:val="00D90557"/>
    <w:rsid w:val="00D90986"/>
    <w:rsid w:val="00D9099E"/>
    <w:rsid w:val="00D917E9"/>
    <w:rsid w:val="00D91B51"/>
    <w:rsid w:val="00D9207D"/>
    <w:rsid w:val="00D92080"/>
    <w:rsid w:val="00D92441"/>
    <w:rsid w:val="00D924C2"/>
    <w:rsid w:val="00D93301"/>
    <w:rsid w:val="00D9344E"/>
    <w:rsid w:val="00D94A94"/>
    <w:rsid w:val="00D951F6"/>
    <w:rsid w:val="00D9540D"/>
    <w:rsid w:val="00D957EB"/>
    <w:rsid w:val="00D96769"/>
    <w:rsid w:val="00D968BF"/>
    <w:rsid w:val="00D96C16"/>
    <w:rsid w:val="00D978E7"/>
    <w:rsid w:val="00D97966"/>
    <w:rsid w:val="00D9799B"/>
    <w:rsid w:val="00D979EE"/>
    <w:rsid w:val="00D97A01"/>
    <w:rsid w:val="00D97D44"/>
    <w:rsid w:val="00DA04D3"/>
    <w:rsid w:val="00DA0785"/>
    <w:rsid w:val="00DA0F6A"/>
    <w:rsid w:val="00DA13D2"/>
    <w:rsid w:val="00DA1703"/>
    <w:rsid w:val="00DA2695"/>
    <w:rsid w:val="00DA38A4"/>
    <w:rsid w:val="00DA38AB"/>
    <w:rsid w:val="00DA3D1B"/>
    <w:rsid w:val="00DA4BE0"/>
    <w:rsid w:val="00DA5867"/>
    <w:rsid w:val="00DA70BE"/>
    <w:rsid w:val="00DB0203"/>
    <w:rsid w:val="00DB0E81"/>
    <w:rsid w:val="00DB221D"/>
    <w:rsid w:val="00DB2397"/>
    <w:rsid w:val="00DB2D82"/>
    <w:rsid w:val="00DB3809"/>
    <w:rsid w:val="00DB474E"/>
    <w:rsid w:val="00DB4764"/>
    <w:rsid w:val="00DB4923"/>
    <w:rsid w:val="00DB4CBE"/>
    <w:rsid w:val="00DB4F4F"/>
    <w:rsid w:val="00DB51BF"/>
    <w:rsid w:val="00DB5436"/>
    <w:rsid w:val="00DB5B34"/>
    <w:rsid w:val="00DB74B3"/>
    <w:rsid w:val="00DB7D40"/>
    <w:rsid w:val="00DB7E01"/>
    <w:rsid w:val="00DC0422"/>
    <w:rsid w:val="00DC0C63"/>
    <w:rsid w:val="00DC0D74"/>
    <w:rsid w:val="00DC115F"/>
    <w:rsid w:val="00DC2FDB"/>
    <w:rsid w:val="00DC395F"/>
    <w:rsid w:val="00DC3B08"/>
    <w:rsid w:val="00DC3CC1"/>
    <w:rsid w:val="00DC3D5A"/>
    <w:rsid w:val="00DC3D76"/>
    <w:rsid w:val="00DC3F31"/>
    <w:rsid w:val="00DC4204"/>
    <w:rsid w:val="00DC48E7"/>
    <w:rsid w:val="00DC4C0C"/>
    <w:rsid w:val="00DC5177"/>
    <w:rsid w:val="00DC6245"/>
    <w:rsid w:val="00DC6370"/>
    <w:rsid w:val="00DC6402"/>
    <w:rsid w:val="00DC6698"/>
    <w:rsid w:val="00DC6EB1"/>
    <w:rsid w:val="00DC7391"/>
    <w:rsid w:val="00DD00E2"/>
    <w:rsid w:val="00DD0383"/>
    <w:rsid w:val="00DD04E3"/>
    <w:rsid w:val="00DD08C9"/>
    <w:rsid w:val="00DD0C54"/>
    <w:rsid w:val="00DD12B8"/>
    <w:rsid w:val="00DD1DA5"/>
    <w:rsid w:val="00DD2164"/>
    <w:rsid w:val="00DD26A1"/>
    <w:rsid w:val="00DD29D7"/>
    <w:rsid w:val="00DD2F07"/>
    <w:rsid w:val="00DD3032"/>
    <w:rsid w:val="00DD3E00"/>
    <w:rsid w:val="00DD435F"/>
    <w:rsid w:val="00DD4768"/>
    <w:rsid w:val="00DD5138"/>
    <w:rsid w:val="00DD52F1"/>
    <w:rsid w:val="00DD66A9"/>
    <w:rsid w:val="00DD6892"/>
    <w:rsid w:val="00DD6F59"/>
    <w:rsid w:val="00DD77B2"/>
    <w:rsid w:val="00DD7A24"/>
    <w:rsid w:val="00DD7ED3"/>
    <w:rsid w:val="00DD7EE2"/>
    <w:rsid w:val="00DE00F5"/>
    <w:rsid w:val="00DE010B"/>
    <w:rsid w:val="00DE0824"/>
    <w:rsid w:val="00DE08CD"/>
    <w:rsid w:val="00DE0999"/>
    <w:rsid w:val="00DE0A60"/>
    <w:rsid w:val="00DE125F"/>
    <w:rsid w:val="00DE13F3"/>
    <w:rsid w:val="00DE21A4"/>
    <w:rsid w:val="00DE233A"/>
    <w:rsid w:val="00DE25AC"/>
    <w:rsid w:val="00DE266D"/>
    <w:rsid w:val="00DE3278"/>
    <w:rsid w:val="00DE3AA0"/>
    <w:rsid w:val="00DE3BBB"/>
    <w:rsid w:val="00DE401E"/>
    <w:rsid w:val="00DE545B"/>
    <w:rsid w:val="00DE5599"/>
    <w:rsid w:val="00DE588C"/>
    <w:rsid w:val="00DE5AE4"/>
    <w:rsid w:val="00DE5CB6"/>
    <w:rsid w:val="00DE66AA"/>
    <w:rsid w:val="00DE6A88"/>
    <w:rsid w:val="00DE732C"/>
    <w:rsid w:val="00DE7592"/>
    <w:rsid w:val="00DE7D1E"/>
    <w:rsid w:val="00DF022C"/>
    <w:rsid w:val="00DF05D1"/>
    <w:rsid w:val="00DF09EB"/>
    <w:rsid w:val="00DF137B"/>
    <w:rsid w:val="00DF1684"/>
    <w:rsid w:val="00DF18DF"/>
    <w:rsid w:val="00DF275A"/>
    <w:rsid w:val="00DF398A"/>
    <w:rsid w:val="00DF3D19"/>
    <w:rsid w:val="00DF4510"/>
    <w:rsid w:val="00DF4CFC"/>
    <w:rsid w:val="00DF4E5D"/>
    <w:rsid w:val="00DF4E99"/>
    <w:rsid w:val="00DF4F53"/>
    <w:rsid w:val="00DF55B2"/>
    <w:rsid w:val="00DF62DD"/>
    <w:rsid w:val="00DF6413"/>
    <w:rsid w:val="00DF6968"/>
    <w:rsid w:val="00DF69B4"/>
    <w:rsid w:val="00DF69D1"/>
    <w:rsid w:val="00DF6E0D"/>
    <w:rsid w:val="00DF722B"/>
    <w:rsid w:val="00DF795A"/>
    <w:rsid w:val="00E00094"/>
    <w:rsid w:val="00E0195B"/>
    <w:rsid w:val="00E02538"/>
    <w:rsid w:val="00E025D7"/>
    <w:rsid w:val="00E02673"/>
    <w:rsid w:val="00E0354A"/>
    <w:rsid w:val="00E03D5B"/>
    <w:rsid w:val="00E05814"/>
    <w:rsid w:val="00E06A8C"/>
    <w:rsid w:val="00E06AE0"/>
    <w:rsid w:val="00E06C37"/>
    <w:rsid w:val="00E06C70"/>
    <w:rsid w:val="00E07120"/>
    <w:rsid w:val="00E071B6"/>
    <w:rsid w:val="00E1018D"/>
    <w:rsid w:val="00E10194"/>
    <w:rsid w:val="00E110DF"/>
    <w:rsid w:val="00E11C33"/>
    <w:rsid w:val="00E11CA9"/>
    <w:rsid w:val="00E11F92"/>
    <w:rsid w:val="00E1210D"/>
    <w:rsid w:val="00E12549"/>
    <w:rsid w:val="00E12DC6"/>
    <w:rsid w:val="00E1389B"/>
    <w:rsid w:val="00E14B4E"/>
    <w:rsid w:val="00E14B80"/>
    <w:rsid w:val="00E14D2F"/>
    <w:rsid w:val="00E1623B"/>
    <w:rsid w:val="00E16B10"/>
    <w:rsid w:val="00E16BCF"/>
    <w:rsid w:val="00E170F2"/>
    <w:rsid w:val="00E17902"/>
    <w:rsid w:val="00E17A22"/>
    <w:rsid w:val="00E17B39"/>
    <w:rsid w:val="00E17C4C"/>
    <w:rsid w:val="00E20751"/>
    <w:rsid w:val="00E20ED1"/>
    <w:rsid w:val="00E20F59"/>
    <w:rsid w:val="00E21024"/>
    <w:rsid w:val="00E21148"/>
    <w:rsid w:val="00E213F4"/>
    <w:rsid w:val="00E21C9C"/>
    <w:rsid w:val="00E21ED6"/>
    <w:rsid w:val="00E2228A"/>
    <w:rsid w:val="00E2265B"/>
    <w:rsid w:val="00E22DCE"/>
    <w:rsid w:val="00E24532"/>
    <w:rsid w:val="00E24CFE"/>
    <w:rsid w:val="00E254E5"/>
    <w:rsid w:val="00E25B48"/>
    <w:rsid w:val="00E27228"/>
    <w:rsid w:val="00E27672"/>
    <w:rsid w:val="00E27EBD"/>
    <w:rsid w:val="00E30547"/>
    <w:rsid w:val="00E31003"/>
    <w:rsid w:val="00E3135F"/>
    <w:rsid w:val="00E3153E"/>
    <w:rsid w:val="00E316DF"/>
    <w:rsid w:val="00E32367"/>
    <w:rsid w:val="00E3241D"/>
    <w:rsid w:val="00E324E4"/>
    <w:rsid w:val="00E334EE"/>
    <w:rsid w:val="00E335CF"/>
    <w:rsid w:val="00E339C0"/>
    <w:rsid w:val="00E339FA"/>
    <w:rsid w:val="00E33A13"/>
    <w:rsid w:val="00E33A55"/>
    <w:rsid w:val="00E33E63"/>
    <w:rsid w:val="00E34A14"/>
    <w:rsid w:val="00E34B90"/>
    <w:rsid w:val="00E34EA4"/>
    <w:rsid w:val="00E3523D"/>
    <w:rsid w:val="00E35D94"/>
    <w:rsid w:val="00E360C3"/>
    <w:rsid w:val="00E3648E"/>
    <w:rsid w:val="00E368A3"/>
    <w:rsid w:val="00E36A81"/>
    <w:rsid w:val="00E36E35"/>
    <w:rsid w:val="00E36EA6"/>
    <w:rsid w:val="00E37EC4"/>
    <w:rsid w:val="00E40AAB"/>
    <w:rsid w:val="00E41126"/>
    <w:rsid w:val="00E41531"/>
    <w:rsid w:val="00E4271D"/>
    <w:rsid w:val="00E42B0A"/>
    <w:rsid w:val="00E42DC6"/>
    <w:rsid w:val="00E42E50"/>
    <w:rsid w:val="00E431F4"/>
    <w:rsid w:val="00E439E3"/>
    <w:rsid w:val="00E43A0A"/>
    <w:rsid w:val="00E446EA"/>
    <w:rsid w:val="00E44725"/>
    <w:rsid w:val="00E45088"/>
    <w:rsid w:val="00E46354"/>
    <w:rsid w:val="00E4663A"/>
    <w:rsid w:val="00E46AA5"/>
    <w:rsid w:val="00E472FE"/>
    <w:rsid w:val="00E47455"/>
    <w:rsid w:val="00E47C2E"/>
    <w:rsid w:val="00E50B5E"/>
    <w:rsid w:val="00E50BA1"/>
    <w:rsid w:val="00E51556"/>
    <w:rsid w:val="00E52151"/>
    <w:rsid w:val="00E523E0"/>
    <w:rsid w:val="00E5322B"/>
    <w:rsid w:val="00E53482"/>
    <w:rsid w:val="00E53AD1"/>
    <w:rsid w:val="00E53B0A"/>
    <w:rsid w:val="00E53D90"/>
    <w:rsid w:val="00E53F9B"/>
    <w:rsid w:val="00E542A3"/>
    <w:rsid w:val="00E545F1"/>
    <w:rsid w:val="00E54611"/>
    <w:rsid w:val="00E54757"/>
    <w:rsid w:val="00E54C22"/>
    <w:rsid w:val="00E56C08"/>
    <w:rsid w:val="00E5737A"/>
    <w:rsid w:val="00E60418"/>
    <w:rsid w:val="00E605A6"/>
    <w:rsid w:val="00E605BE"/>
    <w:rsid w:val="00E615B8"/>
    <w:rsid w:val="00E61792"/>
    <w:rsid w:val="00E619E5"/>
    <w:rsid w:val="00E61AA0"/>
    <w:rsid w:val="00E61D45"/>
    <w:rsid w:val="00E62639"/>
    <w:rsid w:val="00E62B59"/>
    <w:rsid w:val="00E63180"/>
    <w:rsid w:val="00E63736"/>
    <w:rsid w:val="00E63B19"/>
    <w:rsid w:val="00E63B72"/>
    <w:rsid w:val="00E65B0D"/>
    <w:rsid w:val="00E65B7B"/>
    <w:rsid w:val="00E65C7D"/>
    <w:rsid w:val="00E6606B"/>
    <w:rsid w:val="00E6665D"/>
    <w:rsid w:val="00E667CD"/>
    <w:rsid w:val="00E66E29"/>
    <w:rsid w:val="00E66F97"/>
    <w:rsid w:val="00E67F29"/>
    <w:rsid w:val="00E707B9"/>
    <w:rsid w:val="00E709F2"/>
    <w:rsid w:val="00E70F12"/>
    <w:rsid w:val="00E721C0"/>
    <w:rsid w:val="00E729DD"/>
    <w:rsid w:val="00E72D54"/>
    <w:rsid w:val="00E72F3C"/>
    <w:rsid w:val="00E736AD"/>
    <w:rsid w:val="00E737E8"/>
    <w:rsid w:val="00E73AEC"/>
    <w:rsid w:val="00E7445A"/>
    <w:rsid w:val="00E74C77"/>
    <w:rsid w:val="00E7537B"/>
    <w:rsid w:val="00E75E72"/>
    <w:rsid w:val="00E76E40"/>
    <w:rsid w:val="00E77C1A"/>
    <w:rsid w:val="00E80C2B"/>
    <w:rsid w:val="00E81703"/>
    <w:rsid w:val="00E818DB"/>
    <w:rsid w:val="00E81DB5"/>
    <w:rsid w:val="00E82414"/>
    <w:rsid w:val="00E82A1C"/>
    <w:rsid w:val="00E82A26"/>
    <w:rsid w:val="00E82AD6"/>
    <w:rsid w:val="00E82AD8"/>
    <w:rsid w:val="00E82D38"/>
    <w:rsid w:val="00E82E29"/>
    <w:rsid w:val="00E838E2"/>
    <w:rsid w:val="00E83A0D"/>
    <w:rsid w:val="00E83F65"/>
    <w:rsid w:val="00E849B3"/>
    <w:rsid w:val="00E84D84"/>
    <w:rsid w:val="00E84E77"/>
    <w:rsid w:val="00E853AE"/>
    <w:rsid w:val="00E85659"/>
    <w:rsid w:val="00E85A65"/>
    <w:rsid w:val="00E85D2B"/>
    <w:rsid w:val="00E86B19"/>
    <w:rsid w:val="00E86C5A"/>
    <w:rsid w:val="00E86D0E"/>
    <w:rsid w:val="00E8783F"/>
    <w:rsid w:val="00E90431"/>
    <w:rsid w:val="00E90DDB"/>
    <w:rsid w:val="00E91156"/>
    <w:rsid w:val="00E9174A"/>
    <w:rsid w:val="00E91E51"/>
    <w:rsid w:val="00E925E9"/>
    <w:rsid w:val="00E92F28"/>
    <w:rsid w:val="00E93948"/>
    <w:rsid w:val="00E93C44"/>
    <w:rsid w:val="00E94429"/>
    <w:rsid w:val="00E94730"/>
    <w:rsid w:val="00E94AA9"/>
    <w:rsid w:val="00E9554A"/>
    <w:rsid w:val="00E959CB"/>
    <w:rsid w:val="00E95E39"/>
    <w:rsid w:val="00E965B4"/>
    <w:rsid w:val="00E97C57"/>
    <w:rsid w:val="00EA22B9"/>
    <w:rsid w:val="00EA22C9"/>
    <w:rsid w:val="00EA23AB"/>
    <w:rsid w:val="00EA2E3D"/>
    <w:rsid w:val="00EA3497"/>
    <w:rsid w:val="00EA3AF3"/>
    <w:rsid w:val="00EA5C10"/>
    <w:rsid w:val="00EA5D19"/>
    <w:rsid w:val="00EA71EE"/>
    <w:rsid w:val="00EB0142"/>
    <w:rsid w:val="00EB07E9"/>
    <w:rsid w:val="00EB0A4D"/>
    <w:rsid w:val="00EB1383"/>
    <w:rsid w:val="00EB141B"/>
    <w:rsid w:val="00EB18BA"/>
    <w:rsid w:val="00EB2302"/>
    <w:rsid w:val="00EB2829"/>
    <w:rsid w:val="00EB28D8"/>
    <w:rsid w:val="00EB2ECD"/>
    <w:rsid w:val="00EB374D"/>
    <w:rsid w:val="00EB3DA0"/>
    <w:rsid w:val="00EB4179"/>
    <w:rsid w:val="00EB502C"/>
    <w:rsid w:val="00EB518B"/>
    <w:rsid w:val="00EB52C0"/>
    <w:rsid w:val="00EB5436"/>
    <w:rsid w:val="00EB67F2"/>
    <w:rsid w:val="00EB6CBF"/>
    <w:rsid w:val="00EB6FE0"/>
    <w:rsid w:val="00EB6FFC"/>
    <w:rsid w:val="00EB7430"/>
    <w:rsid w:val="00EB78BD"/>
    <w:rsid w:val="00EB7A6E"/>
    <w:rsid w:val="00EB7C7A"/>
    <w:rsid w:val="00EC0407"/>
    <w:rsid w:val="00EC0555"/>
    <w:rsid w:val="00EC0F92"/>
    <w:rsid w:val="00EC1A3D"/>
    <w:rsid w:val="00EC37DD"/>
    <w:rsid w:val="00EC39B5"/>
    <w:rsid w:val="00EC3E63"/>
    <w:rsid w:val="00EC4286"/>
    <w:rsid w:val="00EC4939"/>
    <w:rsid w:val="00EC5169"/>
    <w:rsid w:val="00EC5DCA"/>
    <w:rsid w:val="00EC5FEA"/>
    <w:rsid w:val="00EC6754"/>
    <w:rsid w:val="00EC6A35"/>
    <w:rsid w:val="00EC73D4"/>
    <w:rsid w:val="00EC7A26"/>
    <w:rsid w:val="00EC7F44"/>
    <w:rsid w:val="00ED0713"/>
    <w:rsid w:val="00ED1922"/>
    <w:rsid w:val="00ED1968"/>
    <w:rsid w:val="00ED1F8E"/>
    <w:rsid w:val="00ED2B3D"/>
    <w:rsid w:val="00ED313C"/>
    <w:rsid w:val="00ED3B18"/>
    <w:rsid w:val="00ED4480"/>
    <w:rsid w:val="00ED4543"/>
    <w:rsid w:val="00ED48C6"/>
    <w:rsid w:val="00ED6277"/>
    <w:rsid w:val="00ED639B"/>
    <w:rsid w:val="00ED6AE8"/>
    <w:rsid w:val="00ED74BA"/>
    <w:rsid w:val="00ED7A71"/>
    <w:rsid w:val="00EE074F"/>
    <w:rsid w:val="00EE0FAE"/>
    <w:rsid w:val="00EE1947"/>
    <w:rsid w:val="00EE1B1A"/>
    <w:rsid w:val="00EE1CC5"/>
    <w:rsid w:val="00EE2B19"/>
    <w:rsid w:val="00EE4A2C"/>
    <w:rsid w:val="00EE5814"/>
    <w:rsid w:val="00EE6089"/>
    <w:rsid w:val="00EE6993"/>
    <w:rsid w:val="00EE6B63"/>
    <w:rsid w:val="00EE6CB5"/>
    <w:rsid w:val="00EE72E9"/>
    <w:rsid w:val="00EE77AA"/>
    <w:rsid w:val="00EE7B23"/>
    <w:rsid w:val="00EE7BF6"/>
    <w:rsid w:val="00EF019D"/>
    <w:rsid w:val="00EF0726"/>
    <w:rsid w:val="00EF08D6"/>
    <w:rsid w:val="00EF0918"/>
    <w:rsid w:val="00EF0B38"/>
    <w:rsid w:val="00EF0F5C"/>
    <w:rsid w:val="00EF358E"/>
    <w:rsid w:val="00EF3928"/>
    <w:rsid w:val="00EF451B"/>
    <w:rsid w:val="00EF48D2"/>
    <w:rsid w:val="00EF4E3A"/>
    <w:rsid w:val="00EF5288"/>
    <w:rsid w:val="00EF54A2"/>
    <w:rsid w:val="00EF56B8"/>
    <w:rsid w:val="00EF59CB"/>
    <w:rsid w:val="00EF6666"/>
    <w:rsid w:val="00EF6AC8"/>
    <w:rsid w:val="00EF6C2C"/>
    <w:rsid w:val="00EF7D52"/>
    <w:rsid w:val="00F0010D"/>
    <w:rsid w:val="00F00B60"/>
    <w:rsid w:val="00F00EC8"/>
    <w:rsid w:val="00F01336"/>
    <w:rsid w:val="00F01BE3"/>
    <w:rsid w:val="00F01E79"/>
    <w:rsid w:val="00F0349F"/>
    <w:rsid w:val="00F0392D"/>
    <w:rsid w:val="00F04672"/>
    <w:rsid w:val="00F06107"/>
    <w:rsid w:val="00F06150"/>
    <w:rsid w:val="00F06232"/>
    <w:rsid w:val="00F0628E"/>
    <w:rsid w:val="00F06A33"/>
    <w:rsid w:val="00F07377"/>
    <w:rsid w:val="00F07819"/>
    <w:rsid w:val="00F103F0"/>
    <w:rsid w:val="00F10588"/>
    <w:rsid w:val="00F112AF"/>
    <w:rsid w:val="00F11860"/>
    <w:rsid w:val="00F12377"/>
    <w:rsid w:val="00F12DD2"/>
    <w:rsid w:val="00F13FAE"/>
    <w:rsid w:val="00F1431A"/>
    <w:rsid w:val="00F146FF"/>
    <w:rsid w:val="00F147AC"/>
    <w:rsid w:val="00F149DD"/>
    <w:rsid w:val="00F14C88"/>
    <w:rsid w:val="00F14F05"/>
    <w:rsid w:val="00F15010"/>
    <w:rsid w:val="00F15885"/>
    <w:rsid w:val="00F158B2"/>
    <w:rsid w:val="00F161E5"/>
    <w:rsid w:val="00F162CF"/>
    <w:rsid w:val="00F17356"/>
    <w:rsid w:val="00F17792"/>
    <w:rsid w:val="00F17AFA"/>
    <w:rsid w:val="00F2080E"/>
    <w:rsid w:val="00F2093B"/>
    <w:rsid w:val="00F21993"/>
    <w:rsid w:val="00F21DFC"/>
    <w:rsid w:val="00F22B97"/>
    <w:rsid w:val="00F23A26"/>
    <w:rsid w:val="00F23D0C"/>
    <w:rsid w:val="00F240E8"/>
    <w:rsid w:val="00F24CE1"/>
    <w:rsid w:val="00F24F36"/>
    <w:rsid w:val="00F24FA1"/>
    <w:rsid w:val="00F25766"/>
    <w:rsid w:val="00F25F36"/>
    <w:rsid w:val="00F26929"/>
    <w:rsid w:val="00F26AF4"/>
    <w:rsid w:val="00F26FAA"/>
    <w:rsid w:val="00F27E12"/>
    <w:rsid w:val="00F27E49"/>
    <w:rsid w:val="00F30604"/>
    <w:rsid w:val="00F31416"/>
    <w:rsid w:val="00F3251D"/>
    <w:rsid w:val="00F32972"/>
    <w:rsid w:val="00F33B25"/>
    <w:rsid w:val="00F33CB9"/>
    <w:rsid w:val="00F34060"/>
    <w:rsid w:val="00F3423C"/>
    <w:rsid w:val="00F34614"/>
    <w:rsid w:val="00F3481C"/>
    <w:rsid w:val="00F34F2E"/>
    <w:rsid w:val="00F351EF"/>
    <w:rsid w:val="00F36274"/>
    <w:rsid w:val="00F367E8"/>
    <w:rsid w:val="00F37229"/>
    <w:rsid w:val="00F379BD"/>
    <w:rsid w:val="00F379FA"/>
    <w:rsid w:val="00F37E49"/>
    <w:rsid w:val="00F40250"/>
    <w:rsid w:val="00F40E76"/>
    <w:rsid w:val="00F40E7A"/>
    <w:rsid w:val="00F41B8E"/>
    <w:rsid w:val="00F422A6"/>
    <w:rsid w:val="00F42628"/>
    <w:rsid w:val="00F42C51"/>
    <w:rsid w:val="00F43EB4"/>
    <w:rsid w:val="00F445F9"/>
    <w:rsid w:val="00F4474D"/>
    <w:rsid w:val="00F44F7C"/>
    <w:rsid w:val="00F45434"/>
    <w:rsid w:val="00F465AF"/>
    <w:rsid w:val="00F4684C"/>
    <w:rsid w:val="00F47462"/>
    <w:rsid w:val="00F476D2"/>
    <w:rsid w:val="00F5044E"/>
    <w:rsid w:val="00F50853"/>
    <w:rsid w:val="00F50DB5"/>
    <w:rsid w:val="00F5155D"/>
    <w:rsid w:val="00F51D3F"/>
    <w:rsid w:val="00F51D61"/>
    <w:rsid w:val="00F51EC3"/>
    <w:rsid w:val="00F52977"/>
    <w:rsid w:val="00F53B22"/>
    <w:rsid w:val="00F541C8"/>
    <w:rsid w:val="00F54914"/>
    <w:rsid w:val="00F549E0"/>
    <w:rsid w:val="00F55161"/>
    <w:rsid w:val="00F55364"/>
    <w:rsid w:val="00F55B58"/>
    <w:rsid w:val="00F5601E"/>
    <w:rsid w:val="00F56738"/>
    <w:rsid w:val="00F5675C"/>
    <w:rsid w:val="00F56A11"/>
    <w:rsid w:val="00F576CB"/>
    <w:rsid w:val="00F57792"/>
    <w:rsid w:val="00F578AE"/>
    <w:rsid w:val="00F6046E"/>
    <w:rsid w:val="00F60518"/>
    <w:rsid w:val="00F60E63"/>
    <w:rsid w:val="00F614EE"/>
    <w:rsid w:val="00F61701"/>
    <w:rsid w:val="00F61787"/>
    <w:rsid w:val="00F61D21"/>
    <w:rsid w:val="00F63125"/>
    <w:rsid w:val="00F63526"/>
    <w:rsid w:val="00F63BEE"/>
    <w:rsid w:val="00F64BF4"/>
    <w:rsid w:val="00F6544A"/>
    <w:rsid w:val="00F659F3"/>
    <w:rsid w:val="00F67331"/>
    <w:rsid w:val="00F67403"/>
    <w:rsid w:val="00F675A7"/>
    <w:rsid w:val="00F7007A"/>
    <w:rsid w:val="00F702D5"/>
    <w:rsid w:val="00F7068F"/>
    <w:rsid w:val="00F70A4F"/>
    <w:rsid w:val="00F70A80"/>
    <w:rsid w:val="00F71022"/>
    <w:rsid w:val="00F71DEF"/>
    <w:rsid w:val="00F71E48"/>
    <w:rsid w:val="00F7204E"/>
    <w:rsid w:val="00F722FF"/>
    <w:rsid w:val="00F72459"/>
    <w:rsid w:val="00F7260C"/>
    <w:rsid w:val="00F72B56"/>
    <w:rsid w:val="00F7315E"/>
    <w:rsid w:val="00F733BD"/>
    <w:rsid w:val="00F7378E"/>
    <w:rsid w:val="00F739B6"/>
    <w:rsid w:val="00F73C55"/>
    <w:rsid w:val="00F73E76"/>
    <w:rsid w:val="00F7456C"/>
    <w:rsid w:val="00F7468A"/>
    <w:rsid w:val="00F74857"/>
    <w:rsid w:val="00F752AD"/>
    <w:rsid w:val="00F75B16"/>
    <w:rsid w:val="00F75CE1"/>
    <w:rsid w:val="00F7690D"/>
    <w:rsid w:val="00F76DE6"/>
    <w:rsid w:val="00F7776A"/>
    <w:rsid w:val="00F77813"/>
    <w:rsid w:val="00F77A38"/>
    <w:rsid w:val="00F77A39"/>
    <w:rsid w:val="00F805A7"/>
    <w:rsid w:val="00F81097"/>
    <w:rsid w:val="00F813F6"/>
    <w:rsid w:val="00F817A8"/>
    <w:rsid w:val="00F822A0"/>
    <w:rsid w:val="00F828E0"/>
    <w:rsid w:val="00F82906"/>
    <w:rsid w:val="00F829CF"/>
    <w:rsid w:val="00F83667"/>
    <w:rsid w:val="00F83683"/>
    <w:rsid w:val="00F83B4A"/>
    <w:rsid w:val="00F8513C"/>
    <w:rsid w:val="00F851D3"/>
    <w:rsid w:val="00F851F5"/>
    <w:rsid w:val="00F85441"/>
    <w:rsid w:val="00F856A2"/>
    <w:rsid w:val="00F85D7F"/>
    <w:rsid w:val="00F860D8"/>
    <w:rsid w:val="00F86772"/>
    <w:rsid w:val="00F86D8A"/>
    <w:rsid w:val="00F87388"/>
    <w:rsid w:val="00F87A3D"/>
    <w:rsid w:val="00F87C22"/>
    <w:rsid w:val="00F903E2"/>
    <w:rsid w:val="00F90F1A"/>
    <w:rsid w:val="00F91539"/>
    <w:rsid w:val="00F91843"/>
    <w:rsid w:val="00F91ADA"/>
    <w:rsid w:val="00F91B8E"/>
    <w:rsid w:val="00F91C12"/>
    <w:rsid w:val="00F92E3C"/>
    <w:rsid w:val="00F9346C"/>
    <w:rsid w:val="00F9372A"/>
    <w:rsid w:val="00F938DB"/>
    <w:rsid w:val="00F93C4D"/>
    <w:rsid w:val="00F93D77"/>
    <w:rsid w:val="00F948C3"/>
    <w:rsid w:val="00F95A4B"/>
    <w:rsid w:val="00F95B63"/>
    <w:rsid w:val="00F96637"/>
    <w:rsid w:val="00F96725"/>
    <w:rsid w:val="00F96E10"/>
    <w:rsid w:val="00F970EB"/>
    <w:rsid w:val="00F97CA2"/>
    <w:rsid w:val="00F97DE0"/>
    <w:rsid w:val="00FA059F"/>
    <w:rsid w:val="00FA0E46"/>
    <w:rsid w:val="00FA10E3"/>
    <w:rsid w:val="00FA13E0"/>
    <w:rsid w:val="00FA1451"/>
    <w:rsid w:val="00FA2621"/>
    <w:rsid w:val="00FA2D04"/>
    <w:rsid w:val="00FA3F08"/>
    <w:rsid w:val="00FA4531"/>
    <w:rsid w:val="00FA4EED"/>
    <w:rsid w:val="00FA586F"/>
    <w:rsid w:val="00FA5C71"/>
    <w:rsid w:val="00FA7746"/>
    <w:rsid w:val="00FA7901"/>
    <w:rsid w:val="00FB111B"/>
    <w:rsid w:val="00FB12CF"/>
    <w:rsid w:val="00FB156B"/>
    <w:rsid w:val="00FB19F5"/>
    <w:rsid w:val="00FB248F"/>
    <w:rsid w:val="00FB28E9"/>
    <w:rsid w:val="00FB365C"/>
    <w:rsid w:val="00FB3763"/>
    <w:rsid w:val="00FB3C8F"/>
    <w:rsid w:val="00FB4520"/>
    <w:rsid w:val="00FB517B"/>
    <w:rsid w:val="00FB54D6"/>
    <w:rsid w:val="00FB56F4"/>
    <w:rsid w:val="00FB5AB5"/>
    <w:rsid w:val="00FB5E61"/>
    <w:rsid w:val="00FB6A92"/>
    <w:rsid w:val="00FB72A2"/>
    <w:rsid w:val="00FB7D83"/>
    <w:rsid w:val="00FB7E92"/>
    <w:rsid w:val="00FB7F44"/>
    <w:rsid w:val="00FC0266"/>
    <w:rsid w:val="00FC0485"/>
    <w:rsid w:val="00FC0ADF"/>
    <w:rsid w:val="00FC1721"/>
    <w:rsid w:val="00FC1DEA"/>
    <w:rsid w:val="00FC1FD6"/>
    <w:rsid w:val="00FC2825"/>
    <w:rsid w:val="00FC2EBD"/>
    <w:rsid w:val="00FC2F20"/>
    <w:rsid w:val="00FC3022"/>
    <w:rsid w:val="00FC33A4"/>
    <w:rsid w:val="00FC38C8"/>
    <w:rsid w:val="00FC3F99"/>
    <w:rsid w:val="00FC62A7"/>
    <w:rsid w:val="00FC65A2"/>
    <w:rsid w:val="00FC7898"/>
    <w:rsid w:val="00FC7ABC"/>
    <w:rsid w:val="00FC7F0C"/>
    <w:rsid w:val="00FD09CF"/>
    <w:rsid w:val="00FD09F9"/>
    <w:rsid w:val="00FD0C5E"/>
    <w:rsid w:val="00FD12C3"/>
    <w:rsid w:val="00FD1ACA"/>
    <w:rsid w:val="00FD1B0D"/>
    <w:rsid w:val="00FD234A"/>
    <w:rsid w:val="00FD24A8"/>
    <w:rsid w:val="00FD33E1"/>
    <w:rsid w:val="00FD3BE1"/>
    <w:rsid w:val="00FD3CDB"/>
    <w:rsid w:val="00FD3D81"/>
    <w:rsid w:val="00FD5738"/>
    <w:rsid w:val="00FD5F5F"/>
    <w:rsid w:val="00FD63E2"/>
    <w:rsid w:val="00FD6D65"/>
    <w:rsid w:val="00FD6DA7"/>
    <w:rsid w:val="00FD73FB"/>
    <w:rsid w:val="00FD7695"/>
    <w:rsid w:val="00FE02B7"/>
    <w:rsid w:val="00FE06BC"/>
    <w:rsid w:val="00FE13C3"/>
    <w:rsid w:val="00FE1469"/>
    <w:rsid w:val="00FE198C"/>
    <w:rsid w:val="00FE1DD9"/>
    <w:rsid w:val="00FE2014"/>
    <w:rsid w:val="00FE26E0"/>
    <w:rsid w:val="00FE2B71"/>
    <w:rsid w:val="00FE30AD"/>
    <w:rsid w:val="00FE3FB8"/>
    <w:rsid w:val="00FE4355"/>
    <w:rsid w:val="00FE4E54"/>
    <w:rsid w:val="00FE5AFB"/>
    <w:rsid w:val="00FE64E5"/>
    <w:rsid w:val="00FF0FC1"/>
    <w:rsid w:val="00FF15E4"/>
    <w:rsid w:val="00FF189F"/>
    <w:rsid w:val="00FF266A"/>
    <w:rsid w:val="00FF349E"/>
    <w:rsid w:val="00FF4211"/>
    <w:rsid w:val="00FF47A2"/>
    <w:rsid w:val="00FF53A2"/>
    <w:rsid w:val="00FF64B1"/>
    <w:rsid w:val="00FF69E5"/>
    <w:rsid w:val="00FF6E2F"/>
    <w:rsid w:val="00FF6FC3"/>
    <w:rsid w:val="00FF70DF"/>
    <w:rsid w:val="00FF788A"/>
    <w:rsid w:val="14C0D860"/>
    <w:rsid w:val="2EB034DA"/>
    <w:rsid w:val="2EC91BDE"/>
    <w:rsid w:val="3170B2D0"/>
    <w:rsid w:val="5754C5AB"/>
    <w:rsid w:val="577E8E60"/>
    <w:rsid w:val="59460132"/>
    <w:rsid w:val="63E69372"/>
    <w:rsid w:val="754208AA"/>
  </w:rsids>
  <m:mathPr>
    <m:mathFont m:val="Cambria Math"/>
    <m:brkBin m:val="before"/>
    <m:brkBinSub m:val="--"/>
    <m:smallFrac m:val="0"/>
    <m:dispDef/>
    <m:lMargin m:val="0"/>
    <m:rMargin m:val="0"/>
    <m:defJc m:val="centerGroup"/>
    <m:wrapIndent m:val="1440"/>
    <m:intLim m:val="subSup"/>
    <m:naryLim m:val="undOvr"/>
  </m:mathPr>
  <w:themeFontLang w:val="fr-C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D3D41"/>
  <w15:chartTrackingRefBased/>
  <w15:docId w15:val="{0DDAF98F-3602-4CA9-B747-800C9162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A85"/>
    <w:pPr>
      <w:spacing w:before="100" w:beforeAutospacing="1" w:after="120" w:afterAutospacing="1" w:line="276" w:lineRule="auto"/>
      <w:jc w:val="both"/>
    </w:pPr>
    <w:rPr>
      <w:rFonts w:ascii="Helvetica" w:eastAsia="Times New Roman" w:hAnsi="Helvetica" w:cs="Helvetica"/>
      <w:color w:val="000000"/>
      <w:kern w:val="0"/>
      <w:sz w:val="24"/>
      <w:szCs w:val="22"/>
      <w:lang w:eastAsia="fr-CI"/>
      <w14:ligatures w14:val="none"/>
    </w:rPr>
  </w:style>
  <w:style w:type="paragraph" w:styleId="Heading1">
    <w:name w:val="heading 1"/>
    <w:basedOn w:val="Normal"/>
    <w:next w:val="Normal"/>
    <w:uiPriority w:val="9"/>
    <w:qFormat/>
    <w:rsid w:val="00A50091"/>
    <w:pPr>
      <w:keepNext/>
      <w:keepLines/>
      <w:spacing w:before="240" w:after="120"/>
      <w:ind w:left="0"/>
      <w:jc w:val="left"/>
      <w:outlineLvl w:val="0"/>
    </w:pPr>
    <w:rPr>
      <w:rFonts w:ascii="Helvetica" w:hAnsi="Helvetica"/>
      <w:b/>
      <w:i w:val="0"/>
      <w:color w:val="000000"/>
      <w:sz w:val="30"/>
      <w:szCs w:val="32"/>
    </w:rPr>
  </w:style>
  <w:style w:type="paragraph" w:styleId="Heading2">
    <w:name w:val="heading 2"/>
    <w:basedOn w:val="Heading1"/>
    <w:next w:val="Normal"/>
    <w:uiPriority w:val="9"/>
    <w:unhideWhenUsed/>
    <w:qFormat/>
    <w:rsid w:val="00AF5061"/>
    <w:pPr>
      <w:keepNext/>
      <w:spacing w:before="240" w:after="120"/>
      <w:ind w:left="0"/>
      <w:jc w:val="left"/>
      <w:outlineLvl w:val="1"/>
    </w:pPr>
    <w:rPr>
      <w:rFonts w:eastAsia="Helvetica" w:ascii="Helvetica" w:hAnsi="Helvetica"/>
      <w:b/>
      <w:i w:val="0"/>
      <w:color w:val="000000"/>
      <w:sz w:val="28"/>
      <w:szCs w:val="28"/>
    </w:rPr>
  </w:style>
  <w:style w:type="paragraph" w:styleId="Heading3">
    <w:name w:val="heading 3"/>
    <w:basedOn w:val="Heading2"/>
    <w:next w:val="Normal"/>
    <w:uiPriority w:val="9"/>
    <w:unhideWhenUsed/>
    <w:qFormat/>
    <w:rsid w:val="00AF5061"/>
    <w:pPr>
      <w:keepNext/>
      <w:spacing w:before="240" w:after="120"/>
      <w:ind w:left="0"/>
      <w:jc w:val="left"/>
      <w:outlineLvl w:val="2"/>
    </w:pPr>
    <w:rPr>
      <w:rFonts w:ascii="Helvetica" w:hAnsi="Helvetica"/>
      <w:b/>
      <w:i w:val="0"/>
      <w:color w:val="000000"/>
      <w:sz w:val="26"/>
    </w:rPr>
  </w:style>
  <w:style w:type="paragraph" w:styleId="Heading4">
    <w:name w:val="heading 4"/>
    <w:basedOn w:val="Normal"/>
    <w:next w:val="Normal"/>
    <w:uiPriority w:val="9"/>
    <w:unhideWhenUsed/>
    <w:qFormat/>
    <w:rsid w:val="00D07C4B"/>
    <w:pPr>
      <w:keepNext/>
      <w:keepLines/>
      <w:spacing w:before="240" w:after="120"/>
      <w:ind w:left="0"/>
      <w:jc w:val="left"/>
      <w:outlineLvl w:val="3"/>
    </w:pPr>
    <w:rPr>
      <w:rFonts w:eastAsiaTheme="majorEastAsia" w:cstheme="majorBidi" w:ascii="Helvetica" w:hAnsi="Helvetica"/>
      <w:b/>
      <w:i w:val="0"/>
      <w:iCs/>
      <w:color w:val="000000"/>
      <w:sz w:val="24"/>
    </w:rPr>
  </w:style>
  <w:style w:type="paragraph" w:styleId="Heading5">
    <w:name w:val="heading 5"/>
    <w:basedOn w:val="Normal"/>
    <w:next w:val="Normal"/>
    <w:uiPriority w:val="9"/>
    <w:semiHidden/>
    <w:unhideWhenUsed/>
    <w:qFormat/>
    <w:rsid w:val="00D07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D07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D07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D07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D07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D07C4B"/>
    <w:pPr>
      <w:ind w:left="720"/>
      <w:contextualSpacing/>
    </w:pPr>
  </w:style>
  <w:style w:type="character" w:styleId="IntenseEmphasis">
    <w:name w:val="Intense Emphasis"/>
    <w:basedOn w:val="DefaultParagraphFont"/>
    <w:uiPriority w:val="21"/>
    <w:qFormat/>
    <w:rsid w:val="00D07C4B"/>
    <w:rPr>
      <w:i/>
      <w:iCs/>
      <w:color w:val="0F4761" w:themeColor="accent1" w:themeShade="BF"/>
    </w:rPr>
  </w:style>
  <w:style w:type="character" w:styleId="IntenseReference">
    <w:name w:val="Intense Reference"/>
    <w:basedOn w:val="DefaultParagraphFont"/>
    <w:uiPriority w:val="32"/>
    <w:qFormat/>
    <w:rsid w:val="00D07C4B"/>
    <w:rPr>
      <w:b/>
      <w:bCs/>
      <w:smallCaps/>
      <w:color w:val="0F4761" w:themeColor="accent1" w:themeShade="BF"/>
      <w:spacing w:val="5"/>
    </w:rPr>
  </w:style>
  <w:style w:type="character" w:customStyle="1" w:styleId="Titre1Car">
    <w:name w:val="Titre 1 Car"/>
    <w:basedOn w:val="DefaultParagraphFont"/>
    <w:uiPriority w:val="9"/>
    <w:rsid w:val="00CA5CA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DefaultParagraphFont"/>
    <w:uiPriority w:val="9"/>
    <w:rsid w:val="00CA5CA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DefaultParagraphFont"/>
    <w:uiPriority w:val="9"/>
    <w:rsid w:val="00CA5CA9"/>
    <w:rPr>
      <w:rFonts w:eastAsiaTheme="majorEastAsia" w:cstheme="majorBidi"/>
      <w:color w:val="0F4761" w:themeColor="accent1" w:themeShade="BF"/>
      <w:sz w:val="28"/>
      <w:szCs w:val="28"/>
    </w:rPr>
  </w:style>
  <w:style w:type="character" w:customStyle="1" w:styleId="Titre4Car">
    <w:name w:val="Titre 4 Car"/>
    <w:basedOn w:val="DefaultParagraphFont"/>
    <w:uiPriority w:val="9"/>
    <w:semiHidden/>
    <w:rsid w:val="00CA5CA9"/>
    <w:rPr>
      <w:rFonts w:eastAsiaTheme="majorEastAsia" w:cstheme="majorBidi"/>
      <w:i/>
      <w:iCs/>
      <w:color w:val="0F4761" w:themeColor="accent1" w:themeShade="BF"/>
    </w:rPr>
  </w:style>
  <w:style w:type="character" w:customStyle="1" w:styleId="Titre5Car">
    <w:name w:val="Titre 5 Car"/>
    <w:basedOn w:val="DefaultParagraphFont"/>
    <w:uiPriority w:val="9"/>
    <w:semiHidden/>
    <w:rsid w:val="00CA5CA9"/>
    <w:rPr>
      <w:rFonts w:eastAsiaTheme="majorEastAsia" w:cstheme="majorBidi"/>
      <w:color w:val="0F4761" w:themeColor="accent1" w:themeShade="BF"/>
    </w:rPr>
  </w:style>
  <w:style w:type="character" w:customStyle="1" w:styleId="Titre6Car">
    <w:name w:val="Titre 6 Car"/>
    <w:basedOn w:val="DefaultParagraphFont"/>
    <w:uiPriority w:val="9"/>
    <w:semiHidden/>
    <w:rsid w:val="00CA5CA9"/>
    <w:rPr>
      <w:rFonts w:eastAsiaTheme="majorEastAsia" w:cstheme="majorBidi"/>
      <w:i/>
      <w:iCs/>
      <w:color w:val="595959" w:themeColor="text1" w:themeTint="A6"/>
    </w:rPr>
  </w:style>
  <w:style w:type="character" w:customStyle="1" w:styleId="Titre7Car">
    <w:name w:val="Titre 7 Car"/>
    <w:basedOn w:val="DefaultParagraphFont"/>
    <w:uiPriority w:val="9"/>
    <w:semiHidden/>
    <w:rsid w:val="00CA5CA9"/>
    <w:rPr>
      <w:rFonts w:eastAsiaTheme="majorEastAsia" w:cstheme="majorBidi"/>
      <w:color w:val="595959" w:themeColor="text1" w:themeTint="A6"/>
    </w:rPr>
  </w:style>
  <w:style w:type="character" w:customStyle="1" w:styleId="Titre8Car">
    <w:name w:val="Titre 8 Car"/>
    <w:basedOn w:val="DefaultParagraphFont"/>
    <w:uiPriority w:val="9"/>
    <w:semiHidden/>
    <w:rsid w:val="00CA5CA9"/>
    <w:rPr>
      <w:rFonts w:eastAsiaTheme="majorEastAsia" w:cstheme="majorBidi"/>
      <w:i/>
      <w:iCs/>
      <w:color w:val="272727" w:themeColor="text1" w:themeTint="D8"/>
    </w:rPr>
  </w:style>
  <w:style w:type="character" w:customStyle="1" w:styleId="Titre9Car">
    <w:name w:val="Titre 9 Car"/>
    <w:basedOn w:val="DefaultParagraphFont"/>
    <w:uiPriority w:val="9"/>
    <w:semiHidden/>
    <w:rsid w:val="00CA5CA9"/>
    <w:rPr>
      <w:rFonts w:eastAsiaTheme="majorEastAsia" w:cstheme="majorBidi"/>
      <w:color w:val="272727" w:themeColor="text1" w:themeTint="D8"/>
    </w:rPr>
  </w:style>
  <w:style w:type="character" w:customStyle="1" w:styleId="TitreCar">
    <w:name w:val="Titre Car"/>
    <w:basedOn w:val="DefaultParagraphFont"/>
    <w:uiPriority w:val="10"/>
    <w:rsid w:val="00CA5CA9"/>
    <w:rPr>
      <w:rFonts w:asciiTheme="majorHAnsi" w:eastAsiaTheme="majorEastAsia" w:hAnsiTheme="majorHAnsi" w:cstheme="majorBidi"/>
      <w:spacing w:val="-10"/>
      <w:kern w:val="28"/>
      <w:sz w:val="56"/>
      <w:szCs w:val="56"/>
    </w:rPr>
  </w:style>
  <w:style w:type="character" w:customStyle="1" w:styleId="Sous-titreCar">
    <w:name w:val="Sous-titre Car"/>
    <w:basedOn w:val="DefaultParagraphFont"/>
    <w:uiPriority w:val="11"/>
    <w:rsid w:val="00CA5CA9"/>
    <w:rPr>
      <w:rFonts w:eastAsiaTheme="majorEastAsia" w:cstheme="majorBidi"/>
      <w:color w:val="595959" w:themeColor="text1" w:themeTint="A6"/>
      <w:spacing w:val="15"/>
      <w:sz w:val="28"/>
      <w:szCs w:val="28"/>
    </w:rPr>
  </w:style>
  <w:style w:type="character" w:customStyle="1" w:styleId="CitationCar">
    <w:name w:val="Citation Car"/>
    <w:basedOn w:val="DefaultParagraphFont"/>
    <w:uiPriority w:val="29"/>
    <w:rsid w:val="00CA5CA9"/>
    <w:rPr>
      <w:i/>
      <w:iCs/>
      <w:color w:val="404040" w:themeColor="text1" w:themeTint="BF"/>
    </w:rPr>
  </w:style>
  <w:style w:type="character" w:customStyle="1" w:styleId="CitationintenseCar">
    <w:name w:val="Citation intense Car"/>
    <w:basedOn w:val="DefaultParagraphFont"/>
    <w:uiPriority w:val="30"/>
    <w:rsid w:val="00CA5CA9"/>
    <w:rPr>
      <w:i/>
      <w:iCs/>
      <w:color w:val="0F4761" w:themeColor="accent1" w:themeShade="BF"/>
    </w:rPr>
  </w:style>
  <w:style w:type="paragraph" w:styleId="Header">
    <w:name w:val="header"/>
    <w:basedOn w:val="Normal"/>
    <w:link w:val="HeaderChar"/>
    <w:uiPriority w:val="99"/>
    <w:unhideWhenUsed/>
    <w:rsid w:val="00E82414"/>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2414"/>
  </w:style>
  <w:style w:type="paragraph" w:styleId="Footer">
    <w:name w:val="footer"/>
    <w:basedOn w:val="Normal"/>
    <w:link w:val="FooterChar"/>
    <w:uiPriority w:val="99"/>
    <w:unhideWhenUsed/>
    <w:rsid w:val="00E82414"/>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2414"/>
  </w:style>
  <w:style w:type="paragraph" w:styleId="NormalWeb">
    <w:name w:val="Normal (Web)"/>
    <w:basedOn w:val="Normal"/>
    <w:uiPriority w:val="99"/>
    <w:unhideWhenUsed/>
    <w:rsid w:val="00E82414"/>
    <w:pPr>
      <w:spacing w:line="240" w:lineRule="auto"/>
    </w:pPr>
    <w:rPr>
      <w:rFonts w:ascii="Times New Roman" w:hAnsi="Times New Roman" w:cs="Times New Roman"/>
      <w:lang w:val="fr-FR"/>
    </w:rPr>
  </w:style>
  <w:style w:type="paragraph" w:customStyle="1" w:styleId="isselectedend">
    <w:name w:val="isselectedend"/>
    <w:basedOn w:val="Normal"/>
    <w:rsid w:val="00E82414"/>
    <w:pPr>
      <w:spacing w:line="240" w:lineRule="auto"/>
    </w:pPr>
    <w:rPr>
      <w:rFonts w:ascii="Times New Roman" w:hAnsi="Times New Roman" w:cs="Times New Roman"/>
      <w:lang w:val="fr-FR"/>
    </w:rPr>
  </w:style>
  <w:style w:type="character" w:styleId="Strong">
    <w:name w:val="Strong"/>
    <w:basedOn w:val="DefaultParagraphFont"/>
    <w:uiPriority w:val="22"/>
    <w:qFormat/>
    <w:rsid w:val="00E82414"/>
    <w:rPr>
      <w:b/>
      <w:bCs/>
    </w:rPr>
  </w:style>
  <w:style w:type="paragraph" w:styleId="Caption">
    <w:name w:val="caption"/>
    <w:basedOn w:val="Normal"/>
    <w:next w:val="Normal"/>
    <w:unhideWhenUsed/>
    <w:qFormat/>
    <w:rsid w:val="00E82414"/>
    <w:pPr>
      <w:spacing w:after="200" w:line="240" w:lineRule="auto"/>
    </w:pPr>
    <w:rPr>
      <w:rFonts w:ascii="Helvetica" w:hAnsi="Helvetica"/>
      <w:b/>
      <w:i w:val="0"/>
      <w:iCs/>
      <w:color w:val="000000"/>
      <w:sz w:val="20"/>
      <w:szCs w:val="18"/>
    </w:rPr>
  </w:style>
  <w:style w:type="character" w:styleId="FootnoteReference">
    <w:name w:val="footnote reference"/>
    <w:uiPriority w:val="99"/>
    <w:semiHidden/>
    <w:unhideWhenUsed/>
    <w:rsid w:val="00E82414"/>
    <w:rPr>
      <w:vertAlign w:val="superscript"/>
    </w:rPr>
  </w:style>
  <w:style w:type="character" w:styleId="Hyperlink">
    <w:name w:val="Hyperlink"/>
    <w:uiPriority w:val="99"/>
    <w:unhideWhenUsed/>
    <w:rsid w:val="00B47255"/>
    <w:rPr>
      <w:color w:val="0563C1"/>
      <w:u w:val="single"/>
    </w:rPr>
  </w:style>
  <w:style w:type="paragraph" w:styleId="TOC1">
    <w:name w:val="toc 1"/>
    <w:basedOn w:val="Normal"/>
    <w:next w:val="Normal"/>
    <w:autoRedefine/>
    <w:uiPriority w:val="39"/>
    <w:unhideWhenUsed/>
    <w:rsid w:val="00476501"/>
    <w:pPr>
      <w:tabs>
        <w:tab w:val="right" w:leader="dot" w:pos="10456"/>
      </w:tabs>
      <w:spacing w:before="220" w:after="220" w:line="240" w:lineRule="auto"/>
    </w:pPr>
    <w:rPr>
      <w:b/>
      <w:sz w:val="20"/>
    </w:rPr>
  </w:style>
  <w:style w:type="paragraph" w:styleId="TOC2">
    <w:name w:val="toc 2"/>
    <w:basedOn w:val="Normal"/>
    <w:next w:val="Normal"/>
    <w:autoRedefine/>
    <w:uiPriority w:val="39"/>
    <w:unhideWhenUsed/>
    <w:rsid w:val="00476501"/>
    <w:pPr>
      <w:spacing w:line="360" w:lineRule="auto"/>
      <w:ind w:left="238"/>
    </w:pPr>
    <w:rPr>
      <w:b/>
      <w:sz w:val="20"/>
    </w:rPr>
  </w:style>
  <w:style w:type="paragraph" w:styleId="TOC3">
    <w:name w:val="toc 3"/>
    <w:basedOn w:val="Normal"/>
    <w:next w:val="Normal"/>
    <w:autoRedefine/>
    <w:uiPriority w:val="39"/>
    <w:unhideWhenUsed/>
    <w:rsid w:val="00476501"/>
    <w:pPr>
      <w:spacing w:line="360" w:lineRule="auto"/>
      <w:ind w:left="482"/>
    </w:pPr>
    <w:rPr>
      <w:rFonts w:ascii="Times New Roman" w:hAnsi="Times New Roman"/>
      <w:sz w:val="20"/>
    </w:rPr>
  </w:style>
  <w:style w:type="paragraph" w:styleId="TableofFigures">
    <w:name w:val="table of figures"/>
    <w:basedOn w:val="Normal"/>
    <w:next w:val="Normal"/>
    <w:autoRedefine/>
    <w:uiPriority w:val="99"/>
    <w:unhideWhenUsed/>
    <w:rsid w:val="00D55A22"/>
    <w:pPr>
      <w:tabs>
        <w:tab w:val="right" w:leader="dot" w:pos="10456"/>
      </w:tabs>
      <w:spacing w:before="0" w:after="0"/>
    </w:pPr>
  </w:style>
  <w:style w:type="table" w:customStyle="1" w:styleId="Grilledutableau1">
    <w:name w:val="Grille du tableau1"/>
    <w:basedOn w:val="TableNormal"/>
    <w:next w:val="TableGrid"/>
    <w:uiPriority w:val="59"/>
    <w:rsid w:val="0060430D"/>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043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Normal"/>
    <w:next w:val="TableGrid"/>
    <w:uiPriority w:val="59"/>
    <w:rsid w:val="001B46A1"/>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Normal"/>
    <w:next w:val="TableGrid"/>
    <w:uiPriority w:val="59"/>
    <w:rsid w:val="0014310C"/>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Normal"/>
    <w:next w:val="TableGrid"/>
    <w:uiPriority w:val="59"/>
    <w:rsid w:val="00E729DD"/>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51C0B"/>
    <w:rPr>
      <w:sz w:val="16"/>
      <w:szCs w:val="16"/>
    </w:rPr>
  </w:style>
  <w:style w:type="paragraph" w:styleId="CommentText">
    <w:name w:val="annotation text"/>
    <w:basedOn w:val="Normal"/>
    <w:link w:val="CommentTextChar"/>
    <w:uiPriority w:val="99"/>
    <w:unhideWhenUsed/>
    <w:rsid w:val="00751C0B"/>
    <w:pPr>
      <w:spacing w:line="240" w:lineRule="auto"/>
    </w:pPr>
    <w:rPr>
      <w:sz w:val="20"/>
      <w:szCs w:val="20"/>
    </w:rPr>
  </w:style>
  <w:style w:type="character" w:customStyle="1" w:styleId="CommentTextChar">
    <w:name w:val="Comment Text Char"/>
    <w:basedOn w:val="DefaultParagraphFont"/>
    <w:link w:val="CommentText"/>
    <w:uiPriority w:val="99"/>
    <w:rsid w:val="00751C0B"/>
    <w:rPr>
      <w:sz w:val="20"/>
      <w:szCs w:val="20"/>
    </w:rPr>
  </w:style>
  <w:style w:type="paragraph" w:styleId="CommentSubject">
    <w:name w:val="annotation subject"/>
    <w:basedOn w:val="CommentText"/>
    <w:next w:val="CommentText"/>
    <w:link w:val="CommentSubjectChar"/>
    <w:uiPriority w:val="99"/>
    <w:semiHidden/>
    <w:unhideWhenUsed/>
    <w:rsid w:val="00751C0B"/>
    <w:rPr>
      <w:b/>
      <w:bCs/>
    </w:rPr>
  </w:style>
  <w:style w:type="character" w:customStyle="1" w:styleId="CommentSubjectChar">
    <w:name w:val="Comment Subject Char"/>
    <w:basedOn w:val="CommentTextChar"/>
    <w:link w:val="CommentSubject"/>
    <w:uiPriority w:val="99"/>
    <w:semiHidden/>
    <w:rsid w:val="00751C0B"/>
    <w:rPr>
      <w:b/>
      <w:bCs/>
      <w:sz w:val="20"/>
      <w:szCs w:val="20"/>
    </w:rPr>
  </w:style>
  <w:style w:type="character" w:styleId="Mention">
    <w:name w:val="Mention"/>
    <w:basedOn w:val="DefaultParagraphFont"/>
    <w:uiPriority w:val="99"/>
    <w:unhideWhenUsed/>
    <w:rsid w:val="00751C0B"/>
    <w:rPr>
      <w:color w:val="2B579A"/>
      <w:shd w:val="clear" w:color="auto" w:fill="E1DFDD"/>
    </w:rPr>
  </w:style>
  <w:style w:type="table" w:customStyle="1" w:styleId="Grilledutableau5">
    <w:name w:val="Grille du tableau5"/>
    <w:basedOn w:val="TableNormal"/>
    <w:next w:val="TableGrid"/>
    <w:uiPriority w:val="59"/>
    <w:rsid w:val="009777C5"/>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
    <w:name w:val="Grille du tableau6"/>
    <w:basedOn w:val="TableNormal"/>
    <w:next w:val="TableGrid"/>
    <w:uiPriority w:val="59"/>
    <w:rsid w:val="009777C5"/>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E03D5B"/>
    <w:pPr>
      <w:spacing w:after="0" w:line="240" w:lineRule="auto"/>
    </w:pPr>
    <w:rPr>
      <w:rFonts w:ascii="Helvetica" w:hAnsi="Helvetica"/>
      <w:color w:val="000000"/>
      <w:sz w:val="16"/>
      <w:szCs w:val="20"/>
    </w:rPr>
  </w:style>
  <w:style w:type="character" w:customStyle="1" w:styleId="FootnoteTextChar">
    <w:name w:val="Footnote Text Char"/>
    <w:basedOn w:val="DefaultParagraphFont"/>
    <w:link w:val="FootnoteText"/>
    <w:uiPriority w:val="99"/>
    <w:rsid w:val="00E03D5B"/>
    <w:rPr>
      <w:sz w:val="20"/>
      <w:szCs w:val="20"/>
    </w:rPr>
  </w:style>
  <w:style w:type="table" w:customStyle="1" w:styleId="Grilledutableau7">
    <w:name w:val="Grille du tableau7"/>
    <w:basedOn w:val="TableNormal"/>
    <w:next w:val="TableGrid"/>
    <w:uiPriority w:val="59"/>
    <w:rsid w:val="008674C5"/>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8">
    <w:name w:val="Grille du tableau8"/>
    <w:basedOn w:val="TableNormal"/>
    <w:next w:val="TableGrid"/>
    <w:uiPriority w:val="59"/>
    <w:rsid w:val="001D73EB"/>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9">
    <w:name w:val="Grille du tableau9"/>
    <w:basedOn w:val="TableNormal"/>
    <w:next w:val="TableGrid"/>
    <w:uiPriority w:val="59"/>
    <w:rsid w:val="001E7B2E"/>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1D192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86092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4">
    <w:name w:val="toc 4"/>
    <w:basedOn w:val="Normal"/>
    <w:next w:val="Normal"/>
    <w:autoRedefine/>
    <w:uiPriority w:val="39"/>
    <w:unhideWhenUsed/>
    <w:rsid w:val="00403155"/>
    <w:pPr>
      <w:ind w:left="720"/>
    </w:pPr>
    <w:rPr>
      <w:rFonts w:eastAsiaTheme="minorEastAsia"/>
    </w:rPr>
  </w:style>
  <w:style w:type="paragraph" w:styleId="TOC5">
    <w:name w:val="toc 5"/>
    <w:basedOn w:val="Normal"/>
    <w:next w:val="Normal"/>
    <w:autoRedefine/>
    <w:uiPriority w:val="39"/>
    <w:unhideWhenUsed/>
    <w:rsid w:val="00403155"/>
    <w:pPr>
      <w:ind w:left="960"/>
    </w:pPr>
    <w:rPr>
      <w:rFonts w:eastAsiaTheme="minorEastAsia"/>
    </w:rPr>
  </w:style>
  <w:style w:type="paragraph" w:styleId="TOC6">
    <w:name w:val="toc 6"/>
    <w:basedOn w:val="Normal"/>
    <w:next w:val="Normal"/>
    <w:autoRedefine/>
    <w:uiPriority w:val="39"/>
    <w:unhideWhenUsed/>
    <w:rsid w:val="00403155"/>
    <w:pPr>
      <w:ind w:left="1200"/>
    </w:pPr>
    <w:rPr>
      <w:rFonts w:eastAsiaTheme="minorEastAsia"/>
    </w:rPr>
  </w:style>
  <w:style w:type="paragraph" w:styleId="TOC7">
    <w:name w:val="toc 7"/>
    <w:basedOn w:val="Normal"/>
    <w:next w:val="Normal"/>
    <w:autoRedefine/>
    <w:uiPriority w:val="39"/>
    <w:unhideWhenUsed/>
    <w:rsid w:val="00403155"/>
    <w:pPr>
      <w:ind w:left="1440"/>
    </w:pPr>
    <w:rPr>
      <w:rFonts w:eastAsiaTheme="minorEastAsia"/>
    </w:rPr>
  </w:style>
  <w:style w:type="paragraph" w:styleId="TOC8">
    <w:name w:val="toc 8"/>
    <w:basedOn w:val="Normal"/>
    <w:next w:val="Normal"/>
    <w:autoRedefine/>
    <w:uiPriority w:val="39"/>
    <w:unhideWhenUsed/>
    <w:rsid w:val="00403155"/>
    <w:pPr>
      <w:ind w:left="1680"/>
    </w:pPr>
    <w:rPr>
      <w:rFonts w:eastAsiaTheme="minorEastAsia"/>
    </w:rPr>
  </w:style>
  <w:style w:type="paragraph" w:styleId="TOC9">
    <w:name w:val="toc 9"/>
    <w:basedOn w:val="Normal"/>
    <w:next w:val="Normal"/>
    <w:autoRedefine/>
    <w:uiPriority w:val="39"/>
    <w:unhideWhenUsed/>
    <w:rsid w:val="00403155"/>
    <w:pPr>
      <w:ind w:left="1920"/>
    </w:pPr>
    <w:rPr>
      <w:rFonts w:eastAsiaTheme="minorEastAsia"/>
    </w:rPr>
  </w:style>
  <w:style w:type="character" w:styleId="UnresolvedMention">
    <w:name w:val="Unresolved Mention"/>
    <w:basedOn w:val="DefaultParagraphFont"/>
    <w:uiPriority w:val="99"/>
    <w:semiHidden/>
    <w:unhideWhenUsed/>
    <w:rsid w:val="00DC6698"/>
    <w:rPr>
      <w:color w:val="605E5C"/>
      <w:shd w:val="clear" w:color="auto" w:fill="E1DFDD"/>
    </w:rPr>
  </w:style>
  <w:style w:type="character" w:customStyle="1" w:styleId="text-token-text-primary">
    <w:name w:val="text-token-text-primary"/>
    <w:basedOn w:val="DefaultParagraphFont"/>
    <w:rsid w:val="00825A17"/>
  </w:style>
  <w:style w:type="paragraph" w:styleId="NoSpacing">
    <w:name w:val="No Spacing"/>
    <w:uiPriority w:val="1"/>
    <w:qFormat/>
    <w:rsid w:val="0063550D"/>
    <w:pPr>
      <w:spacing w:beforeAutospacing="1" w:after="0" w:afterAutospacing="1" w:line="240" w:lineRule="auto"/>
      <w:jc w:val="both"/>
    </w:pPr>
    <w:rPr>
      <w:rFonts w:ascii="Helvetica" w:eastAsia="Times New Roman" w:hAnsi="Helvetica" w:cs="Helvetica"/>
      <w:color w:val="000000"/>
      <w:kern w:val="0"/>
      <w:sz w:val="22"/>
      <w:szCs w:val="22"/>
      <w:lang w:eastAsia="fr-CI"/>
      <w14:ligatures w14:val="none"/>
    </w:rPr>
  </w:style>
  <w:style w:type="paragraph" w:customStyle="1" w:styleId="DecimalAligned">
    <w:name w:val="Decimal Aligned"/>
    <w:basedOn w:val="Normal"/>
    <w:uiPriority w:val="40"/>
    <w:qFormat/>
    <w:rsid w:val="006451E5"/>
    <w:pPr>
      <w:tabs>
        <w:tab w:val="decimal" w:pos="360"/>
      </w:tabs>
      <w:spacing w:before="0" w:beforeAutospacing="0" w:after="200" w:afterAutospacing="0"/>
      <w:jc w:val="left"/>
    </w:pPr>
    <w:rPr>
      <w:rFonts w:asciiTheme="minorHAnsi" w:eastAsiaTheme="minorEastAsia" w:hAnsiTheme="minorHAnsi" w:cs="Times New Roman"/>
      <w:color w:val="auto"/>
    </w:rPr>
  </w:style>
  <w:style w:type="character" w:styleId="SubtleEmphasis">
    <w:name w:val="Subtle Emphasis"/>
    <w:basedOn w:val="DefaultParagraphFont"/>
    <w:uiPriority w:val="19"/>
    <w:qFormat/>
    <w:rsid w:val="006451E5"/>
    <w:rPr>
      <w:i/>
      <w:iCs/>
    </w:rPr>
  </w:style>
  <w:style w:type="table" w:styleId="LightShading-Accent1">
    <w:name w:val="Light Shading Accent 1"/>
    <w:basedOn w:val="TableNormal"/>
    <w:uiPriority w:val="60"/>
    <w:rsid w:val="006451E5"/>
    <w:pPr>
      <w:spacing w:after="0" w:line="240" w:lineRule="auto"/>
    </w:pPr>
    <w:rPr>
      <w:rFonts w:eastAsiaTheme="minorEastAsia"/>
      <w:color w:val="0F4761" w:themeColor="accent1" w:themeShade="BF"/>
      <w:kern w:val="0"/>
      <w:sz w:val="22"/>
      <w:szCs w:val="22"/>
      <w:lang w:eastAsia="fr-CI"/>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Revision">
    <w:name w:val="Revision"/>
    <w:hidden/>
    <w:uiPriority w:val="99"/>
    <w:semiHidden/>
    <w:rsid w:val="008415C8"/>
    <w:pPr>
      <w:spacing w:after="0" w:line="240" w:lineRule="auto"/>
    </w:pPr>
    <w:rPr>
      <w:rFonts w:ascii="Helvetica" w:eastAsia="Times New Roman" w:hAnsi="Helvetica" w:cs="Helvetica"/>
      <w:color w:val="000000"/>
      <w:kern w:val="0"/>
      <w:sz w:val="22"/>
      <w:szCs w:val="22"/>
      <w:lang w:eastAsia="fr-C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5" Type="http://schemas.openxmlformats.org/officeDocument/2006/relationships/numbering" Target="numbering.xml"/><Relationship Id="rId8" Type="http://schemas.openxmlformats.org/officeDocument/2006/relationships/webSettings" Target="webSettings.xml"/><Relationship Id="rId93" Type="http://schemas.openxmlformats.org/officeDocument/2006/relationships/theme" Target="theme/theme1.xml"/><Relationship Id="rId12" Type="http://schemas.openxmlformats.org/officeDocument/2006/relationships/image" Target="media/image2.png"/><Relationship Id="rId6" Type="http://schemas.openxmlformats.org/officeDocument/2006/relationships/styles" Target="styles.xml"/><Relationship Id="rId10" Type="http://schemas.openxmlformats.org/officeDocument/2006/relationships/endnotes" Target="endnotes.xml"/><Relationship Id="rId9" Type="http://schemas.openxmlformats.org/officeDocument/2006/relationships/footnotes" Target="footnotes.xml"/><Relationship Id="rId13" Type="http://schemas.openxmlformats.org/officeDocument/2006/relationships/image" Target="media/image3.png"/><Relationship Id="rId7" Type="http://schemas.openxmlformats.org/officeDocument/2006/relationships/settings" Target="settings.xml"/><Relationship Id="rId92" Type="http://schemas.openxmlformats.org/officeDocument/2006/relationships/fontTable" Target="fontTable.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Application>Microsoft Office Word</Application>
  <DocSecurity>0</DocSecurity>
  <Company>Adenka Consulting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Adenka Consulting</dc:creator>
  <cp:keywords/>
  <dc:description/>
  <cp:lastModifiedBy>Adenka Consulting</cp:lastModifiedBy>
  <cp:revision>1</cp:revision>
  <dcterms:created xsi:type="dcterms:W3CDTF">2026-10-23T21:02:37Z</dcterms:created>
  <dcterms:modified xsi:type="dcterms:W3CDTF">2026-10-23T21:02:37Z</dcterms:modified>
  <cp:category/>
</cp:coreProperties>
</file>